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11C9E" w14:textId="574E483C" w:rsidR="00770FC7" w:rsidRPr="00605C88" w:rsidRDefault="00F40170" w:rsidP="00605C88">
      <w:pPr>
        <w:pStyle w:val="Heading1"/>
        <w:rPr>
          <w:sz w:val="36"/>
          <w:szCs w:val="36"/>
        </w:rPr>
      </w:pPr>
      <w:bookmarkStart w:id="0" w:name="_Hlk221171526"/>
      <w:r w:rsidRPr="00605C88">
        <w:rPr>
          <w:sz w:val="36"/>
          <w:szCs w:val="36"/>
        </w:rPr>
        <w:t>Best Management Practice Section and Design</w:t>
      </w:r>
      <w:r w:rsidR="00C4206E" w:rsidRPr="00605C88">
        <w:rPr>
          <w:sz w:val="36"/>
          <w:szCs w:val="36"/>
        </w:rPr>
        <w:t xml:space="preserve"> Job Aid:</w:t>
      </w:r>
      <w:r w:rsidR="00770FC7" w:rsidRPr="00605C88">
        <w:rPr>
          <w:sz w:val="36"/>
          <w:szCs w:val="36"/>
        </w:rPr>
        <w:t xml:space="preserve"> </w:t>
      </w:r>
      <w:r w:rsidR="00890B82" w:rsidRPr="00605C88">
        <w:rPr>
          <w:sz w:val="36"/>
          <w:szCs w:val="36"/>
        </w:rPr>
        <w:t>Chemical Management</w:t>
      </w:r>
    </w:p>
    <w:p w14:paraId="739C2712" w14:textId="2B827FC2" w:rsidR="003B6EE0" w:rsidRDefault="00172A03" w:rsidP="003B6EE0">
      <w:r w:rsidRPr="00172A03">
        <w:t>Construction stormwater Best Management Practice (BMP) must be installed, inspected, maintained and removed in accordance with Texas Department of Transportation (TxDOT) manufacturer specifications, where applicable, and the Construction General Permit (TXR150000).</w:t>
      </w:r>
    </w:p>
    <w:p w14:paraId="228FE10F" w14:textId="1CA36DA1" w:rsidR="005456F3" w:rsidRPr="00EE6558" w:rsidRDefault="00F40170" w:rsidP="005456F3">
      <w:pPr>
        <w:pStyle w:val="Heading2"/>
        <w:rPr>
          <w:sz w:val="28"/>
          <w:szCs w:val="28"/>
        </w:rPr>
      </w:pPr>
      <w:r w:rsidRPr="00EE6558">
        <w:rPr>
          <w:sz w:val="28"/>
          <w:szCs w:val="28"/>
        </w:rPr>
        <w:t>Description</w:t>
      </w:r>
    </w:p>
    <w:p w14:paraId="52E625A5" w14:textId="77777777" w:rsidR="00625FC9" w:rsidRDefault="00784A7A" w:rsidP="00625FC9">
      <w:pPr>
        <w:keepNext/>
      </w:pPr>
      <w:r w:rsidRPr="00784A7A">
        <w:t>Chemical management addresses the potential for stormwater to be polluted with chemical materials and wastes that are used or stored on a construction site.</w:t>
      </w:r>
      <w:r w:rsidR="00773BEA">
        <w:rPr>
          <w:noProof/>
        </w:rPr>
        <w:t xml:space="preserve"> </w:t>
      </w:r>
      <w:r w:rsidR="00770FC7">
        <w:rPr>
          <w:noProof/>
        </w:rPr>
        <w:drawing>
          <wp:inline distT="0" distB="0" distL="0" distR="0" wp14:anchorId="3CA661FA" wp14:editId="7DEBF940">
            <wp:extent cx="3429000" cy="1828800"/>
            <wp:effectExtent l="19050" t="19050" r="19050" b="19050"/>
            <wp:docPr id="235359155" name="Picture 1" descr="A steel shipping container located in a staging area under a bridge. The shipping container is open revealing equipment inside, including coiled hoses hanging on the wall, tools, and several black drums placed on a pallet.   The storage container demonstrates proper chemical management practices that protect chemical drums from weather exposure, reduce the potential for environmental impacts, and support site safety and comp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59155" name="Picture 1" descr="A steel shipping container located in a staging area under a bridge. The shipping container is open revealing equipment inside, including coiled hoses hanging on the wall, tools, and several black drums placed on a pallet.   The storage container demonstrates proper chemical management practices that protect chemical drums from weather exposure, reduce the potential for environmental impacts, and support site safety and compliance."/>
                    <pic:cNvPicPr>
                      <a:picLocks noChangeAspect="1" noChangeArrowheads="1"/>
                    </pic:cNvPicPr>
                  </pic:nvPicPr>
                  <pic:blipFill rotWithShape="1">
                    <a:blip r:embed="rId11">
                      <a:extLst>
                        <a:ext uri="{28A0092B-C50C-407E-A947-70E740481C1C}">
                          <a14:useLocalDpi xmlns:a14="http://schemas.microsoft.com/office/drawing/2010/main" val="0"/>
                        </a:ext>
                      </a:extLst>
                    </a:blip>
                    <a:srcRect l="1177" t="2142" r="958" b="2699"/>
                    <a:stretch>
                      <a:fillRect/>
                    </a:stretch>
                  </pic:blipFill>
                  <pic:spPr bwMode="auto">
                    <a:xfrm>
                      <a:off x="0" y="0"/>
                      <a:ext cx="3429000" cy="1828800"/>
                    </a:xfrm>
                    <a:prstGeom prst="rect">
                      <a:avLst/>
                    </a:prstGeom>
                    <a:ln w="127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extLst>
                      <a:ext uri="{53640926-AAD7-44D8-BBD7-CCE9431645EC}">
                        <a14:shadowObscured xmlns:a14="http://schemas.microsoft.com/office/drawing/2010/main"/>
                      </a:ext>
                    </a:extLst>
                  </pic:spPr>
                </pic:pic>
              </a:graphicData>
            </a:graphic>
          </wp:inline>
        </w:drawing>
      </w:r>
    </w:p>
    <w:p w14:paraId="64ACF2B4" w14:textId="0964F2C1" w:rsidR="00867996" w:rsidRPr="00625FC9" w:rsidRDefault="00625FC9" w:rsidP="00625FC9">
      <w:pPr>
        <w:pStyle w:val="Caption"/>
        <w:rPr>
          <w:i w:val="0"/>
          <w:iCs w:val="0"/>
          <w:sz w:val="24"/>
          <w:szCs w:val="24"/>
        </w:rPr>
      </w:pPr>
      <w:r w:rsidRPr="00625FC9">
        <w:rPr>
          <w:i w:val="0"/>
          <w:iCs w:val="0"/>
          <w:sz w:val="24"/>
          <w:szCs w:val="24"/>
        </w:rPr>
        <w:t xml:space="preserve">Figure </w:t>
      </w:r>
      <w:r w:rsidRPr="00625FC9">
        <w:rPr>
          <w:i w:val="0"/>
          <w:iCs w:val="0"/>
          <w:sz w:val="24"/>
          <w:szCs w:val="24"/>
        </w:rPr>
        <w:fldChar w:fldCharType="begin"/>
      </w:r>
      <w:r w:rsidRPr="00625FC9">
        <w:rPr>
          <w:i w:val="0"/>
          <w:iCs w:val="0"/>
          <w:sz w:val="24"/>
          <w:szCs w:val="24"/>
        </w:rPr>
        <w:instrText xml:space="preserve"> SEQ Figure \* ARABIC </w:instrText>
      </w:r>
      <w:r w:rsidRPr="00625FC9">
        <w:rPr>
          <w:i w:val="0"/>
          <w:iCs w:val="0"/>
          <w:sz w:val="24"/>
          <w:szCs w:val="24"/>
        </w:rPr>
        <w:fldChar w:fldCharType="separate"/>
      </w:r>
      <w:r w:rsidR="00F2639E">
        <w:rPr>
          <w:i w:val="0"/>
          <w:iCs w:val="0"/>
          <w:noProof/>
          <w:sz w:val="24"/>
          <w:szCs w:val="24"/>
        </w:rPr>
        <w:t>1</w:t>
      </w:r>
      <w:r w:rsidRPr="00625FC9">
        <w:rPr>
          <w:i w:val="0"/>
          <w:iCs w:val="0"/>
          <w:sz w:val="24"/>
          <w:szCs w:val="24"/>
        </w:rPr>
        <w:fldChar w:fldCharType="end"/>
      </w:r>
      <w:r w:rsidRPr="00625FC9">
        <w:rPr>
          <w:i w:val="0"/>
          <w:iCs w:val="0"/>
          <w:sz w:val="24"/>
          <w:szCs w:val="24"/>
        </w:rPr>
        <w:t xml:space="preserve">. </w:t>
      </w:r>
      <w:r w:rsidR="00687AF5">
        <w:rPr>
          <w:i w:val="0"/>
          <w:iCs w:val="0"/>
          <w:sz w:val="24"/>
          <w:szCs w:val="24"/>
        </w:rPr>
        <w:t>Designated s</w:t>
      </w:r>
      <w:r w:rsidRPr="00625FC9">
        <w:rPr>
          <w:i w:val="0"/>
          <w:iCs w:val="0"/>
          <w:sz w:val="24"/>
          <w:szCs w:val="24"/>
        </w:rPr>
        <w:t>torag</w:t>
      </w:r>
      <w:r>
        <w:rPr>
          <w:i w:val="0"/>
          <w:iCs w:val="0"/>
          <w:sz w:val="24"/>
          <w:szCs w:val="24"/>
        </w:rPr>
        <w:t>e</w:t>
      </w:r>
      <w:r w:rsidRPr="00625FC9">
        <w:rPr>
          <w:i w:val="0"/>
          <w:iCs w:val="0"/>
          <w:sz w:val="24"/>
          <w:szCs w:val="24"/>
        </w:rPr>
        <w:t xml:space="preserve"> </w:t>
      </w:r>
      <w:r w:rsidR="00687AF5">
        <w:rPr>
          <w:i w:val="0"/>
          <w:iCs w:val="0"/>
          <w:sz w:val="24"/>
          <w:szCs w:val="24"/>
        </w:rPr>
        <w:t>container for</w:t>
      </w:r>
      <w:r w:rsidRPr="00625FC9">
        <w:rPr>
          <w:i w:val="0"/>
          <w:iCs w:val="0"/>
          <w:sz w:val="24"/>
          <w:szCs w:val="24"/>
        </w:rPr>
        <w:t xml:space="preserve"> chemicals and construction supplie</w:t>
      </w:r>
      <w:r w:rsidR="0013771F">
        <w:rPr>
          <w:i w:val="0"/>
          <w:iCs w:val="0"/>
          <w:sz w:val="24"/>
          <w:szCs w:val="24"/>
        </w:rPr>
        <w:t xml:space="preserve">s </w:t>
      </w:r>
      <w:r w:rsidR="003169DE">
        <w:rPr>
          <w:i w:val="0"/>
          <w:iCs w:val="0"/>
          <w:sz w:val="24"/>
          <w:szCs w:val="24"/>
        </w:rPr>
        <w:t>illustrating proper chem</w:t>
      </w:r>
      <w:r w:rsidR="002367F6">
        <w:rPr>
          <w:i w:val="0"/>
          <w:iCs w:val="0"/>
          <w:sz w:val="24"/>
          <w:szCs w:val="24"/>
        </w:rPr>
        <w:t>ical management practices that</w:t>
      </w:r>
      <w:r w:rsidR="00220E51">
        <w:rPr>
          <w:i w:val="0"/>
          <w:iCs w:val="0"/>
          <w:sz w:val="24"/>
          <w:szCs w:val="24"/>
        </w:rPr>
        <w:t xml:space="preserve"> reduce weather exposure</w:t>
      </w:r>
      <w:r w:rsidR="00CA23EF">
        <w:rPr>
          <w:i w:val="0"/>
          <w:iCs w:val="0"/>
          <w:sz w:val="24"/>
          <w:szCs w:val="24"/>
        </w:rPr>
        <w:t xml:space="preserve"> and support site safety and compliance. </w:t>
      </w:r>
    </w:p>
    <w:p w14:paraId="3405D03A" w14:textId="4343CC64" w:rsidR="009260DC" w:rsidRPr="00EE6558" w:rsidRDefault="00F40170" w:rsidP="00D961DB">
      <w:pPr>
        <w:pStyle w:val="Heading2"/>
        <w:rPr>
          <w:sz w:val="28"/>
          <w:szCs w:val="28"/>
        </w:rPr>
      </w:pPr>
      <w:r w:rsidRPr="00EE6558">
        <w:rPr>
          <w:sz w:val="28"/>
          <w:szCs w:val="28"/>
        </w:rPr>
        <w:t>Application</w:t>
      </w:r>
    </w:p>
    <w:p w14:paraId="5F7370B5" w14:textId="77777777" w:rsidR="00311B70" w:rsidRPr="00311B70" w:rsidRDefault="00311B70" w:rsidP="00CF04F5">
      <w:r w:rsidRPr="00311B70">
        <w:t>Chemical management is applicable on all construction sites where chemicals and hazardous materials are used or stored.  The objective of chemical management is to minimize the potential of stormwater contamination by construction chemicals through appropriate recognition, handling, storage, and disposal practices. Some target chemicals include, but are not limited to, the following:</w:t>
      </w:r>
    </w:p>
    <w:p w14:paraId="6AB7C756" w14:textId="390B5218" w:rsidR="00311B70" w:rsidRPr="00311B70" w:rsidRDefault="00311B70" w:rsidP="00CF04F5">
      <w:pPr>
        <w:pStyle w:val="ListBullet"/>
      </w:pPr>
      <w:r w:rsidRPr="00311B70">
        <w:t>Paints</w:t>
      </w:r>
    </w:p>
    <w:p w14:paraId="27672A8D" w14:textId="3948FA3B" w:rsidR="00311B70" w:rsidRPr="00311B70" w:rsidRDefault="00311B70" w:rsidP="00CF04F5">
      <w:pPr>
        <w:pStyle w:val="ListBullet"/>
      </w:pPr>
      <w:r w:rsidRPr="00311B70">
        <w:t>Solvents</w:t>
      </w:r>
    </w:p>
    <w:p w14:paraId="3BD823D0" w14:textId="0BFFFBE3" w:rsidR="00311B70" w:rsidRPr="00311B70" w:rsidRDefault="00311B70" w:rsidP="00CF04F5">
      <w:pPr>
        <w:pStyle w:val="ListBullet"/>
      </w:pPr>
      <w:r w:rsidRPr="00311B70">
        <w:lastRenderedPageBreak/>
        <w:t>Stains</w:t>
      </w:r>
    </w:p>
    <w:p w14:paraId="6DE2AC11" w14:textId="1A813BFD" w:rsidR="00311B70" w:rsidRPr="00311B70" w:rsidRDefault="00311B70" w:rsidP="00CF04F5">
      <w:pPr>
        <w:pStyle w:val="ListBullet"/>
      </w:pPr>
      <w:r w:rsidRPr="00311B70">
        <w:t>Wood Preservatives</w:t>
      </w:r>
    </w:p>
    <w:p w14:paraId="2BEFE949" w14:textId="3F066A4A" w:rsidR="00311B70" w:rsidRPr="00311B70" w:rsidRDefault="00311B70" w:rsidP="00CF04F5">
      <w:pPr>
        <w:pStyle w:val="ListBullet"/>
      </w:pPr>
      <w:r w:rsidRPr="00311B70">
        <w:t>Cutting Oils</w:t>
      </w:r>
    </w:p>
    <w:p w14:paraId="75521B1F" w14:textId="77777777" w:rsidR="00DA3A96" w:rsidRDefault="00311B70" w:rsidP="00CF04F5">
      <w:pPr>
        <w:pStyle w:val="ListBullet"/>
      </w:pPr>
      <w:r w:rsidRPr="00311B70">
        <w:t>Greases</w:t>
      </w:r>
      <w:r w:rsidRPr="00311B70">
        <w:tab/>
      </w:r>
    </w:p>
    <w:p w14:paraId="2DD55895" w14:textId="5E68CB74" w:rsidR="00311B70" w:rsidRPr="00311B70" w:rsidRDefault="00311B70" w:rsidP="00CF04F5">
      <w:pPr>
        <w:pStyle w:val="ListBullet"/>
      </w:pPr>
      <w:r w:rsidRPr="00311B70">
        <w:t>Pesticides</w:t>
      </w:r>
    </w:p>
    <w:p w14:paraId="6CB41568" w14:textId="7321EAB4" w:rsidR="00311B70" w:rsidRPr="00311B70" w:rsidRDefault="00311B70" w:rsidP="00CF04F5">
      <w:pPr>
        <w:pStyle w:val="ListBullet"/>
      </w:pPr>
      <w:r w:rsidRPr="00311B70">
        <w:t>Herbicides</w:t>
      </w:r>
    </w:p>
    <w:p w14:paraId="53A62959" w14:textId="058EBA78" w:rsidR="00311B70" w:rsidRPr="00311B70" w:rsidRDefault="00311B70" w:rsidP="00CF04F5">
      <w:pPr>
        <w:pStyle w:val="ListBullet"/>
      </w:pPr>
      <w:r w:rsidRPr="00311B70">
        <w:t>Fertilizers</w:t>
      </w:r>
    </w:p>
    <w:p w14:paraId="2C29231D" w14:textId="6B60FACA" w:rsidR="00311B70" w:rsidRDefault="00311B70" w:rsidP="00CF04F5">
      <w:pPr>
        <w:pStyle w:val="ListBullet"/>
        <w:rPr>
          <w:b/>
        </w:rPr>
      </w:pPr>
      <w:r w:rsidRPr="00311B70">
        <w:t>Concrete Curing Compound</w:t>
      </w:r>
    </w:p>
    <w:p w14:paraId="72C313BB" w14:textId="560580C0" w:rsidR="00F40170" w:rsidRPr="00EE6558" w:rsidRDefault="00F40170" w:rsidP="00311B70">
      <w:pPr>
        <w:pStyle w:val="Heading3"/>
        <w:rPr>
          <w:sz w:val="26"/>
          <w:szCs w:val="26"/>
        </w:rPr>
      </w:pPr>
      <w:r w:rsidRPr="00EE6558">
        <w:rPr>
          <w:sz w:val="26"/>
          <w:szCs w:val="26"/>
        </w:rPr>
        <w:t>Advantages</w:t>
      </w:r>
    </w:p>
    <w:p w14:paraId="6641418F" w14:textId="77777777" w:rsidR="00ED5C4D" w:rsidRPr="00417F6D" w:rsidRDefault="00ED5C4D" w:rsidP="00DA3A96">
      <w:pPr>
        <w:pStyle w:val="ListBullet"/>
      </w:pPr>
      <w:r w:rsidRPr="00417F6D">
        <w:t>Reduces stormwater pollution</w:t>
      </w:r>
    </w:p>
    <w:p w14:paraId="4B696A69" w14:textId="0FBEA1C9" w:rsidR="00ED5C4D" w:rsidRDefault="00ED5C4D" w:rsidP="00DA3A96">
      <w:pPr>
        <w:pStyle w:val="ListBullet"/>
        <w:rPr>
          <w:sz w:val="26"/>
          <w:szCs w:val="26"/>
        </w:rPr>
      </w:pPr>
      <w:r w:rsidRPr="00417F6D">
        <w:t>Helps prevent spills and leaks</w:t>
      </w:r>
    </w:p>
    <w:p w14:paraId="5DB0C287" w14:textId="0D7E9010" w:rsidR="00F40170" w:rsidRPr="00EE6558" w:rsidRDefault="00472125" w:rsidP="00ED5C4D">
      <w:pPr>
        <w:pStyle w:val="Heading3"/>
        <w:rPr>
          <w:sz w:val="26"/>
          <w:szCs w:val="26"/>
        </w:rPr>
      </w:pPr>
      <w:r>
        <w:rPr>
          <w:sz w:val="26"/>
          <w:szCs w:val="26"/>
        </w:rPr>
        <w:t>Disadvantages</w:t>
      </w:r>
    </w:p>
    <w:p w14:paraId="6D7BC8E2" w14:textId="77777777" w:rsidR="00B15E12" w:rsidRPr="00CC1A77" w:rsidRDefault="00B15E12" w:rsidP="00CC1A77">
      <w:pPr>
        <w:pStyle w:val="ListBullet"/>
      </w:pPr>
      <w:r w:rsidRPr="00CC1A77">
        <w:t>Not used to manage pre-existing site contamination</w:t>
      </w:r>
    </w:p>
    <w:p w14:paraId="5D7887C0" w14:textId="1F514E26" w:rsidR="00B15E12" w:rsidRPr="00B15E12" w:rsidRDefault="00B15E12" w:rsidP="00CC1A77">
      <w:pPr>
        <w:pStyle w:val="ListBullet"/>
      </w:pPr>
      <w:r w:rsidRPr="00B15E12">
        <w:t>Does not address contaminated soils, spill and leak response procedures, or chemicals associated with vehicle and equipment management</w:t>
      </w:r>
    </w:p>
    <w:p w14:paraId="791F38F6" w14:textId="5DACCD30" w:rsidR="00CC1A77" w:rsidRPr="00BA65ED" w:rsidRDefault="00F40170" w:rsidP="0059162F">
      <w:pPr>
        <w:pStyle w:val="Heading2"/>
        <w:rPr>
          <w:sz w:val="28"/>
          <w:szCs w:val="28"/>
        </w:rPr>
      </w:pPr>
      <w:r w:rsidRPr="00BA65ED">
        <w:rPr>
          <w:sz w:val="28"/>
          <w:szCs w:val="28"/>
        </w:rPr>
        <w:t>Design Criteria</w:t>
      </w:r>
    </w:p>
    <w:p w14:paraId="5CC0C978" w14:textId="0D2FCF24" w:rsidR="0059162F" w:rsidRPr="00A84ECC" w:rsidRDefault="00FB1357" w:rsidP="0046644F">
      <w:pPr>
        <w:pStyle w:val="ListNumber"/>
        <w:numPr>
          <w:ilvl w:val="0"/>
          <w:numId w:val="10"/>
        </w:numPr>
        <w:contextualSpacing w:val="0"/>
      </w:pPr>
      <w:r w:rsidRPr="00A84ECC">
        <w:t xml:space="preserve">Controls and locations for all chemicals, hazardous materials, and their wastes that have potential to be exposed to precipitation or stormwater runoff must be included in the </w:t>
      </w:r>
      <w:r w:rsidR="006A3044" w:rsidRPr="00A84ECC">
        <w:t>Stormwater Pollution Prevention Plan (</w:t>
      </w:r>
      <w:r w:rsidRPr="00A84ECC">
        <w:t>SWP3</w:t>
      </w:r>
      <w:r w:rsidR="006A3044" w:rsidRPr="00A84ECC">
        <w:t>)</w:t>
      </w:r>
      <w:r w:rsidRPr="00A84ECC">
        <w:t xml:space="preserve"> layout sheets.</w:t>
      </w:r>
    </w:p>
    <w:p w14:paraId="22F78B3E" w14:textId="77777777" w:rsidR="00035E80" w:rsidRPr="00A84ECC" w:rsidRDefault="00FB1357" w:rsidP="0046644F">
      <w:pPr>
        <w:pStyle w:val="ListNumber"/>
        <w:numPr>
          <w:ilvl w:val="0"/>
          <w:numId w:val="10"/>
        </w:numPr>
        <w:contextualSpacing w:val="0"/>
      </w:pPr>
      <w:r w:rsidRPr="00A84ECC">
        <w:t>Include construction note that requires the contractor to have designated personnel manage all chemicals to ensure they are being managed and stored properly (limiting their exposure to precipitation or stormwater)</w:t>
      </w:r>
      <w:r w:rsidR="00035E80" w:rsidRPr="00A84ECC">
        <w:t>.</w:t>
      </w:r>
    </w:p>
    <w:p w14:paraId="3B29175B" w14:textId="3216779D" w:rsidR="00FB1357" w:rsidRPr="00A84ECC" w:rsidRDefault="00FB1357" w:rsidP="0046644F">
      <w:pPr>
        <w:pStyle w:val="ListNumber"/>
        <w:numPr>
          <w:ilvl w:val="0"/>
          <w:numId w:val="10"/>
        </w:numPr>
        <w:contextualSpacing w:val="0"/>
      </w:pPr>
      <w:r w:rsidRPr="00A84ECC">
        <w:t>Only permit the storage of chemicals required to complete the scheduled construction activities.</w:t>
      </w:r>
    </w:p>
    <w:p w14:paraId="129BE6D1" w14:textId="66FC54CD" w:rsidR="00C41377" w:rsidRDefault="00FB1357" w:rsidP="0046644F">
      <w:pPr>
        <w:pStyle w:val="ListNumber"/>
        <w:numPr>
          <w:ilvl w:val="0"/>
          <w:numId w:val="10"/>
        </w:numPr>
        <w:contextualSpacing w:val="0"/>
      </w:pPr>
      <w:r w:rsidRPr="00A84ECC">
        <w:t>Chemical management should be used in conjunction with the following BMPs</w:t>
      </w:r>
      <w:r w:rsidR="00E54709">
        <w:t>:</w:t>
      </w:r>
    </w:p>
    <w:p w14:paraId="640389AE" w14:textId="0D887BBC" w:rsidR="00C41377" w:rsidRDefault="00EE5BB4" w:rsidP="0038078A">
      <w:pPr>
        <w:pStyle w:val="ListBullet"/>
      </w:pPr>
      <w:r w:rsidRPr="00FB1357">
        <w:t>Spill and Leak Responses</w:t>
      </w:r>
    </w:p>
    <w:p w14:paraId="16A5394C" w14:textId="7F00FD54" w:rsidR="00FB1357" w:rsidRDefault="00FB1357" w:rsidP="0038078A">
      <w:pPr>
        <w:pStyle w:val="ListBullet"/>
      </w:pPr>
      <w:r w:rsidRPr="00FB1357">
        <w:t>Vehicle and Equipment Maintenance</w:t>
      </w:r>
    </w:p>
    <w:p w14:paraId="451B4214" w14:textId="254C35F5" w:rsidR="008F34C8" w:rsidRDefault="00FB1357" w:rsidP="0046644F">
      <w:pPr>
        <w:pStyle w:val="ListNumber"/>
        <w:numPr>
          <w:ilvl w:val="2"/>
          <w:numId w:val="11"/>
        </w:numPr>
        <w:ind w:left="360"/>
        <w:contextualSpacing w:val="0"/>
      </w:pPr>
      <w:r w:rsidRPr="00EE5BB4">
        <w:lastRenderedPageBreak/>
        <w:t>Designate a location for chemical storage away from runoff drainage pathways to avoid surface water contamination</w:t>
      </w:r>
      <w:r w:rsidR="00D75BBD">
        <w:t>.</w:t>
      </w:r>
    </w:p>
    <w:p w14:paraId="6619C1AB" w14:textId="49F376CF" w:rsidR="00FB1357" w:rsidRPr="008F34C8" w:rsidRDefault="00FB1357" w:rsidP="0046644F">
      <w:pPr>
        <w:pStyle w:val="ListNumber"/>
        <w:numPr>
          <w:ilvl w:val="2"/>
          <w:numId w:val="11"/>
        </w:numPr>
        <w:ind w:left="360"/>
        <w:contextualSpacing w:val="0"/>
      </w:pPr>
      <w:r w:rsidRPr="008F34C8">
        <w:t xml:space="preserve">Include construction </w:t>
      </w:r>
      <w:r w:rsidR="004253FC" w:rsidRPr="008F34C8">
        <w:t>notes</w:t>
      </w:r>
      <w:r w:rsidRPr="008F34C8">
        <w:t xml:space="preserve"> that require the contractor to keep spill kits on site</w:t>
      </w:r>
      <w:r w:rsidR="00D75BBD">
        <w:t>.</w:t>
      </w:r>
    </w:p>
    <w:p w14:paraId="2DD370A3" w14:textId="5981DD75" w:rsidR="00F40170" w:rsidRPr="00EE6558" w:rsidRDefault="00F40170" w:rsidP="00FB1357">
      <w:pPr>
        <w:pStyle w:val="Heading2"/>
        <w:rPr>
          <w:sz w:val="28"/>
          <w:szCs w:val="28"/>
        </w:rPr>
      </w:pPr>
      <w:r w:rsidRPr="00EE6558">
        <w:rPr>
          <w:sz w:val="28"/>
          <w:szCs w:val="28"/>
        </w:rPr>
        <w:t>References</w:t>
      </w:r>
    </w:p>
    <w:bookmarkEnd w:id="0"/>
    <w:p w14:paraId="775913E9" w14:textId="44CA223E" w:rsidR="00045FA1" w:rsidRPr="00752BB9" w:rsidRDefault="00216AB6" w:rsidP="001D1558">
      <w:r>
        <w:fldChar w:fldCharType="begin"/>
      </w:r>
      <w:r>
        <w:instrText>HYPERLINK "https://www.tceq.texas.gov/downloads/permitting/stormwater/general/construction/2023-cgp-txr150000.pdf"</w:instrText>
      </w:r>
      <w:r>
        <w:fldChar w:fldCharType="separate"/>
      </w:r>
      <w:r w:rsidRPr="00216AB6">
        <w:rPr>
          <w:rStyle w:val="Hyperlink"/>
        </w:rPr>
        <w:t>Texas Pollutant Discharge Elimination System (TPDES) Construction General Permit TXR150000</w:t>
      </w:r>
      <w:r>
        <w:fldChar w:fldCharType="end"/>
      </w:r>
      <w:r w:rsidR="00224E2D" w:rsidDel="00224E2D">
        <w:t xml:space="preserve"> </w:t>
      </w:r>
      <w:r w:rsidR="00DD7AC3">
        <w:t>Part III. Section F and Part IV</w:t>
      </w:r>
    </w:p>
    <w:sectPr w:rsidR="00045FA1" w:rsidRPr="00752BB9" w:rsidSect="0010454F">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C5AE6" w14:textId="77777777" w:rsidR="00534B0C" w:rsidRDefault="00534B0C" w:rsidP="00CE2B96">
      <w:pPr>
        <w:spacing w:after="0"/>
      </w:pPr>
      <w:r>
        <w:separator/>
      </w:r>
    </w:p>
  </w:endnote>
  <w:endnote w:type="continuationSeparator" w:id="0">
    <w:p w14:paraId="747C0842" w14:textId="77777777" w:rsidR="00534B0C" w:rsidRDefault="00534B0C" w:rsidP="00CE2B96">
      <w:pPr>
        <w:spacing w:after="0"/>
      </w:pPr>
      <w:r>
        <w:continuationSeparator/>
      </w:r>
    </w:p>
  </w:endnote>
  <w:endnote w:type="continuationNotice" w:id="1">
    <w:p w14:paraId="5422B983" w14:textId="77777777" w:rsidR="00534B0C" w:rsidRDefault="00534B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9EAA6" w14:textId="77777777" w:rsidR="00B024D0" w:rsidRDefault="00B024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A501" w14:textId="4DE4A0FF" w:rsidR="00E15D9F" w:rsidRPr="00266C64" w:rsidRDefault="00C02127" w:rsidP="0010454F">
    <w:pPr>
      <w:pStyle w:val="Footer"/>
      <w:spacing w:before="360" w:line="360" w:lineRule="auto"/>
      <w:jc w:val="right"/>
      <w:rPr>
        <w:color w:val="0056A9"/>
      </w:rPr>
    </w:pPr>
    <w:r w:rsidRPr="00266C64">
      <w:rPr>
        <w:noProof/>
        <w:color w:val="0056A9"/>
      </w:rPr>
      <mc:AlternateContent>
        <mc:Choice Requires="wps">
          <w:drawing>
            <wp:anchor distT="0" distB="0" distL="114300" distR="114300" simplePos="0" relativeHeight="251658240" behindDoc="0" locked="0" layoutInCell="1" allowOverlap="1" wp14:anchorId="7CFF5C1C" wp14:editId="6B7D88CB">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72B773"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sidR="00266C64" w:rsidRPr="00266C64">
      <w:rPr>
        <w:color w:val="0056A9"/>
      </w:rPr>
      <w:t>Best Management Practices Section and Design</w:t>
    </w:r>
    <w:r w:rsidR="009224B2">
      <w:rPr>
        <w:color w:val="0056A9"/>
      </w:rPr>
      <w:t xml:space="preserve"> Job Aid:</w:t>
    </w:r>
    <w:r w:rsidR="00266C64" w:rsidRPr="00266C64">
      <w:rPr>
        <w:color w:val="0056A9"/>
      </w:rPr>
      <w:t xml:space="preserve"> </w:t>
    </w:r>
    <w:r w:rsidR="00D13528" w:rsidRPr="00D13528">
      <w:rPr>
        <w:color w:val="0056A9"/>
      </w:rPr>
      <w:t>Chemical Management</w:t>
    </w:r>
    <w:r w:rsidR="00C16849" w:rsidRPr="00C16849">
      <w:rPr>
        <w:color w:val="0056A9"/>
      </w:rPr>
      <w:t xml:space="preserve"> </w:t>
    </w:r>
    <w:r w:rsidR="00BD2218" w:rsidRPr="00266C64">
      <w:rPr>
        <w:color w:val="0056A9"/>
      </w:rPr>
      <w:t xml:space="preserve">| </w:t>
    </w:r>
    <w:r w:rsidR="00BD2218" w:rsidRPr="00266C64">
      <w:rPr>
        <w:color w:val="0056A9"/>
      </w:rPr>
      <w:fldChar w:fldCharType="begin"/>
    </w:r>
    <w:r w:rsidR="00BD2218" w:rsidRPr="00266C64">
      <w:rPr>
        <w:color w:val="0056A9"/>
      </w:rPr>
      <w:instrText xml:space="preserve"> PAGE   \* MERGEFORMAT </w:instrText>
    </w:r>
    <w:r w:rsidR="00BD2218" w:rsidRPr="00266C64">
      <w:rPr>
        <w:color w:val="0056A9"/>
      </w:rPr>
      <w:fldChar w:fldCharType="separate"/>
    </w:r>
    <w:r w:rsidR="00BD2218" w:rsidRPr="00266C64">
      <w:rPr>
        <w:color w:val="0056A9"/>
      </w:rPr>
      <w:t>1</w:t>
    </w:r>
    <w:r w:rsidR="00BD2218" w:rsidRPr="00266C64">
      <w:rPr>
        <w:color w:val="0056A9"/>
      </w:rPr>
      <w:fldChar w:fldCharType="end"/>
    </w:r>
  </w:p>
  <w:p w14:paraId="5A700282" w14:textId="77777777" w:rsidR="002376C2" w:rsidRPr="00266C64" w:rsidRDefault="002376C2">
    <w:pPr>
      <w:pStyle w:val="Footer"/>
      <w:rPr>
        <w:color w:val="0056A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01D29" w14:textId="77777777" w:rsidR="00B024D0" w:rsidRDefault="00B02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15434" w14:textId="77777777" w:rsidR="00534B0C" w:rsidRDefault="00534B0C" w:rsidP="00CE2B96">
      <w:pPr>
        <w:spacing w:after="0"/>
      </w:pPr>
      <w:r>
        <w:separator/>
      </w:r>
    </w:p>
  </w:footnote>
  <w:footnote w:type="continuationSeparator" w:id="0">
    <w:p w14:paraId="04585017" w14:textId="77777777" w:rsidR="00534B0C" w:rsidRDefault="00534B0C" w:rsidP="00CE2B96">
      <w:pPr>
        <w:spacing w:after="0"/>
      </w:pPr>
      <w:r>
        <w:continuationSeparator/>
      </w:r>
    </w:p>
  </w:footnote>
  <w:footnote w:type="continuationNotice" w:id="1">
    <w:p w14:paraId="227EB796" w14:textId="77777777" w:rsidR="00534B0C" w:rsidRDefault="00534B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7DA96" w14:textId="77777777" w:rsidR="00B024D0" w:rsidRDefault="00B024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01FE0" w14:textId="77777777" w:rsidR="001705BC" w:rsidRDefault="001705BC" w:rsidP="001705BC">
    <w:pPr>
      <w:pStyle w:val="Header"/>
      <w:spacing w:after="400"/>
      <w:jc w:val="right"/>
    </w:pPr>
    <w:r>
      <w:rPr>
        <w:noProof/>
      </w:rPr>
      <w:drawing>
        <wp:inline distT="0" distB="0" distL="0" distR="0" wp14:anchorId="45C1B167" wp14:editId="2D01E159">
          <wp:extent cx="1827847" cy="347472"/>
          <wp:effectExtent l="0" t="0" r="1270" b="0"/>
          <wp:docPr id="1352774196"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74196" name="Graphic 1" descr="Texas Department of Transportation logo"/>
                  <pic:cNvPicPr/>
                </pic:nvPicPr>
                <pic:blipFill>
                  <a:blip r:embed="rId1">
                    <a:extLst>
                      <a:ext uri="{28A0092B-C50C-407E-A947-70E740481C1C}">
                        <a14:useLocalDpi xmlns:a14="http://schemas.microsoft.com/office/drawing/2010/main" val="0"/>
                      </a:ext>
                    </a:extLst>
                  </a:blip>
                  <a:stretch>
                    <a:fillRect/>
                  </a:stretch>
                </pic:blipFill>
                <pic:spPr>
                  <a:xfrm>
                    <a:off x="0" y="0"/>
                    <a:ext cx="1827847" cy="34747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DF71"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CDAE98A"/>
    <w:lvl w:ilvl="0">
      <w:start w:val="1"/>
      <w:numFmt w:val="decimal"/>
      <w:lvlText w:val="%1."/>
      <w:lvlJc w:val="left"/>
      <w:pPr>
        <w:tabs>
          <w:tab w:val="num" w:pos="360"/>
        </w:tabs>
        <w:ind w:left="360" w:hanging="360"/>
      </w:pPr>
    </w:lvl>
  </w:abstractNum>
  <w:abstractNum w:abstractNumId="1" w15:restartNumberingAfterBreak="0">
    <w:nsid w:val="12E63162"/>
    <w:multiLevelType w:val="multilevel"/>
    <w:tmpl w:val="44B6708E"/>
    <w:lvl w:ilvl="0">
      <w:start w:val="1"/>
      <w:numFmt w:val="decimal"/>
      <w:lvlText w:val="%1)"/>
      <w:lvlJc w:val="left"/>
      <w:pPr>
        <w:ind w:left="360" w:hanging="360"/>
      </w:pPr>
    </w:lvl>
    <w:lvl w:ilvl="1">
      <w:start w:val="1"/>
      <w:numFmt w:val="lowerLetter"/>
      <w:lvlText w:val="%2)"/>
      <w:lvlJc w:val="left"/>
      <w:pPr>
        <w:ind w:left="720" w:hanging="360"/>
      </w:pPr>
      <w:rPr>
        <w:color w:val="0056A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DA6172D"/>
    <w:multiLevelType w:val="hybridMultilevel"/>
    <w:tmpl w:val="75D25EA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93A9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3033208"/>
    <w:multiLevelType w:val="hybridMultilevel"/>
    <w:tmpl w:val="CAD2548E"/>
    <w:lvl w:ilvl="0" w:tplc="665EB38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E34F4"/>
    <w:multiLevelType w:val="multilevel"/>
    <w:tmpl w:val="62B89390"/>
    <w:lvl w:ilvl="0">
      <w:start w:val="1"/>
      <w:numFmt w:val="decimal"/>
      <w:lvlText w:val="%1."/>
      <w:lvlJc w:val="left"/>
      <w:pPr>
        <w:ind w:left="360" w:hanging="360"/>
      </w:pPr>
      <w:rPr>
        <w:rFonts w:hint="default"/>
        <w:b w:val="0"/>
        <w:bCs/>
        <w:color w:val="auto"/>
        <w:sz w:val="24"/>
        <w:szCs w:val="24"/>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decimal"/>
      <w:lvlText w:val="%3."/>
      <w:lvlJc w:val="left"/>
      <w:pPr>
        <w:ind w:left="1080" w:hanging="360"/>
      </w:pPr>
      <w:rPr>
        <w:b w:val="0"/>
        <w:bCs/>
        <w:color w:val="auto"/>
        <w:sz w:val="20"/>
        <w:szCs w:val="20"/>
      </w:rPr>
    </w:lvl>
    <w:lvl w:ilvl="3">
      <w:start w:val="1"/>
      <w:numFmt w:val="lowerLetter"/>
      <w:lvlText w:val="%4."/>
      <w:lvlJc w:val="left"/>
      <w:pPr>
        <w:ind w:left="1440" w:hanging="360"/>
      </w:p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C59697E"/>
    <w:multiLevelType w:val="multilevel"/>
    <w:tmpl w:val="68947582"/>
    <w:lvl w:ilvl="0">
      <w:start w:val="1"/>
      <w:numFmt w:val="decimal"/>
      <w:lvlText w:val="%1."/>
      <w:lvlJc w:val="left"/>
      <w:pPr>
        <w:ind w:left="360" w:hanging="360"/>
      </w:pPr>
      <w:rPr>
        <w:rFonts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C907772"/>
    <w:multiLevelType w:val="multilevel"/>
    <w:tmpl w:val="6C348E50"/>
    <w:lvl w:ilvl="0">
      <w:start w:val="4"/>
      <w:numFmt w:val="decimal"/>
      <w:lvlText w:val="%1."/>
      <w:lvlJc w:val="left"/>
      <w:pPr>
        <w:ind w:left="360" w:hanging="360"/>
      </w:pPr>
      <w:rPr>
        <w:rFonts w:hint="default"/>
        <w:b w:val="0"/>
        <w:bCs/>
        <w:color w:val="auto"/>
        <w:sz w:val="24"/>
        <w:szCs w:val="24"/>
      </w:rPr>
    </w:lvl>
    <w:lvl w:ilvl="1">
      <w:start w:val="1"/>
      <w:numFmt w:val="bullet"/>
      <w:lvlText w:val="–"/>
      <w:lvlJc w:val="left"/>
      <w:pPr>
        <w:ind w:left="720" w:hanging="360"/>
      </w:pPr>
      <w:rPr>
        <w:rFonts w:ascii="Franklin Gothic Book" w:hAnsi="Franklin Gothic Book" w:hint="default"/>
        <w:color w:val="0056A9" w:themeColor="accent1"/>
      </w:rPr>
    </w:lvl>
    <w:lvl w:ilvl="2">
      <w:start w:val="5"/>
      <w:numFmt w:val="decimal"/>
      <w:lvlText w:val="%3."/>
      <w:lvlJc w:val="left"/>
      <w:pPr>
        <w:ind w:left="1080" w:hanging="360"/>
      </w:pPr>
      <w:rPr>
        <w:rFonts w:hint="default"/>
        <w:b w:val="0"/>
        <w:bCs/>
        <w:color w:val="auto"/>
        <w:sz w:val="24"/>
        <w:szCs w:val="24"/>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6C3611FC"/>
    <w:multiLevelType w:val="multilevel"/>
    <w:tmpl w:val="A8CC4D28"/>
    <w:lvl w:ilvl="0">
      <w:start w:val="1"/>
      <w:numFmt w:val="decimal"/>
      <w:lvlText w:val="%1."/>
      <w:lvlJc w:val="left"/>
      <w:pPr>
        <w:ind w:left="360" w:hanging="360"/>
      </w:pPr>
      <w:rPr>
        <w:rFonts w:hint="default"/>
        <w:b w:val="0"/>
        <w:bCs/>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7A457DE3"/>
    <w:multiLevelType w:val="multilevel"/>
    <w:tmpl w:val="7C9CEBF4"/>
    <w:lvl w:ilvl="0">
      <w:start w:val="1"/>
      <w:numFmt w:val="decimal"/>
      <w:lvlText w:val="%1."/>
      <w:lvlJc w:val="left"/>
      <w:pPr>
        <w:ind w:left="360" w:hanging="360"/>
      </w:pPr>
      <w:rPr>
        <w:rFonts w:hint="default"/>
        <w:b w:val="0"/>
        <w:bCs/>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10"/>
  </w:num>
  <w:num w:numId="2" w16cid:durableId="409473043">
    <w:abstractNumId w:val="4"/>
  </w:num>
  <w:num w:numId="3" w16cid:durableId="1878276135">
    <w:abstractNumId w:val="2"/>
  </w:num>
  <w:num w:numId="4" w16cid:durableId="1374307023">
    <w:abstractNumId w:val="0"/>
  </w:num>
  <w:num w:numId="5" w16cid:durableId="1561788887">
    <w:abstractNumId w:val="6"/>
  </w:num>
  <w:num w:numId="6" w16cid:durableId="657542832">
    <w:abstractNumId w:val="8"/>
  </w:num>
  <w:num w:numId="7" w16cid:durableId="356470833">
    <w:abstractNumId w:val="3"/>
  </w:num>
  <w:num w:numId="8" w16cid:durableId="1699697055">
    <w:abstractNumId w:val="1"/>
  </w:num>
  <w:num w:numId="9" w16cid:durableId="874924541">
    <w:abstractNumId w:val="9"/>
  </w:num>
  <w:num w:numId="10" w16cid:durableId="713425531">
    <w:abstractNumId w:val="5"/>
  </w:num>
  <w:num w:numId="11" w16cid:durableId="3017328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170"/>
    <w:rsid w:val="000060D8"/>
    <w:rsid w:val="0001514F"/>
    <w:rsid w:val="0003040F"/>
    <w:rsid w:val="00030BEF"/>
    <w:rsid w:val="00035E80"/>
    <w:rsid w:val="00042206"/>
    <w:rsid w:val="00045FA1"/>
    <w:rsid w:val="0005583F"/>
    <w:rsid w:val="00073001"/>
    <w:rsid w:val="00074311"/>
    <w:rsid w:val="00075AE3"/>
    <w:rsid w:val="000940FB"/>
    <w:rsid w:val="000A39B8"/>
    <w:rsid w:val="000A6A63"/>
    <w:rsid w:val="000B2945"/>
    <w:rsid w:val="000B5A5C"/>
    <w:rsid w:val="000B62C7"/>
    <w:rsid w:val="000C7AD7"/>
    <w:rsid w:val="000D0DA9"/>
    <w:rsid w:val="000D30B3"/>
    <w:rsid w:val="000D4113"/>
    <w:rsid w:val="000E0386"/>
    <w:rsid w:val="000E0479"/>
    <w:rsid w:val="000E6230"/>
    <w:rsid w:val="000F013E"/>
    <w:rsid w:val="0010454F"/>
    <w:rsid w:val="00105532"/>
    <w:rsid w:val="00114E9C"/>
    <w:rsid w:val="0013771F"/>
    <w:rsid w:val="00142A5C"/>
    <w:rsid w:val="00146BE0"/>
    <w:rsid w:val="00154069"/>
    <w:rsid w:val="00160C71"/>
    <w:rsid w:val="001705BC"/>
    <w:rsid w:val="0017072B"/>
    <w:rsid w:val="00172A03"/>
    <w:rsid w:val="001761D7"/>
    <w:rsid w:val="00181735"/>
    <w:rsid w:val="0018694B"/>
    <w:rsid w:val="00190DCD"/>
    <w:rsid w:val="00191AFD"/>
    <w:rsid w:val="001939FA"/>
    <w:rsid w:val="00195D4C"/>
    <w:rsid w:val="001A1806"/>
    <w:rsid w:val="001A69C9"/>
    <w:rsid w:val="001B4AF4"/>
    <w:rsid w:val="001B5185"/>
    <w:rsid w:val="001B6015"/>
    <w:rsid w:val="001B6C26"/>
    <w:rsid w:val="001B6CF6"/>
    <w:rsid w:val="001B7E50"/>
    <w:rsid w:val="001C3E75"/>
    <w:rsid w:val="001D1558"/>
    <w:rsid w:val="001D607F"/>
    <w:rsid w:val="001E5E7E"/>
    <w:rsid w:val="001F1F80"/>
    <w:rsid w:val="001F4350"/>
    <w:rsid w:val="001F4FAC"/>
    <w:rsid w:val="001F5909"/>
    <w:rsid w:val="00211518"/>
    <w:rsid w:val="00216151"/>
    <w:rsid w:val="00216AB6"/>
    <w:rsid w:val="00220E51"/>
    <w:rsid w:val="00224E2D"/>
    <w:rsid w:val="002340C7"/>
    <w:rsid w:val="002348F5"/>
    <w:rsid w:val="002367F6"/>
    <w:rsid w:val="002376C2"/>
    <w:rsid w:val="0024442F"/>
    <w:rsid w:val="00247539"/>
    <w:rsid w:val="00251809"/>
    <w:rsid w:val="002531E4"/>
    <w:rsid w:val="002545AC"/>
    <w:rsid w:val="00263235"/>
    <w:rsid w:val="00266C64"/>
    <w:rsid w:val="00273031"/>
    <w:rsid w:val="002805FC"/>
    <w:rsid w:val="00281FC8"/>
    <w:rsid w:val="00284504"/>
    <w:rsid w:val="00290571"/>
    <w:rsid w:val="00290A05"/>
    <w:rsid w:val="002934DC"/>
    <w:rsid w:val="002A05A5"/>
    <w:rsid w:val="002A12D5"/>
    <w:rsid w:val="002A75F2"/>
    <w:rsid w:val="002B1115"/>
    <w:rsid w:val="002C57BC"/>
    <w:rsid w:val="002D0309"/>
    <w:rsid w:val="002D531E"/>
    <w:rsid w:val="00302742"/>
    <w:rsid w:val="00311B70"/>
    <w:rsid w:val="003169DE"/>
    <w:rsid w:val="00321E1A"/>
    <w:rsid w:val="0032481A"/>
    <w:rsid w:val="00324DE4"/>
    <w:rsid w:val="003406FB"/>
    <w:rsid w:val="0038078A"/>
    <w:rsid w:val="00396C09"/>
    <w:rsid w:val="00397DB4"/>
    <w:rsid w:val="003A1996"/>
    <w:rsid w:val="003A504F"/>
    <w:rsid w:val="003A5A12"/>
    <w:rsid w:val="003A76D5"/>
    <w:rsid w:val="003B375A"/>
    <w:rsid w:val="003B6EE0"/>
    <w:rsid w:val="003C10A6"/>
    <w:rsid w:val="003C28BF"/>
    <w:rsid w:val="003D41C5"/>
    <w:rsid w:val="003D43A7"/>
    <w:rsid w:val="003E1328"/>
    <w:rsid w:val="003F3CC1"/>
    <w:rsid w:val="00406A70"/>
    <w:rsid w:val="0040715E"/>
    <w:rsid w:val="004112F8"/>
    <w:rsid w:val="004166BF"/>
    <w:rsid w:val="0042061E"/>
    <w:rsid w:val="004253FC"/>
    <w:rsid w:val="00427DBB"/>
    <w:rsid w:val="00437A34"/>
    <w:rsid w:val="00451E21"/>
    <w:rsid w:val="00461CD0"/>
    <w:rsid w:val="0046644F"/>
    <w:rsid w:val="00472125"/>
    <w:rsid w:val="00486F56"/>
    <w:rsid w:val="00487276"/>
    <w:rsid w:val="00496C57"/>
    <w:rsid w:val="004A1071"/>
    <w:rsid w:val="004A3D8B"/>
    <w:rsid w:val="004A4E9C"/>
    <w:rsid w:val="004B325C"/>
    <w:rsid w:val="004C40F5"/>
    <w:rsid w:val="004D2CA8"/>
    <w:rsid w:val="004D5E13"/>
    <w:rsid w:val="004E2B43"/>
    <w:rsid w:val="004E496F"/>
    <w:rsid w:val="004E7B23"/>
    <w:rsid w:val="004F1B1D"/>
    <w:rsid w:val="004F697B"/>
    <w:rsid w:val="00501A04"/>
    <w:rsid w:val="0050710D"/>
    <w:rsid w:val="00534B0C"/>
    <w:rsid w:val="00540DE8"/>
    <w:rsid w:val="005456F3"/>
    <w:rsid w:val="005555C5"/>
    <w:rsid w:val="00557CB9"/>
    <w:rsid w:val="005731A2"/>
    <w:rsid w:val="00590EB3"/>
    <w:rsid w:val="0059162F"/>
    <w:rsid w:val="00594064"/>
    <w:rsid w:val="005A1938"/>
    <w:rsid w:val="005C2138"/>
    <w:rsid w:val="005C2EC8"/>
    <w:rsid w:val="005C5814"/>
    <w:rsid w:val="005D35F1"/>
    <w:rsid w:val="005D44E6"/>
    <w:rsid w:val="005D638D"/>
    <w:rsid w:val="005D6FD8"/>
    <w:rsid w:val="005E451D"/>
    <w:rsid w:val="00605C88"/>
    <w:rsid w:val="006125F2"/>
    <w:rsid w:val="00617FA5"/>
    <w:rsid w:val="00622BA6"/>
    <w:rsid w:val="00623543"/>
    <w:rsid w:val="00624882"/>
    <w:rsid w:val="00624C21"/>
    <w:rsid w:val="006258E9"/>
    <w:rsid w:val="00625FC9"/>
    <w:rsid w:val="00626A92"/>
    <w:rsid w:val="00630C68"/>
    <w:rsid w:val="006351A9"/>
    <w:rsid w:val="006405A3"/>
    <w:rsid w:val="00640ADD"/>
    <w:rsid w:val="00643281"/>
    <w:rsid w:val="0064565C"/>
    <w:rsid w:val="006478BD"/>
    <w:rsid w:val="00676091"/>
    <w:rsid w:val="00676D9C"/>
    <w:rsid w:val="006838DD"/>
    <w:rsid w:val="00687A4D"/>
    <w:rsid w:val="00687AF5"/>
    <w:rsid w:val="00690FA9"/>
    <w:rsid w:val="006A1438"/>
    <w:rsid w:val="006A3044"/>
    <w:rsid w:val="006A305E"/>
    <w:rsid w:val="006B34EF"/>
    <w:rsid w:val="006B61E3"/>
    <w:rsid w:val="006D15D7"/>
    <w:rsid w:val="006E1E02"/>
    <w:rsid w:val="006E3592"/>
    <w:rsid w:val="006F0BAC"/>
    <w:rsid w:val="006F78ED"/>
    <w:rsid w:val="00700634"/>
    <w:rsid w:val="0070413E"/>
    <w:rsid w:val="0072002A"/>
    <w:rsid w:val="007210FB"/>
    <w:rsid w:val="007222F6"/>
    <w:rsid w:val="00726A51"/>
    <w:rsid w:val="00730092"/>
    <w:rsid w:val="00730A26"/>
    <w:rsid w:val="00737CA6"/>
    <w:rsid w:val="007414D4"/>
    <w:rsid w:val="007435C9"/>
    <w:rsid w:val="007475BB"/>
    <w:rsid w:val="00751F54"/>
    <w:rsid w:val="007524CB"/>
    <w:rsid w:val="00752BB9"/>
    <w:rsid w:val="00763838"/>
    <w:rsid w:val="00763EA2"/>
    <w:rsid w:val="00765066"/>
    <w:rsid w:val="00766854"/>
    <w:rsid w:val="00767521"/>
    <w:rsid w:val="00770FC7"/>
    <w:rsid w:val="00771021"/>
    <w:rsid w:val="00773BEA"/>
    <w:rsid w:val="00773E7F"/>
    <w:rsid w:val="00775179"/>
    <w:rsid w:val="00781A58"/>
    <w:rsid w:val="00781F0E"/>
    <w:rsid w:val="00784A7A"/>
    <w:rsid w:val="00791127"/>
    <w:rsid w:val="00794CFE"/>
    <w:rsid w:val="007A3B26"/>
    <w:rsid w:val="007A6FA4"/>
    <w:rsid w:val="007B00A8"/>
    <w:rsid w:val="007B474D"/>
    <w:rsid w:val="007B6158"/>
    <w:rsid w:val="007C06C2"/>
    <w:rsid w:val="007C3FCF"/>
    <w:rsid w:val="007C6F3E"/>
    <w:rsid w:val="007D5F94"/>
    <w:rsid w:val="007D6FE9"/>
    <w:rsid w:val="007E0FA0"/>
    <w:rsid w:val="007E4B7F"/>
    <w:rsid w:val="007F512C"/>
    <w:rsid w:val="008267F7"/>
    <w:rsid w:val="00832F8A"/>
    <w:rsid w:val="008518BE"/>
    <w:rsid w:val="0085248F"/>
    <w:rsid w:val="00855650"/>
    <w:rsid w:val="008572D4"/>
    <w:rsid w:val="0086528F"/>
    <w:rsid w:val="00867996"/>
    <w:rsid w:val="0087110F"/>
    <w:rsid w:val="0087191D"/>
    <w:rsid w:val="008747B5"/>
    <w:rsid w:val="00876826"/>
    <w:rsid w:val="008823EA"/>
    <w:rsid w:val="00885A03"/>
    <w:rsid w:val="008905E4"/>
    <w:rsid w:val="00890B82"/>
    <w:rsid w:val="00890CA1"/>
    <w:rsid w:val="00893375"/>
    <w:rsid w:val="00894429"/>
    <w:rsid w:val="008A13B1"/>
    <w:rsid w:val="008B2AF5"/>
    <w:rsid w:val="008B49EB"/>
    <w:rsid w:val="008B6F77"/>
    <w:rsid w:val="008C4250"/>
    <w:rsid w:val="008D4AB2"/>
    <w:rsid w:val="008D5973"/>
    <w:rsid w:val="008E445D"/>
    <w:rsid w:val="008E4F71"/>
    <w:rsid w:val="008F2FA1"/>
    <w:rsid w:val="008F34C8"/>
    <w:rsid w:val="008F4B55"/>
    <w:rsid w:val="00900F14"/>
    <w:rsid w:val="00901FCD"/>
    <w:rsid w:val="00911BC5"/>
    <w:rsid w:val="00913DCA"/>
    <w:rsid w:val="00915FFB"/>
    <w:rsid w:val="009160AB"/>
    <w:rsid w:val="0091704D"/>
    <w:rsid w:val="00917F65"/>
    <w:rsid w:val="009224B2"/>
    <w:rsid w:val="009260DC"/>
    <w:rsid w:val="0093633D"/>
    <w:rsid w:val="00955095"/>
    <w:rsid w:val="00965C94"/>
    <w:rsid w:val="00967F5A"/>
    <w:rsid w:val="0097219F"/>
    <w:rsid w:val="009744CC"/>
    <w:rsid w:val="00976A16"/>
    <w:rsid w:val="0098219A"/>
    <w:rsid w:val="00991EE1"/>
    <w:rsid w:val="00995A37"/>
    <w:rsid w:val="009B603D"/>
    <w:rsid w:val="009D728D"/>
    <w:rsid w:val="009E709F"/>
    <w:rsid w:val="009F37B7"/>
    <w:rsid w:val="009F72F5"/>
    <w:rsid w:val="00A07068"/>
    <w:rsid w:val="00A07348"/>
    <w:rsid w:val="00A11A98"/>
    <w:rsid w:val="00A166DE"/>
    <w:rsid w:val="00A17F4C"/>
    <w:rsid w:val="00A212B3"/>
    <w:rsid w:val="00A22F82"/>
    <w:rsid w:val="00A44609"/>
    <w:rsid w:val="00A47D0D"/>
    <w:rsid w:val="00A50B9B"/>
    <w:rsid w:val="00A517D8"/>
    <w:rsid w:val="00A54BEC"/>
    <w:rsid w:val="00A63976"/>
    <w:rsid w:val="00A70747"/>
    <w:rsid w:val="00A71049"/>
    <w:rsid w:val="00A8390B"/>
    <w:rsid w:val="00A84ECC"/>
    <w:rsid w:val="00A858D7"/>
    <w:rsid w:val="00A94A03"/>
    <w:rsid w:val="00AA542B"/>
    <w:rsid w:val="00AB6DF4"/>
    <w:rsid w:val="00AC3F25"/>
    <w:rsid w:val="00AD4351"/>
    <w:rsid w:val="00AD72B5"/>
    <w:rsid w:val="00AE0ACF"/>
    <w:rsid w:val="00AE1A16"/>
    <w:rsid w:val="00AE1E2F"/>
    <w:rsid w:val="00AE488F"/>
    <w:rsid w:val="00AE5239"/>
    <w:rsid w:val="00AE59C9"/>
    <w:rsid w:val="00AF5A32"/>
    <w:rsid w:val="00AF5D75"/>
    <w:rsid w:val="00B001F4"/>
    <w:rsid w:val="00B0152A"/>
    <w:rsid w:val="00B024D0"/>
    <w:rsid w:val="00B1021F"/>
    <w:rsid w:val="00B15E12"/>
    <w:rsid w:val="00B16BED"/>
    <w:rsid w:val="00B406D5"/>
    <w:rsid w:val="00B43AFC"/>
    <w:rsid w:val="00B45665"/>
    <w:rsid w:val="00B45FB7"/>
    <w:rsid w:val="00B55323"/>
    <w:rsid w:val="00B63CB8"/>
    <w:rsid w:val="00B70A4F"/>
    <w:rsid w:val="00B80D61"/>
    <w:rsid w:val="00B8368B"/>
    <w:rsid w:val="00B84690"/>
    <w:rsid w:val="00B85189"/>
    <w:rsid w:val="00B85D46"/>
    <w:rsid w:val="00B86600"/>
    <w:rsid w:val="00B900B0"/>
    <w:rsid w:val="00B900EA"/>
    <w:rsid w:val="00B91615"/>
    <w:rsid w:val="00BA0BF2"/>
    <w:rsid w:val="00BA65ED"/>
    <w:rsid w:val="00BC22E8"/>
    <w:rsid w:val="00BC43B0"/>
    <w:rsid w:val="00BC4D8C"/>
    <w:rsid w:val="00BC632D"/>
    <w:rsid w:val="00BD2218"/>
    <w:rsid w:val="00BD2907"/>
    <w:rsid w:val="00BD6A00"/>
    <w:rsid w:val="00BD7E0B"/>
    <w:rsid w:val="00BF1542"/>
    <w:rsid w:val="00BF38A4"/>
    <w:rsid w:val="00BF4581"/>
    <w:rsid w:val="00C02127"/>
    <w:rsid w:val="00C10F06"/>
    <w:rsid w:val="00C10F1E"/>
    <w:rsid w:val="00C16849"/>
    <w:rsid w:val="00C22E88"/>
    <w:rsid w:val="00C27E67"/>
    <w:rsid w:val="00C31BC5"/>
    <w:rsid w:val="00C41377"/>
    <w:rsid w:val="00C4206E"/>
    <w:rsid w:val="00C45EB0"/>
    <w:rsid w:val="00C537B9"/>
    <w:rsid w:val="00C575AE"/>
    <w:rsid w:val="00C745C0"/>
    <w:rsid w:val="00C74939"/>
    <w:rsid w:val="00C75AB3"/>
    <w:rsid w:val="00C923ED"/>
    <w:rsid w:val="00CA07E3"/>
    <w:rsid w:val="00CA23EF"/>
    <w:rsid w:val="00CB2FFC"/>
    <w:rsid w:val="00CB4F73"/>
    <w:rsid w:val="00CC00DC"/>
    <w:rsid w:val="00CC1A77"/>
    <w:rsid w:val="00CD7AC7"/>
    <w:rsid w:val="00CD7D8D"/>
    <w:rsid w:val="00CE2B96"/>
    <w:rsid w:val="00CE6A5A"/>
    <w:rsid w:val="00CF04F5"/>
    <w:rsid w:val="00CF0FA4"/>
    <w:rsid w:val="00CF6565"/>
    <w:rsid w:val="00CF6E19"/>
    <w:rsid w:val="00D018C2"/>
    <w:rsid w:val="00D058C9"/>
    <w:rsid w:val="00D07333"/>
    <w:rsid w:val="00D075F7"/>
    <w:rsid w:val="00D107CD"/>
    <w:rsid w:val="00D11322"/>
    <w:rsid w:val="00D13528"/>
    <w:rsid w:val="00D14C90"/>
    <w:rsid w:val="00D20A2B"/>
    <w:rsid w:val="00D20AA9"/>
    <w:rsid w:val="00D2392B"/>
    <w:rsid w:val="00D3188E"/>
    <w:rsid w:val="00D43553"/>
    <w:rsid w:val="00D440F2"/>
    <w:rsid w:val="00D4473A"/>
    <w:rsid w:val="00D46BC3"/>
    <w:rsid w:val="00D52D93"/>
    <w:rsid w:val="00D641FB"/>
    <w:rsid w:val="00D75BBD"/>
    <w:rsid w:val="00D8688B"/>
    <w:rsid w:val="00D961DB"/>
    <w:rsid w:val="00DA2734"/>
    <w:rsid w:val="00DA3A96"/>
    <w:rsid w:val="00DA7367"/>
    <w:rsid w:val="00DA7B8D"/>
    <w:rsid w:val="00DB6A6F"/>
    <w:rsid w:val="00DC3588"/>
    <w:rsid w:val="00DD5129"/>
    <w:rsid w:val="00DD7AC3"/>
    <w:rsid w:val="00DE6ED5"/>
    <w:rsid w:val="00E02CD9"/>
    <w:rsid w:val="00E04916"/>
    <w:rsid w:val="00E04EB5"/>
    <w:rsid w:val="00E11EAD"/>
    <w:rsid w:val="00E1463C"/>
    <w:rsid w:val="00E15B6C"/>
    <w:rsid w:val="00E15D9F"/>
    <w:rsid w:val="00E302A4"/>
    <w:rsid w:val="00E33825"/>
    <w:rsid w:val="00E3451D"/>
    <w:rsid w:val="00E3752A"/>
    <w:rsid w:val="00E43EB7"/>
    <w:rsid w:val="00E47D85"/>
    <w:rsid w:val="00E50774"/>
    <w:rsid w:val="00E535B1"/>
    <w:rsid w:val="00E54709"/>
    <w:rsid w:val="00E56377"/>
    <w:rsid w:val="00E75EDD"/>
    <w:rsid w:val="00E76C44"/>
    <w:rsid w:val="00E83835"/>
    <w:rsid w:val="00E85FF7"/>
    <w:rsid w:val="00EA28A6"/>
    <w:rsid w:val="00EA2B58"/>
    <w:rsid w:val="00EB0613"/>
    <w:rsid w:val="00EB390B"/>
    <w:rsid w:val="00EC1F55"/>
    <w:rsid w:val="00EC3612"/>
    <w:rsid w:val="00ED5C4D"/>
    <w:rsid w:val="00EE5BB4"/>
    <w:rsid w:val="00EE6558"/>
    <w:rsid w:val="00EE6DDC"/>
    <w:rsid w:val="00EF5FD5"/>
    <w:rsid w:val="00EF7847"/>
    <w:rsid w:val="00F00364"/>
    <w:rsid w:val="00F04752"/>
    <w:rsid w:val="00F11034"/>
    <w:rsid w:val="00F14BF6"/>
    <w:rsid w:val="00F218F2"/>
    <w:rsid w:val="00F22BB7"/>
    <w:rsid w:val="00F22C28"/>
    <w:rsid w:val="00F23170"/>
    <w:rsid w:val="00F25BBE"/>
    <w:rsid w:val="00F2639E"/>
    <w:rsid w:val="00F315E8"/>
    <w:rsid w:val="00F35F29"/>
    <w:rsid w:val="00F40170"/>
    <w:rsid w:val="00F44653"/>
    <w:rsid w:val="00F470F3"/>
    <w:rsid w:val="00F53357"/>
    <w:rsid w:val="00F5742F"/>
    <w:rsid w:val="00F6082C"/>
    <w:rsid w:val="00F63F58"/>
    <w:rsid w:val="00F65438"/>
    <w:rsid w:val="00F83760"/>
    <w:rsid w:val="00F90591"/>
    <w:rsid w:val="00F95540"/>
    <w:rsid w:val="00FA507D"/>
    <w:rsid w:val="00FB1357"/>
    <w:rsid w:val="00FB2FFC"/>
    <w:rsid w:val="00FB3F6D"/>
    <w:rsid w:val="00FB75A7"/>
    <w:rsid w:val="00FC44DB"/>
    <w:rsid w:val="00FC4A49"/>
    <w:rsid w:val="00FC6477"/>
    <w:rsid w:val="00FD6A86"/>
    <w:rsid w:val="00FE119C"/>
    <w:rsid w:val="00FE4D24"/>
    <w:rsid w:val="00FE7EBA"/>
    <w:rsid w:val="00FF025A"/>
    <w:rsid w:val="00FF38A0"/>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E85AE"/>
  <w15:chartTrackingRefBased/>
  <w15:docId w15:val="{CE23A465-6DD5-43E0-8182-23D162F0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FC7"/>
    <w:pPr>
      <w:spacing w:after="200" w:line="360" w:lineRule="auto"/>
    </w:pPr>
    <w:rPr>
      <w:color w:val="000000" w:themeColor="text1"/>
    </w:rPr>
  </w:style>
  <w:style w:type="paragraph" w:styleId="Heading1">
    <w:name w:val="heading 1"/>
    <w:basedOn w:val="Normal"/>
    <w:next w:val="Normal"/>
    <w:link w:val="Heading1Char"/>
    <w:uiPriority w:val="9"/>
    <w:qFormat/>
    <w:rsid w:val="00967F5A"/>
    <w:pPr>
      <w:keepNext/>
      <w:keepLines/>
      <w:spacing w:before="240" w:after="0"/>
      <w:outlineLvl w:val="0"/>
    </w:pPr>
    <w:rPr>
      <w:rFonts w:asciiTheme="majorHAnsi" w:eastAsiaTheme="majorEastAsia" w:hAnsiTheme="majorHAnsi" w:cstheme="majorBidi"/>
      <w:b/>
      <w:color w:val="0056A9" w:themeColor="accent1"/>
      <w:sz w:val="28"/>
      <w:szCs w:val="32"/>
    </w:rPr>
  </w:style>
  <w:style w:type="paragraph" w:styleId="Heading2">
    <w:name w:val="heading 2"/>
    <w:basedOn w:val="Normal"/>
    <w:next w:val="Normal"/>
    <w:link w:val="Heading2Char"/>
    <w:uiPriority w:val="9"/>
    <w:unhideWhenUsed/>
    <w:qFormat/>
    <w:rsid w:val="00967F5A"/>
    <w:pPr>
      <w:keepNext/>
      <w:keepLines/>
      <w:spacing w:before="240" w:after="0"/>
      <w:outlineLvl w:val="1"/>
    </w:pPr>
    <w:rPr>
      <w:rFonts w:asciiTheme="majorHAnsi" w:eastAsiaTheme="majorEastAsia" w:hAnsiTheme="majorHAnsi" w:cstheme="majorBidi"/>
      <w:b/>
      <w:color w:val="0056A9" w:themeColor="accent1"/>
      <w:szCs w:val="26"/>
    </w:rPr>
  </w:style>
  <w:style w:type="paragraph" w:styleId="Heading3">
    <w:name w:val="heading 3"/>
    <w:basedOn w:val="Normal"/>
    <w:next w:val="Normal"/>
    <w:link w:val="Heading3Char"/>
    <w:uiPriority w:val="9"/>
    <w:unhideWhenUsed/>
    <w:qFormat/>
    <w:rsid w:val="00F53357"/>
    <w:pPr>
      <w:keepNext/>
      <w:keepLines/>
      <w:spacing w:before="40" w:after="0"/>
      <w:outlineLvl w:val="2"/>
    </w:pPr>
    <w:rPr>
      <w:rFonts w:asciiTheme="majorHAnsi" w:eastAsiaTheme="majorEastAsia" w:hAnsiTheme="majorHAnsi" w:cstheme="majorBidi"/>
      <w:b/>
      <w:color w:val="002E69" w:themeColor="accent5"/>
    </w:rPr>
  </w:style>
  <w:style w:type="paragraph" w:styleId="Heading4">
    <w:name w:val="heading 4"/>
    <w:basedOn w:val="Normal"/>
    <w:next w:val="Normal"/>
    <w:link w:val="Heading4Char"/>
    <w:uiPriority w:val="9"/>
    <w:unhideWhenUsed/>
    <w:qFormat/>
    <w:rsid w:val="00F53357"/>
    <w:pPr>
      <w:keepNext/>
      <w:keepLines/>
      <w:spacing w:before="40" w:after="0"/>
      <w:outlineLvl w:val="3"/>
    </w:pPr>
    <w:rPr>
      <w:rFonts w:asciiTheme="majorHAnsi" w:eastAsiaTheme="majorEastAsia" w:hAnsiTheme="majorHAnsi" w:cstheme="majorBidi"/>
      <w:b/>
      <w:i/>
      <w:iCs/>
      <w:color w:val="002E69" w:themeColor="accent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967F5A"/>
    <w:rPr>
      <w:rFonts w:asciiTheme="majorHAnsi" w:eastAsiaTheme="majorEastAsia" w:hAnsiTheme="majorHAnsi" w:cstheme="majorBidi"/>
      <w:b/>
      <w:color w:val="0056A9" w:themeColor="accent1"/>
      <w:sz w:val="28"/>
      <w:szCs w:val="32"/>
    </w:rPr>
  </w:style>
  <w:style w:type="character" w:customStyle="1" w:styleId="Heading2Char">
    <w:name w:val="Heading 2 Char"/>
    <w:basedOn w:val="DefaultParagraphFont"/>
    <w:link w:val="Heading2"/>
    <w:uiPriority w:val="9"/>
    <w:rsid w:val="00967F5A"/>
    <w:rPr>
      <w:rFonts w:asciiTheme="majorHAnsi" w:eastAsiaTheme="majorEastAsia" w:hAnsiTheme="majorHAnsi" w:cstheme="majorBidi"/>
      <w:b/>
      <w:color w:val="0056A9" w:themeColor="accent1"/>
      <w:szCs w:val="26"/>
    </w:rPr>
  </w:style>
  <w:style w:type="paragraph" w:styleId="ListParagraph">
    <w:name w:val="List Paragraph"/>
    <w:basedOn w:val="Normal"/>
    <w:uiPriority w:val="1"/>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F53357"/>
    <w:rPr>
      <w:rFonts w:asciiTheme="majorHAnsi" w:eastAsiaTheme="majorEastAsia" w:hAnsiTheme="majorHAnsi" w:cstheme="majorBidi"/>
      <w:b/>
      <w:color w:val="002E69" w:themeColor="accent5"/>
    </w:rPr>
  </w:style>
  <w:style w:type="character" w:customStyle="1" w:styleId="Heading4Char">
    <w:name w:val="Heading 4 Char"/>
    <w:basedOn w:val="DefaultParagraphFont"/>
    <w:link w:val="Heading4"/>
    <w:uiPriority w:val="9"/>
    <w:rsid w:val="00F53357"/>
    <w:rPr>
      <w:rFonts w:asciiTheme="majorHAnsi" w:eastAsiaTheme="majorEastAsia" w:hAnsiTheme="majorHAnsi" w:cstheme="majorBidi"/>
      <w:b/>
      <w:i/>
      <w:iCs/>
      <w:color w:val="002E69" w:themeColor="accent5"/>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iPriority w:val="99"/>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qFormat/>
    <w:rsid w:val="00FE4D24"/>
    <w:pPr>
      <w:spacing w:line="240" w:lineRule="auto"/>
    </w:pPr>
    <w:rPr>
      <w:i/>
      <w:iCs/>
      <w:color w:val="000000" w:themeColor="text2"/>
      <w:sz w:val="18"/>
      <w:szCs w:val="18"/>
    </w:rPr>
  </w:style>
  <w:style w:type="paragraph" w:customStyle="1" w:styleId="paragraph">
    <w:name w:val="paragraph"/>
    <w:basedOn w:val="Normal"/>
    <w:rsid w:val="00770FC7"/>
    <w:pPr>
      <w:spacing w:before="100" w:beforeAutospacing="1" w:after="100" w:afterAutospacing="1" w:line="240" w:lineRule="auto"/>
    </w:pPr>
    <w:rPr>
      <w:rFonts w:ascii="Times New Roman" w:eastAsia="Times New Roman" w:hAnsi="Times New Roman" w:cs="Times New Roman"/>
      <w:color w:val="auto"/>
      <w:kern w:val="0"/>
      <w14:ligatures w14:val="none"/>
    </w:rPr>
  </w:style>
  <w:style w:type="paragraph" w:styleId="ListNumber">
    <w:name w:val="List Number"/>
    <w:basedOn w:val="Normal"/>
    <w:uiPriority w:val="99"/>
    <w:unhideWhenUsed/>
    <w:rsid w:val="00770FC7"/>
    <w:pPr>
      <w:contextualSpacing/>
    </w:pPr>
  </w:style>
  <w:style w:type="character" w:styleId="CommentReference">
    <w:name w:val="annotation reference"/>
    <w:basedOn w:val="DefaultParagraphFont"/>
    <w:uiPriority w:val="99"/>
    <w:semiHidden/>
    <w:unhideWhenUsed/>
    <w:rsid w:val="00770FC7"/>
    <w:rPr>
      <w:sz w:val="16"/>
      <w:szCs w:val="16"/>
    </w:rPr>
  </w:style>
  <w:style w:type="paragraph" w:styleId="CommentText">
    <w:name w:val="annotation text"/>
    <w:basedOn w:val="Normal"/>
    <w:link w:val="CommentTextChar"/>
    <w:uiPriority w:val="99"/>
    <w:unhideWhenUsed/>
    <w:rsid w:val="00770FC7"/>
    <w:pPr>
      <w:spacing w:line="240" w:lineRule="auto"/>
    </w:pPr>
    <w:rPr>
      <w:sz w:val="20"/>
      <w:szCs w:val="20"/>
    </w:rPr>
  </w:style>
  <w:style w:type="character" w:customStyle="1" w:styleId="CommentTextChar">
    <w:name w:val="Comment Text Char"/>
    <w:basedOn w:val="DefaultParagraphFont"/>
    <w:link w:val="CommentText"/>
    <w:uiPriority w:val="99"/>
    <w:rsid w:val="00770FC7"/>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70FC7"/>
    <w:rPr>
      <w:b/>
      <w:bCs/>
    </w:rPr>
  </w:style>
  <w:style w:type="character" w:customStyle="1" w:styleId="CommentSubjectChar">
    <w:name w:val="Comment Subject Char"/>
    <w:basedOn w:val="CommentTextChar"/>
    <w:link w:val="CommentSubject"/>
    <w:uiPriority w:val="99"/>
    <w:semiHidden/>
    <w:rsid w:val="00770FC7"/>
    <w:rPr>
      <w:b/>
      <w:bCs/>
      <w:color w:val="000000" w:themeColor="text1"/>
      <w:sz w:val="20"/>
      <w:szCs w:val="20"/>
    </w:rPr>
  </w:style>
  <w:style w:type="character" w:styleId="UnresolvedMention">
    <w:name w:val="Unresolved Mention"/>
    <w:basedOn w:val="DefaultParagraphFont"/>
    <w:uiPriority w:val="99"/>
    <w:semiHidden/>
    <w:unhideWhenUsed/>
    <w:rsid w:val="006F78ED"/>
    <w:rPr>
      <w:color w:val="605E5C"/>
      <w:shd w:val="clear" w:color="auto" w:fill="E1DFDD"/>
    </w:rPr>
  </w:style>
  <w:style w:type="paragraph" w:styleId="Revision">
    <w:name w:val="Revision"/>
    <w:hidden/>
    <w:uiPriority w:val="99"/>
    <w:semiHidden/>
    <w:rsid w:val="00913DCA"/>
    <w:rPr>
      <w:color w:val="000000" w:themeColor="text1"/>
    </w:rPr>
  </w:style>
  <w:style w:type="character" w:styleId="FollowedHyperlink">
    <w:name w:val="FollowedHyperlink"/>
    <w:basedOn w:val="DefaultParagraphFont"/>
    <w:uiPriority w:val="99"/>
    <w:semiHidden/>
    <w:unhideWhenUsed/>
    <w:rsid w:val="00F218F2"/>
    <w:rPr>
      <w:color w:val="5F0F40" w:themeColor="followedHyperlink"/>
      <w:u w:val="single"/>
    </w:rPr>
  </w:style>
  <w:style w:type="paragraph" w:styleId="TableofFigures">
    <w:name w:val="table of figures"/>
    <w:basedOn w:val="Normal"/>
    <w:next w:val="Normal"/>
    <w:uiPriority w:val="99"/>
    <w:unhideWhenUsed/>
    <w:rsid w:val="00EA28A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734470413">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234969215">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BA7DD-6D38-4DA9-9540-ED5F43718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38030A-1151-48DB-8A23-26F7EDCC7F4A}">
  <ds:schemaRefs>
    <ds:schemaRef ds:uri="http://schemas.microsoft.com/office/2006/metadata/properties"/>
    <ds:schemaRef ds:uri="http://schemas.microsoft.com/office/infopath/2007/PartnerControls"/>
    <ds:schemaRef ds:uri="7fef7c20-eb6f-4e1b-9e04-31bde27da1d8"/>
    <ds:schemaRef ds:uri="4f546ee9-1892-45b9-9ba2-985592e03772"/>
  </ds:schemaRefs>
</ds:datastoreItem>
</file>

<file path=customXml/itemProps3.xml><?xml version="1.0" encoding="utf-8"?>
<ds:datastoreItem xmlns:ds="http://schemas.openxmlformats.org/officeDocument/2006/customXml" ds:itemID="{FCDE3115-644F-4C41-8C77-9ABF1A05B754}">
  <ds:schemaRefs>
    <ds:schemaRef ds:uri="http://schemas.microsoft.com/sharepoint/v3/contenttype/forms"/>
  </ds:schemaRefs>
</ds:datastoreItem>
</file>

<file path=customXml/itemProps4.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Best Management Practice Section and Design Job Aid: Chemical Management</vt:lpstr>
    </vt:vector>
  </TitlesOfParts>
  <Company/>
  <LinksUpToDate>false</LinksUpToDate>
  <CharactersWithSpaces>2670</CharactersWithSpaces>
  <SharedDoc>false</SharedDoc>
  <HLinks>
    <vt:vector size="12" baseType="variant">
      <vt:variant>
        <vt:i4>3735607</vt:i4>
      </vt:variant>
      <vt:variant>
        <vt:i4>6</vt:i4>
      </vt:variant>
      <vt:variant>
        <vt:i4>0</vt:i4>
      </vt:variant>
      <vt:variant>
        <vt:i4>5</vt:i4>
      </vt:variant>
      <vt:variant>
        <vt:lpwstr>https://ftp.dot.state.tx.us/pub/txdot-info/cmd/cserve/specs/2014/standard/s506.pdf</vt:lpwstr>
      </vt:variant>
      <vt:variant>
        <vt:lpwstr/>
      </vt:variant>
      <vt:variant>
        <vt:i4>4784158</vt:i4>
      </vt:variant>
      <vt:variant>
        <vt:i4>3</vt:i4>
      </vt:variant>
      <vt:variant>
        <vt:i4>0</vt:i4>
      </vt:variant>
      <vt:variant>
        <vt:i4>5</vt:i4>
      </vt:variant>
      <vt:variant>
        <vt:lpwstr>https://ftp.dot.state.tx.us/pub/txdot-info/cmd/cserve/standard/roadway/ec116.pdf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Management Practice Section and Design Job Aid: Chemical Management</dc:title>
  <dc:subject>This job aid provides educational technical information on chemical management to aid in design and inspection</dc:subject>
  <dc:creator>TxDOT</dc:creator>
  <cp:keywords>075-21-bmp; BMP; Chemical Management</cp:keywords>
  <dc:description>Word; Accessibility; Template</dc:description>
  <cp:lastModifiedBy>Elisa Garcia</cp:lastModifiedBy>
  <cp:revision>4</cp:revision>
  <dcterms:created xsi:type="dcterms:W3CDTF">2026-03-25T12:31:00Z</dcterms:created>
  <dcterms:modified xsi:type="dcterms:W3CDTF">2026-03-27T14:21:00Z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