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4597" w14:textId="65C6A6AD"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E7043A" w:rsidRPr="00E7043A">
        <w:rPr>
          <w:rFonts w:asciiTheme="minorHAnsi" w:hAnsiTheme="minorHAnsi"/>
          <w:sz w:val="36"/>
          <w:szCs w:val="36"/>
        </w:rPr>
        <w:t>Construction Perimeter Fence</w:t>
      </w:r>
    </w:p>
    <w:p w14:paraId="7B5BB072" w14:textId="77777777" w:rsidR="00BC43B0" w:rsidRDefault="00BC43B0" w:rsidP="00BC43B0">
      <w:r w:rsidRPr="00BC43B0">
        <w:t>Construction stormwater Best Management Practice</w:t>
      </w:r>
      <w:r w:rsidR="000C510B">
        <w:t xml:space="preserve"> (BMP)</w:t>
      </w:r>
      <w:r w:rsidRPr="00BC43B0">
        <w:t xml:space="preserve"> must be installed, </w:t>
      </w:r>
      <w:r w:rsidR="001F62FA">
        <w:t xml:space="preserve">inspected, </w:t>
      </w:r>
      <w:r w:rsidRPr="00BC43B0">
        <w:t xml:space="preserve">maintained and removed in accordance with </w:t>
      </w:r>
      <w:r w:rsidR="00943DDC">
        <w:t xml:space="preserve">Texas Department of Transportation (TxDOT) </w:t>
      </w:r>
      <w:r w:rsidRPr="00BC43B0">
        <w:t>manufacturer specifications, where applicable, and the Construction General Permit (TXR150000).</w:t>
      </w:r>
    </w:p>
    <w:p w14:paraId="078CEDF1" w14:textId="77777777" w:rsidR="005456F3" w:rsidRPr="00EE6558" w:rsidRDefault="00F40170" w:rsidP="005456F3">
      <w:pPr>
        <w:pStyle w:val="Heading2"/>
        <w:rPr>
          <w:sz w:val="28"/>
          <w:szCs w:val="28"/>
        </w:rPr>
      </w:pPr>
      <w:r w:rsidRPr="00EE6558">
        <w:rPr>
          <w:sz w:val="28"/>
          <w:szCs w:val="28"/>
        </w:rPr>
        <w:t>Description</w:t>
      </w:r>
    </w:p>
    <w:p w14:paraId="4490F903" w14:textId="67F8789F" w:rsidR="00770FC7" w:rsidRDefault="00E7043A" w:rsidP="00770FC7">
      <w:r w:rsidRPr="00E7043A">
        <w:t xml:space="preserve">Construction perimeter fence is temporarily placed along the boundary of the project site, </w:t>
      </w:r>
      <w:r w:rsidR="00A276F8">
        <w:t xml:space="preserve">around </w:t>
      </w:r>
      <w:r w:rsidRPr="00E7043A">
        <w:t xml:space="preserve">environmentally sensitive areas, and </w:t>
      </w:r>
      <w:r w:rsidR="00A276F8">
        <w:t xml:space="preserve">used </w:t>
      </w:r>
      <w:r w:rsidRPr="00E7043A">
        <w:t>as safety precaution for certain areas.</w:t>
      </w:r>
    </w:p>
    <w:p w14:paraId="08ADC65A" w14:textId="70BEED23" w:rsidR="00770FC7" w:rsidRDefault="001C0146" w:rsidP="00770FC7">
      <w:pPr>
        <w:keepNext/>
      </w:pPr>
      <w:r w:rsidRPr="00E029C2">
        <w:rPr>
          <w:rFonts w:ascii="Arial" w:hAnsi="Arial" w:cs="Arial"/>
          <w:noProof/>
          <w:sz w:val="20"/>
          <w:szCs w:val="20"/>
        </w:rPr>
        <w:drawing>
          <wp:anchor distT="0" distB="0" distL="114300" distR="114300" simplePos="0" relativeHeight="251659264" behindDoc="0" locked="0" layoutInCell="1" allowOverlap="1" wp14:anchorId="679C4D93" wp14:editId="7500B46C">
            <wp:simplePos x="0" y="0"/>
            <wp:positionH relativeFrom="column">
              <wp:posOffset>18415</wp:posOffset>
            </wp:positionH>
            <wp:positionV relativeFrom="paragraph">
              <wp:posOffset>18415</wp:posOffset>
            </wp:positionV>
            <wp:extent cx="3429000" cy="1856232"/>
            <wp:effectExtent l="19050" t="19050" r="19050" b="10795"/>
            <wp:wrapNone/>
            <wp:docPr id="523111893" name="Picture 523111893" descr="A construction perimeter fence, constructed of sediment control fence, has been installed along the boundary of the project site The construction perimeter fence separates disturbed soil and sediment buildup from the adjacent sidewalk and roadway with traveling veh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111893" name="Picture 523111893" descr="A construction perimeter fence, constructed of sediment control fence, has been installed along the boundary of the project site The construction perimeter fence separates disturbed soil and sediment buildup from the adjacent sidewalk and roadway with traveling vehicles."/>
                    <pic:cNvPicPr/>
                  </pic:nvPicPr>
                  <pic:blipFill>
                    <a:blip r:embed="rId11" cstate="print">
                      <a:extLst>
                        <a:ext uri="{28A0092B-C50C-407E-A947-70E740481C1C}">
                          <a14:useLocalDpi xmlns:a14="http://schemas.microsoft.com/office/drawing/2010/main" val="0"/>
                        </a:ext>
                      </a:extLst>
                    </a:blip>
                    <a:srcRect t="13883" b="13883"/>
                    <a:stretch>
                      <a:fillRect/>
                    </a:stretch>
                  </pic:blipFill>
                  <pic:spPr bwMode="auto">
                    <a:xfrm>
                      <a:off x="0" y="0"/>
                      <a:ext cx="3429000" cy="1856232"/>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0FC7">
        <w:rPr>
          <w:noProof/>
        </w:rPr>
        <w:drawing>
          <wp:inline distT="0" distB="0" distL="0" distR="0" wp14:anchorId="1F752ECC" wp14:editId="6D911642">
            <wp:extent cx="3320497" cy="1812290"/>
            <wp:effectExtent l="19050" t="19050" r="13335" b="16510"/>
            <wp:docPr id="235359155" name="Picture 1" descr="Sediment control fence installed along the perimeter of a construction site, with black silt fencing and a green erosion control log placed at the curb to prevent sediment from entering the road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9155" name="Picture 1" descr="Sediment control fence installed along the perimeter of a construction site, with black silt fencing and a green erosion control log placed at the curb to prevent sediment from entering the roadway."/>
                    <pic:cNvPicPr>
                      <a:picLocks noChangeAspect="1" noChangeArrowheads="1"/>
                    </pic:cNvPicPr>
                  </pic:nvPicPr>
                  <pic:blipFill rotWithShape="1">
                    <a:blip r:embed="rId12">
                      <a:extLst>
                        <a:ext uri="{28A0092B-C50C-407E-A947-70E740481C1C}">
                          <a14:useLocalDpi xmlns:a14="http://schemas.microsoft.com/office/drawing/2010/main" val="0"/>
                        </a:ext>
                      </a:extLst>
                    </a:blip>
                    <a:srcRect l="1299" t="2344" r="1826" b="2333"/>
                    <a:stretch>
                      <a:fillRect/>
                    </a:stretch>
                  </pic:blipFill>
                  <pic:spPr bwMode="auto">
                    <a:xfrm>
                      <a:off x="0" y="0"/>
                      <a:ext cx="3321829" cy="1813017"/>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D9F3182" w14:textId="33AF0F3D"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E7043A">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0532E1" w:rsidRPr="000532E1">
        <w:rPr>
          <w:i w:val="0"/>
          <w:iCs w:val="0"/>
          <w:sz w:val="24"/>
          <w:szCs w:val="24"/>
        </w:rPr>
        <w:t>Construction perimeter fence has been installed along the boundary of the project site to contain sediment</w:t>
      </w:r>
      <w:r w:rsidR="000532E1">
        <w:rPr>
          <w:i w:val="0"/>
          <w:iCs w:val="0"/>
          <w:sz w:val="24"/>
          <w:szCs w:val="24"/>
        </w:rPr>
        <w:t>.</w:t>
      </w:r>
    </w:p>
    <w:p w14:paraId="2F3AEE4B" w14:textId="77777777" w:rsidR="005456F3" w:rsidRDefault="00F40170" w:rsidP="00266C64">
      <w:pPr>
        <w:pStyle w:val="Heading2"/>
        <w:rPr>
          <w:sz w:val="28"/>
          <w:szCs w:val="28"/>
        </w:rPr>
      </w:pPr>
      <w:r w:rsidRPr="00EE6558">
        <w:rPr>
          <w:sz w:val="28"/>
          <w:szCs w:val="28"/>
        </w:rPr>
        <w:t>Types</w:t>
      </w:r>
    </w:p>
    <w:p w14:paraId="7D5A0ED8" w14:textId="7FE53E2D" w:rsidR="00E7043A" w:rsidRPr="00E7043A" w:rsidRDefault="00E7043A" w:rsidP="00E7043A">
      <w:r w:rsidRPr="00E7043A">
        <w:t xml:space="preserve">Standard </w:t>
      </w:r>
      <w:r w:rsidR="002A6B68">
        <w:t xml:space="preserve">Sediment Control </w:t>
      </w:r>
      <w:r w:rsidRPr="00E7043A">
        <w:t>Fence</w:t>
      </w:r>
    </w:p>
    <w:p w14:paraId="02D47137" w14:textId="716FC432" w:rsidR="00F40170" w:rsidRDefault="00E7043A" w:rsidP="007B474D">
      <w:pPr>
        <w:rPr>
          <w:bCs/>
        </w:rPr>
      </w:pPr>
      <w:r w:rsidRPr="00E7043A">
        <w:rPr>
          <w:bCs/>
        </w:rPr>
        <w:t>Orange Construction Fence</w:t>
      </w:r>
    </w:p>
    <w:p w14:paraId="4FF55060" w14:textId="3649D92B" w:rsidR="00E7043A" w:rsidRDefault="00E7043A" w:rsidP="007B474D">
      <w:pPr>
        <w:rPr>
          <w:bCs/>
        </w:rPr>
      </w:pPr>
      <w:r w:rsidRPr="00E7043A">
        <w:rPr>
          <w:bCs/>
        </w:rPr>
        <w:t>Metal Chain-Link Fence</w:t>
      </w:r>
    </w:p>
    <w:p w14:paraId="7EE149A1" w14:textId="32BAF9D2" w:rsidR="00E7043A" w:rsidRPr="001C6463" w:rsidRDefault="00E7043A" w:rsidP="007B474D">
      <w:pPr>
        <w:rPr>
          <w:bCs/>
        </w:rPr>
      </w:pPr>
      <w:r w:rsidRPr="00E7043A">
        <w:rPr>
          <w:bCs/>
        </w:rPr>
        <w:t>Wooden Barricade</w:t>
      </w:r>
    </w:p>
    <w:p w14:paraId="2B0806C6" w14:textId="77777777" w:rsidR="009260DC" w:rsidRPr="00EE6558" w:rsidRDefault="00F40170" w:rsidP="00266C64">
      <w:pPr>
        <w:pStyle w:val="Heading2"/>
        <w:rPr>
          <w:sz w:val="28"/>
          <w:szCs w:val="28"/>
        </w:rPr>
      </w:pPr>
      <w:r w:rsidRPr="00EE6558">
        <w:rPr>
          <w:sz w:val="28"/>
          <w:szCs w:val="28"/>
        </w:rPr>
        <w:lastRenderedPageBreak/>
        <w:t>Application</w:t>
      </w:r>
    </w:p>
    <w:p w14:paraId="6DF8B1D2" w14:textId="51804B91" w:rsidR="00F40170" w:rsidRDefault="00E7043A" w:rsidP="00F40170">
      <w:r w:rsidRPr="00E7043A">
        <w:t>Construction perimeter fence is used to limit access to the construction site which protects site personnel and the public from onsite safety hazards. Additionally, it alerts site personnel to environmentally sensitive areas that may exist within the project boundary. Finally, it can aid in keeping construction debris on-site. Construction perimeter fences should be placed in the following locations:</w:t>
      </w:r>
    </w:p>
    <w:p w14:paraId="1BEA9486" w14:textId="77777777" w:rsidR="00E7043A" w:rsidRPr="00E7043A" w:rsidRDefault="00E7043A" w:rsidP="00E7043A">
      <w:pPr>
        <w:pStyle w:val="ListBullet"/>
        <w:rPr>
          <w:rFonts w:asciiTheme="minorHAnsi" w:hAnsiTheme="minorHAnsi"/>
          <w:szCs w:val="24"/>
        </w:rPr>
      </w:pPr>
      <w:r w:rsidRPr="00E7043A">
        <w:rPr>
          <w:rFonts w:asciiTheme="minorHAnsi" w:hAnsiTheme="minorHAnsi"/>
          <w:szCs w:val="24"/>
        </w:rPr>
        <w:t>Along the boundary of the construction site</w:t>
      </w:r>
    </w:p>
    <w:p w14:paraId="769C7B1F" w14:textId="6ECD15CC" w:rsidR="00E7043A" w:rsidRDefault="00E7043A" w:rsidP="00E7043A">
      <w:pPr>
        <w:pStyle w:val="ListBullet"/>
        <w:rPr>
          <w:rFonts w:asciiTheme="minorHAnsi" w:hAnsiTheme="minorHAnsi"/>
          <w:szCs w:val="24"/>
        </w:rPr>
      </w:pPr>
      <w:r w:rsidRPr="00E7043A">
        <w:rPr>
          <w:rFonts w:asciiTheme="minorHAnsi" w:hAnsiTheme="minorHAnsi"/>
          <w:szCs w:val="24"/>
        </w:rPr>
        <w:t>Around hazardous areas</w:t>
      </w:r>
    </w:p>
    <w:p w14:paraId="0F974332" w14:textId="30190300" w:rsidR="00F40170" w:rsidRPr="00E7043A" w:rsidRDefault="00E7043A" w:rsidP="00E7043A">
      <w:pPr>
        <w:pStyle w:val="ListBullet"/>
        <w:rPr>
          <w:rFonts w:asciiTheme="minorHAnsi" w:hAnsiTheme="minorHAnsi"/>
          <w:szCs w:val="24"/>
        </w:rPr>
      </w:pPr>
      <w:r w:rsidRPr="00E7043A">
        <w:rPr>
          <w:rFonts w:asciiTheme="minorHAnsi" w:hAnsiTheme="minorHAnsi"/>
          <w:szCs w:val="24"/>
        </w:rPr>
        <w:t>Along the boundary of prohibited areas (environmentally sensitive areas, preserved vegetation, tree protection, etc</w:t>
      </w:r>
      <w:r>
        <w:rPr>
          <w:rFonts w:asciiTheme="minorHAnsi" w:hAnsiTheme="minorHAnsi"/>
          <w:szCs w:val="24"/>
        </w:rPr>
        <w:t>etera</w:t>
      </w:r>
      <w:r w:rsidRPr="00E7043A">
        <w:rPr>
          <w:rFonts w:asciiTheme="minorHAnsi" w:hAnsiTheme="minorHAnsi"/>
          <w:szCs w:val="24"/>
        </w:rPr>
        <w:t>)</w:t>
      </w:r>
    </w:p>
    <w:p w14:paraId="38F98652" w14:textId="77777777" w:rsidR="00F40170" w:rsidRPr="00EE6558" w:rsidRDefault="00F40170" w:rsidP="00266C64">
      <w:pPr>
        <w:pStyle w:val="Heading3"/>
        <w:rPr>
          <w:sz w:val="26"/>
          <w:szCs w:val="26"/>
        </w:rPr>
      </w:pPr>
      <w:r w:rsidRPr="00EE6558">
        <w:rPr>
          <w:sz w:val="26"/>
          <w:szCs w:val="26"/>
        </w:rPr>
        <w:t>Advantages</w:t>
      </w:r>
    </w:p>
    <w:p w14:paraId="6CB5DDDC" w14:textId="77777777" w:rsidR="00E7043A" w:rsidRDefault="00E7043A" w:rsidP="00E7043A">
      <w:pPr>
        <w:pStyle w:val="ListBullet"/>
      </w:pPr>
      <w:r>
        <w:t>Can be used in conjunction with other perimeter controls</w:t>
      </w:r>
    </w:p>
    <w:p w14:paraId="180D2D0C" w14:textId="77777777" w:rsidR="00E7043A" w:rsidRDefault="00E7043A" w:rsidP="00E7043A">
      <w:pPr>
        <w:pStyle w:val="ListBullet"/>
      </w:pPr>
      <w:r>
        <w:t>Allow for limited access to the site</w:t>
      </w:r>
    </w:p>
    <w:p w14:paraId="4C85DD08" w14:textId="77777777" w:rsidR="00E7043A" w:rsidRDefault="00E7043A" w:rsidP="00E7043A">
      <w:pPr>
        <w:pStyle w:val="ListBullet"/>
      </w:pPr>
      <w:r>
        <w:t>Durable</w:t>
      </w:r>
    </w:p>
    <w:p w14:paraId="0D2C4CF4" w14:textId="0A26D0DD" w:rsidR="00F40170" w:rsidRPr="00F40170" w:rsidRDefault="00E7043A" w:rsidP="00E7043A">
      <w:pPr>
        <w:pStyle w:val="ListBullet"/>
      </w:pPr>
      <w:r>
        <w:t>Easily installed</w:t>
      </w:r>
    </w:p>
    <w:p w14:paraId="7790F265" w14:textId="77777777" w:rsidR="00F40170" w:rsidRPr="00EE6558" w:rsidRDefault="00F40170" w:rsidP="00266C64">
      <w:pPr>
        <w:pStyle w:val="Heading3"/>
        <w:rPr>
          <w:sz w:val="26"/>
          <w:szCs w:val="26"/>
        </w:rPr>
      </w:pPr>
      <w:r w:rsidRPr="00EE6558">
        <w:rPr>
          <w:sz w:val="26"/>
          <w:szCs w:val="26"/>
        </w:rPr>
        <w:t>Disadvantages</w:t>
      </w:r>
    </w:p>
    <w:p w14:paraId="1403850A" w14:textId="77777777" w:rsidR="00E7043A" w:rsidRDefault="00E7043A" w:rsidP="00E7043A">
      <w:pPr>
        <w:pStyle w:val="ListBullet"/>
      </w:pPr>
      <w:r>
        <w:t>May be practical in certain circumstances</w:t>
      </w:r>
    </w:p>
    <w:p w14:paraId="18617302" w14:textId="7691E7BC" w:rsidR="00770FC7" w:rsidRPr="00770FC7" w:rsidRDefault="00E7043A" w:rsidP="00E7043A">
      <w:pPr>
        <w:pStyle w:val="ListBullet"/>
      </w:pPr>
      <w:r>
        <w:t>Can fail structurally under heavy storm flows</w:t>
      </w:r>
    </w:p>
    <w:p w14:paraId="6D85DE5A" w14:textId="77777777" w:rsidR="009260DC" w:rsidRPr="00EE6558" w:rsidRDefault="00F40170" w:rsidP="00266C64">
      <w:pPr>
        <w:pStyle w:val="Heading2"/>
        <w:rPr>
          <w:sz w:val="28"/>
          <w:szCs w:val="28"/>
        </w:rPr>
      </w:pPr>
      <w:r w:rsidRPr="00EE6558">
        <w:rPr>
          <w:sz w:val="28"/>
          <w:szCs w:val="28"/>
        </w:rPr>
        <w:t>Design Criteria</w:t>
      </w:r>
    </w:p>
    <w:p w14:paraId="42973AAD" w14:textId="77777777" w:rsidR="00E7043A" w:rsidRPr="00E7043A" w:rsidRDefault="00E7043A" w:rsidP="00E7043A">
      <w:pPr>
        <w:pStyle w:val="ListNumber"/>
        <w:numPr>
          <w:ilvl w:val="0"/>
          <w:numId w:val="5"/>
        </w:numPr>
        <w:ind w:left="540" w:hanging="540"/>
      </w:pPr>
      <w:r w:rsidRPr="00E7043A">
        <w:t>Determine construction site access routes prior to the addition of construction perimeter fence to the plans sheet.</w:t>
      </w:r>
    </w:p>
    <w:p w14:paraId="43B01F9A" w14:textId="496ACACE" w:rsidR="00770FC7" w:rsidRPr="00770FC7" w:rsidRDefault="00E7043A" w:rsidP="00122EF8">
      <w:pPr>
        <w:pStyle w:val="ListNumber"/>
        <w:numPr>
          <w:ilvl w:val="0"/>
          <w:numId w:val="5"/>
        </w:numPr>
        <w:ind w:left="540" w:hanging="540"/>
      </w:pPr>
      <w:r w:rsidRPr="00E7043A">
        <w:t>Construction perimeter fence must be installed around all prohibited areas where construction activities are not allowed (environmentally sensitive areas, waterbodies, wetlands, preserved vegetation, tree protection, etc</w:t>
      </w:r>
      <w:r>
        <w:t>etera</w:t>
      </w:r>
      <w:r w:rsidRPr="00E7043A">
        <w:t>).</w:t>
      </w:r>
    </w:p>
    <w:p w14:paraId="6E2CDA4E" w14:textId="28C07BEB" w:rsidR="00E7043A" w:rsidRPr="00E7043A" w:rsidRDefault="00E7043A" w:rsidP="00E7043A">
      <w:pPr>
        <w:pStyle w:val="ListNumber"/>
        <w:numPr>
          <w:ilvl w:val="0"/>
          <w:numId w:val="5"/>
        </w:numPr>
        <w:ind w:left="540" w:hanging="540"/>
      </w:pPr>
      <w:r w:rsidRPr="00E7043A">
        <w:t>Implement construction perimeter fence in areas that are deemed a safety concern for the public and</w:t>
      </w:r>
      <w:r w:rsidR="002812EE">
        <w:t xml:space="preserve"> </w:t>
      </w:r>
      <w:r w:rsidRPr="00E7043A">
        <w:t xml:space="preserve">or for site personnel (fall protection, additional </w:t>
      </w:r>
      <w:r w:rsidR="0040611A">
        <w:t>personal protective equipment (</w:t>
      </w:r>
      <w:r w:rsidRPr="00E7043A">
        <w:t>PPE</w:t>
      </w:r>
      <w:r w:rsidR="0040611A">
        <w:t>)</w:t>
      </w:r>
      <w:r w:rsidRPr="00E7043A">
        <w:t xml:space="preserve"> needs, contaminated soil, etc</w:t>
      </w:r>
      <w:r>
        <w:t>etera</w:t>
      </w:r>
      <w:r w:rsidRPr="00E7043A">
        <w:t>), as well as in areas with privacy concerns.</w:t>
      </w:r>
    </w:p>
    <w:p w14:paraId="16E80CAB" w14:textId="6504197B" w:rsidR="00E7043A" w:rsidRPr="00E7043A" w:rsidRDefault="00E7043A" w:rsidP="00E7043A">
      <w:pPr>
        <w:pStyle w:val="ListNumber"/>
        <w:numPr>
          <w:ilvl w:val="0"/>
          <w:numId w:val="5"/>
        </w:numPr>
        <w:ind w:left="540" w:hanging="540"/>
      </w:pPr>
      <w:r w:rsidRPr="00E7043A">
        <w:lastRenderedPageBreak/>
        <w:t>Construction perimeter fence should be installed prior to soil disturbing activities.</w:t>
      </w:r>
    </w:p>
    <w:p w14:paraId="360A3127" w14:textId="696589BB" w:rsidR="00D32865" w:rsidRDefault="00E7043A" w:rsidP="00E7043A">
      <w:pPr>
        <w:pStyle w:val="ListNumber"/>
        <w:numPr>
          <w:ilvl w:val="0"/>
          <w:numId w:val="5"/>
        </w:numPr>
        <w:ind w:left="540" w:hanging="540"/>
      </w:pPr>
      <w:r w:rsidRPr="00E7043A">
        <w:t>Safety signage may be installed along the construction perimeter fence if required for the project site.</w:t>
      </w:r>
    </w:p>
    <w:p w14:paraId="400C7DE2" w14:textId="77777777" w:rsidR="00F40170" w:rsidRPr="00EE6558" w:rsidRDefault="00F40170" w:rsidP="00266C64">
      <w:pPr>
        <w:pStyle w:val="Heading2"/>
        <w:rPr>
          <w:sz w:val="28"/>
          <w:szCs w:val="28"/>
        </w:rPr>
      </w:pPr>
      <w:r w:rsidRPr="00EE6558">
        <w:rPr>
          <w:sz w:val="28"/>
          <w:szCs w:val="28"/>
        </w:rPr>
        <w:t>References</w:t>
      </w:r>
    </w:p>
    <w:p w14:paraId="06AC6DB0" w14:textId="77777777" w:rsidR="00BD7D2F" w:rsidRDefault="002A6703" w:rsidP="005F7DC7">
      <w:hyperlink r:id="rId13" w:history="1">
        <w:r w:rsidRPr="00AB7FE7">
          <w:rPr>
            <w:rStyle w:val="Hyperlink"/>
          </w:rPr>
          <w:t>Texas Pollutant Discharge Elimination System (TPDES) Construction General Permit TXR150000</w:t>
        </w:r>
      </w:hyperlink>
      <w:r w:rsidRPr="00AB7FE7">
        <w:t xml:space="preserve"> Part III.</w:t>
      </w:r>
      <w:r>
        <w:t xml:space="preserve"> F</w:t>
      </w:r>
      <w:r w:rsidRPr="00AB7FE7">
        <w:t xml:space="preserve"> and Part I</w:t>
      </w:r>
      <w:r w:rsidR="00BD7D2F">
        <w:t>V</w:t>
      </w:r>
      <w:r w:rsidRPr="00AB7FE7">
        <w:t>.</w:t>
      </w:r>
    </w:p>
    <w:p w14:paraId="05E34254" w14:textId="640DF63D" w:rsidR="005F7DC7" w:rsidRDefault="005F7DC7" w:rsidP="005F7DC7">
      <w:hyperlink r:id="rId14" w:history="1">
        <w:r w:rsidRPr="00E85FF7">
          <w:rPr>
            <w:rStyle w:val="Hyperlink"/>
            <w:i/>
            <w:iCs/>
          </w:rPr>
          <w:t>T</w:t>
        </w:r>
        <w:r>
          <w:rPr>
            <w:rStyle w:val="Hyperlink"/>
            <w:i/>
            <w:iCs/>
          </w:rPr>
          <w:t>exas Department of Transportation (T</w:t>
        </w:r>
        <w:r w:rsidRPr="00E85FF7">
          <w:rPr>
            <w:rStyle w:val="Hyperlink"/>
            <w:i/>
            <w:iCs/>
          </w:rPr>
          <w:t>xDOT</w:t>
        </w:r>
        <w:r>
          <w:rPr>
            <w:rStyle w:val="Hyperlink"/>
            <w:i/>
            <w:iCs/>
          </w:rPr>
          <w:t>)</w:t>
        </w:r>
        <w:r w:rsidRPr="00E85FF7">
          <w:rPr>
            <w:rStyle w:val="Hyperlink"/>
            <w:i/>
            <w:iCs/>
          </w:rPr>
          <w:t xml:space="preserve"> Standard Specifications for Construction and Maintenance of Highways, Streets, and Bridges, </w:t>
        </w:r>
        <w:r>
          <w:rPr>
            <w:rStyle w:val="Hyperlink"/>
          </w:rPr>
          <w:t>September 1</w:t>
        </w:r>
        <w:r w:rsidRPr="00730092">
          <w:rPr>
            <w:rStyle w:val="Hyperlink"/>
          </w:rPr>
          <w:t>, 20</w:t>
        </w:r>
        <w:r>
          <w:rPr>
            <w:rStyle w:val="Hyperlink"/>
          </w:rPr>
          <w:t>2</w:t>
        </w:r>
        <w:r w:rsidRPr="00730092">
          <w:rPr>
            <w:rStyle w:val="Hyperlink"/>
          </w:rPr>
          <w:t>4, Item 506, Temporary Erosion, Sedimentation, and Environmental Controls</w:t>
        </w:r>
      </w:hyperlink>
      <w:r>
        <w:t xml:space="preserve"> </w:t>
      </w:r>
      <w:r w:rsidRPr="009F3DC3">
        <w:rPr>
          <w:rStyle w:val="Hyperlink"/>
          <w:color w:val="auto"/>
          <w:u w:val="none"/>
        </w:rPr>
        <w:t>(Sections 2.</w:t>
      </w:r>
      <w:r>
        <w:rPr>
          <w:rStyle w:val="Hyperlink"/>
          <w:color w:val="auto"/>
          <w:u w:val="none"/>
        </w:rPr>
        <w:t>7</w:t>
      </w:r>
      <w:r w:rsidRPr="009F3DC3">
        <w:rPr>
          <w:rStyle w:val="Hyperlink"/>
          <w:color w:val="auto"/>
          <w:u w:val="none"/>
        </w:rPr>
        <w:t xml:space="preserve"> &amp; 4.4.</w:t>
      </w:r>
      <w:r>
        <w:rPr>
          <w:rStyle w:val="Hyperlink"/>
          <w:color w:val="auto"/>
          <w:u w:val="none"/>
        </w:rPr>
        <w:t>6</w:t>
      </w:r>
      <w:r w:rsidRPr="009F3DC3">
        <w:rPr>
          <w:rStyle w:val="Hyperlink"/>
          <w:color w:val="auto"/>
          <w:u w:val="none"/>
        </w:rPr>
        <w:t>)</w:t>
      </w:r>
    </w:p>
    <w:sectPr w:rsidR="005F7DC7" w:rsidSect="0010454F">
      <w:headerReference w:type="default" r:id="rId15"/>
      <w:footerReference w:type="default" r:id="rId16"/>
      <w:headerReference w:type="first" r:id="rId17"/>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EFB6" w14:textId="77777777" w:rsidR="00CC0EF3" w:rsidRDefault="00CC0EF3" w:rsidP="00CE2B96">
      <w:pPr>
        <w:spacing w:after="0"/>
      </w:pPr>
      <w:r>
        <w:separator/>
      </w:r>
    </w:p>
  </w:endnote>
  <w:endnote w:type="continuationSeparator" w:id="0">
    <w:p w14:paraId="10C8E8CB" w14:textId="77777777" w:rsidR="00CC0EF3" w:rsidRDefault="00CC0EF3" w:rsidP="00CE2B96">
      <w:pPr>
        <w:spacing w:after="0"/>
      </w:pPr>
      <w:r>
        <w:continuationSeparator/>
      </w:r>
    </w:p>
  </w:endnote>
  <w:endnote w:type="continuationNotice" w:id="1">
    <w:p w14:paraId="7B6DCFB5" w14:textId="77777777" w:rsidR="00CC0EF3" w:rsidRDefault="00CC0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F634" w14:textId="4D2E369D"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047286D2" wp14:editId="38AADC8A">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14FFA3"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E7043A">
      <w:rPr>
        <w:color w:val="0056A9"/>
      </w:rPr>
      <w:t>Construction Perimeter Fence</w:t>
    </w:r>
    <w:r w:rsidR="00C809D1">
      <w:rPr>
        <w:color w:val="0056A9"/>
      </w:rPr>
      <w:t xml:space="preserv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443D1E4E" w14:textId="77777777" w:rsidR="002376C2" w:rsidRPr="00266C64" w:rsidRDefault="002376C2">
    <w:pPr>
      <w:pStyle w:val="Footer"/>
      <w:rPr>
        <w:color w:val="0056A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082AF" w14:textId="77777777" w:rsidR="00CC0EF3" w:rsidRDefault="00CC0EF3" w:rsidP="00CE2B96">
      <w:pPr>
        <w:spacing w:after="0"/>
      </w:pPr>
      <w:r>
        <w:separator/>
      </w:r>
    </w:p>
  </w:footnote>
  <w:footnote w:type="continuationSeparator" w:id="0">
    <w:p w14:paraId="394BDBCB" w14:textId="77777777" w:rsidR="00CC0EF3" w:rsidRDefault="00CC0EF3" w:rsidP="00CE2B96">
      <w:pPr>
        <w:spacing w:after="0"/>
      </w:pPr>
      <w:r>
        <w:continuationSeparator/>
      </w:r>
    </w:p>
  </w:footnote>
  <w:footnote w:type="continuationNotice" w:id="1">
    <w:p w14:paraId="491227C2" w14:textId="77777777" w:rsidR="00CC0EF3" w:rsidRDefault="00CC0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ABCA" w14:textId="77777777" w:rsidR="001705BC" w:rsidRDefault="001705BC" w:rsidP="001705BC">
    <w:pPr>
      <w:pStyle w:val="Header"/>
      <w:spacing w:after="400"/>
      <w:jc w:val="right"/>
    </w:pPr>
    <w:r>
      <w:rPr>
        <w:noProof/>
      </w:rPr>
      <w:drawing>
        <wp:inline distT="0" distB="0" distL="0" distR="0" wp14:anchorId="2F396797" wp14:editId="4847C58D">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F877"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0E2E28C9"/>
    <w:multiLevelType w:val="hybridMultilevel"/>
    <w:tmpl w:val="D7324D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4"/>
  </w:num>
  <w:num w:numId="2" w16cid:durableId="409473043">
    <w:abstractNumId w:val="3"/>
  </w:num>
  <w:num w:numId="3" w16cid:durableId="1878276135">
    <w:abstractNumId w:val="2"/>
  </w:num>
  <w:num w:numId="4" w16cid:durableId="1374307023">
    <w:abstractNumId w:val="0"/>
  </w:num>
  <w:num w:numId="5" w16cid:durableId="920023321">
    <w:abstractNumId w:val="1"/>
  </w:num>
  <w:num w:numId="6" w16cid:durableId="1125198738">
    <w:abstractNumId w:val="0"/>
  </w:num>
  <w:num w:numId="7" w16cid:durableId="1488207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ngSq8zl3UxRDRVnRp1Tu1B8Ope4ykwM/75n2nzNVjDMvA2fj7MPinPpJZ3THh36CnMMpRUXhvcPspXJBATring==" w:salt="8xf+qqcCeeV9c+CD5bP/K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3A"/>
    <w:rsid w:val="00000192"/>
    <w:rsid w:val="00013EB7"/>
    <w:rsid w:val="0001514F"/>
    <w:rsid w:val="0003040F"/>
    <w:rsid w:val="00030BEF"/>
    <w:rsid w:val="0003774E"/>
    <w:rsid w:val="00042206"/>
    <w:rsid w:val="000532E1"/>
    <w:rsid w:val="0005583F"/>
    <w:rsid w:val="00062B88"/>
    <w:rsid w:val="00075AE3"/>
    <w:rsid w:val="000940FB"/>
    <w:rsid w:val="000A35E4"/>
    <w:rsid w:val="000B2945"/>
    <w:rsid w:val="000B5A5C"/>
    <w:rsid w:val="000C44D1"/>
    <w:rsid w:val="000C510B"/>
    <w:rsid w:val="000C7AD7"/>
    <w:rsid w:val="000E0386"/>
    <w:rsid w:val="000E6230"/>
    <w:rsid w:val="0010454F"/>
    <w:rsid w:val="00105532"/>
    <w:rsid w:val="00114E9C"/>
    <w:rsid w:val="0011764F"/>
    <w:rsid w:val="00122EF8"/>
    <w:rsid w:val="00123989"/>
    <w:rsid w:val="001304D7"/>
    <w:rsid w:val="00146BE0"/>
    <w:rsid w:val="00164890"/>
    <w:rsid w:val="001705BC"/>
    <w:rsid w:val="0017272C"/>
    <w:rsid w:val="001761D7"/>
    <w:rsid w:val="00181735"/>
    <w:rsid w:val="00182222"/>
    <w:rsid w:val="0018694B"/>
    <w:rsid w:val="00190DCD"/>
    <w:rsid w:val="00191AFD"/>
    <w:rsid w:val="001A1806"/>
    <w:rsid w:val="001A69C9"/>
    <w:rsid w:val="001B5185"/>
    <w:rsid w:val="001B6C26"/>
    <w:rsid w:val="001C0146"/>
    <w:rsid w:val="001C3E75"/>
    <w:rsid w:val="001C6463"/>
    <w:rsid w:val="001D5566"/>
    <w:rsid w:val="001D607F"/>
    <w:rsid w:val="001E5E7E"/>
    <w:rsid w:val="001F4FAC"/>
    <w:rsid w:val="001F62FA"/>
    <w:rsid w:val="00211518"/>
    <w:rsid w:val="002340C7"/>
    <w:rsid w:val="002376C2"/>
    <w:rsid w:val="002531E4"/>
    <w:rsid w:val="00263235"/>
    <w:rsid w:val="00266C64"/>
    <w:rsid w:val="00273031"/>
    <w:rsid w:val="002805FC"/>
    <w:rsid w:val="002812EE"/>
    <w:rsid w:val="00284504"/>
    <w:rsid w:val="00290571"/>
    <w:rsid w:val="00290A05"/>
    <w:rsid w:val="002934DC"/>
    <w:rsid w:val="002A05A5"/>
    <w:rsid w:val="002A12D5"/>
    <w:rsid w:val="002A328E"/>
    <w:rsid w:val="002A6703"/>
    <w:rsid w:val="002A6B68"/>
    <w:rsid w:val="002A75F2"/>
    <w:rsid w:val="002B1115"/>
    <w:rsid w:val="002B4473"/>
    <w:rsid w:val="002C57BC"/>
    <w:rsid w:val="002D0309"/>
    <w:rsid w:val="0032481A"/>
    <w:rsid w:val="00374D07"/>
    <w:rsid w:val="00396C09"/>
    <w:rsid w:val="00397DB4"/>
    <w:rsid w:val="003A1996"/>
    <w:rsid w:val="003A504F"/>
    <w:rsid w:val="003A5A12"/>
    <w:rsid w:val="003C10A6"/>
    <w:rsid w:val="003D41C5"/>
    <w:rsid w:val="003E1328"/>
    <w:rsid w:val="003F3CC1"/>
    <w:rsid w:val="0040611A"/>
    <w:rsid w:val="00406A70"/>
    <w:rsid w:val="0040715E"/>
    <w:rsid w:val="004112F8"/>
    <w:rsid w:val="0042061E"/>
    <w:rsid w:val="00427DBB"/>
    <w:rsid w:val="004319CF"/>
    <w:rsid w:val="00437A34"/>
    <w:rsid w:val="00451AA8"/>
    <w:rsid w:val="00451E21"/>
    <w:rsid w:val="00461CD0"/>
    <w:rsid w:val="00487276"/>
    <w:rsid w:val="00496C57"/>
    <w:rsid w:val="004A1071"/>
    <w:rsid w:val="004B325C"/>
    <w:rsid w:val="004D2CA8"/>
    <w:rsid w:val="004E2B43"/>
    <w:rsid w:val="004E496F"/>
    <w:rsid w:val="004E7B23"/>
    <w:rsid w:val="004F1B1D"/>
    <w:rsid w:val="004F2208"/>
    <w:rsid w:val="004F697B"/>
    <w:rsid w:val="00501A04"/>
    <w:rsid w:val="005312B0"/>
    <w:rsid w:val="00540DE8"/>
    <w:rsid w:val="005456F3"/>
    <w:rsid w:val="005555C5"/>
    <w:rsid w:val="00557057"/>
    <w:rsid w:val="00590EB3"/>
    <w:rsid w:val="005A429F"/>
    <w:rsid w:val="005C5814"/>
    <w:rsid w:val="005D35F1"/>
    <w:rsid w:val="005D638D"/>
    <w:rsid w:val="005D6FD8"/>
    <w:rsid w:val="005E451D"/>
    <w:rsid w:val="005F42AC"/>
    <w:rsid w:val="005F7DC7"/>
    <w:rsid w:val="006125F2"/>
    <w:rsid w:val="00615D95"/>
    <w:rsid w:val="00615F5A"/>
    <w:rsid w:val="00623543"/>
    <w:rsid w:val="00624882"/>
    <w:rsid w:val="00624C21"/>
    <w:rsid w:val="006258E9"/>
    <w:rsid w:val="00626A92"/>
    <w:rsid w:val="00630C68"/>
    <w:rsid w:val="00631130"/>
    <w:rsid w:val="00634436"/>
    <w:rsid w:val="00640ADD"/>
    <w:rsid w:val="0064565C"/>
    <w:rsid w:val="00647E14"/>
    <w:rsid w:val="00652AE6"/>
    <w:rsid w:val="00681928"/>
    <w:rsid w:val="006838DD"/>
    <w:rsid w:val="00687A4D"/>
    <w:rsid w:val="006A2D31"/>
    <w:rsid w:val="006A5667"/>
    <w:rsid w:val="006B34EF"/>
    <w:rsid w:val="006B61E3"/>
    <w:rsid w:val="006B7CC3"/>
    <w:rsid w:val="006C2DE6"/>
    <w:rsid w:val="006C7161"/>
    <w:rsid w:val="006D15D7"/>
    <w:rsid w:val="006D794E"/>
    <w:rsid w:val="006F78ED"/>
    <w:rsid w:val="00700634"/>
    <w:rsid w:val="0070413E"/>
    <w:rsid w:val="00707D48"/>
    <w:rsid w:val="0072002A"/>
    <w:rsid w:val="007222F6"/>
    <w:rsid w:val="00726A51"/>
    <w:rsid w:val="00730092"/>
    <w:rsid w:val="00730A26"/>
    <w:rsid w:val="007339AE"/>
    <w:rsid w:val="007414D4"/>
    <w:rsid w:val="007475BB"/>
    <w:rsid w:val="007524CB"/>
    <w:rsid w:val="00762ADC"/>
    <w:rsid w:val="00763838"/>
    <w:rsid w:val="00763EA2"/>
    <w:rsid w:val="00767521"/>
    <w:rsid w:val="00770FC7"/>
    <w:rsid w:val="00771021"/>
    <w:rsid w:val="00781A58"/>
    <w:rsid w:val="0078466A"/>
    <w:rsid w:val="00791127"/>
    <w:rsid w:val="007918C8"/>
    <w:rsid w:val="00794CFE"/>
    <w:rsid w:val="007A3B26"/>
    <w:rsid w:val="007A6FA4"/>
    <w:rsid w:val="007B00A8"/>
    <w:rsid w:val="007B474D"/>
    <w:rsid w:val="007B6158"/>
    <w:rsid w:val="007C06C2"/>
    <w:rsid w:val="007C07D3"/>
    <w:rsid w:val="007C0968"/>
    <w:rsid w:val="007C3FCF"/>
    <w:rsid w:val="007D3B7E"/>
    <w:rsid w:val="007D47D6"/>
    <w:rsid w:val="007E4B7F"/>
    <w:rsid w:val="007E70A0"/>
    <w:rsid w:val="008518BE"/>
    <w:rsid w:val="008572D4"/>
    <w:rsid w:val="0086528F"/>
    <w:rsid w:val="0086723B"/>
    <w:rsid w:val="0087110F"/>
    <w:rsid w:val="008833F5"/>
    <w:rsid w:val="00885A03"/>
    <w:rsid w:val="008905E4"/>
    <w:rsid w:val="00890CA1"/>
    <w:rsid w:val="00893375"/>
    <w:rsid w:val="00894429"/>
    <w:rsid w:val="008A13B1"/>
    <w:rsid w:val="008B49EB"/>
    <w:rsid w:val="008B6F77"/>
    <w:rsid w:val="008E445D"/>
    <w:rsid w:val="008E4F71"/>
    <w:rsid w:val="008F2FA1"/>
    <w:rsid w:val="00900F14"/>
    <w:rsid w:val="00901FCD"/>
    <w:rsid w:val="00913DCA"/>
    <w:rsid w:val="00915FFB"/>
    <w:rsid w:val="009160AB"/>
    <w:rsid w:val="0091704D"/>
    <w:rsid w:val="00917F65"/>
    <w:rsid w:val="009224B2"/>
    <w:rsid w:val="009260DC"/>
    <w:rsid w:val="0093633D"/>
    <w:rsid w:val="00943DDC"/>
    <w:rsid w:val="00953DA5"/>
    <w:rsid w:val="00955095"/>
    <w:rsid w:val="00967F5A"/>
    <w:rsid w:val="00967FD6"/>
    <w:rsid w:val="009744CC"/>
    <w:rsid w:val="00976A16"/>
    <w:rsid w:val="0098219A"/>
    <w:rsid w:val="009919F2"/>
    <w:rsid w:val="00995A37"/>
    <w:rsid w:val="00997031"/>
    <w:rsid w:val="009A5C4C"/>
    <w:rsid w:val="009F72F5"/>
    <w:rsid w:val="00A05307"/>
    <w:rsid w:val="00A07068"/>
    <w:rsid w:val="00A07348"/>
    <w:rsid w:val="00A166DE"/>
    <w:rsid w:val="00A22F82"/>
    <w:rsid w:val="00A276F8"/>
    <w:rsid w:val="00A44609"/>
    <w:rsid w:val="00A45137"/>
    <w:rsid w:val="00A47D0D"/>
    <w:rsid w:val="00A517D8"/>
    <w:rsid w:val="00A54BEC"/>
    <w:rsid w:val="00A70747"/>
    <w:rsid w:val="00A71049"/>
    <w:rsid w:val="00A858D7"/>
    <w:rsid w:val="00AA542B"/>
    <w:rsid w:val="00AC3F25"/>
    <w:rsid w:val="00AD4351"/>
    <w:rsid w:val="00AE1A16"/>
    <w:rsid w:val="00AE5239"/>
    <w:rsid w:val="00AE59C9"/>
    <w:rsid w:val="00AE7C1B"/>
    <w:rsid w:val="00AF0FC6"/>
    <w:rsid w:val="00B0152A"/>
    <w:rsid w:val="00B406D5"/>
    <w:rsid w:val="00B45FB7"/>
    <w:rsid w:val="00B55323"/>
    <w:rsid w:val="00B63CB8"/>
    <w:rsid w:val="00B67919"/>
    <w:rsid w:val="00B8368B"/>
    <w:rsid w:val="00B84690"/>
    <w:rsid w:val="00B85D46"/>
    <w:rsid w:val="00B900B0"/>
    <w:rsid w:val="00BC22E8"/>
    <w:rsid w:val="00BC43B0"/>
    <w:rsid w:val="00BD2218"/>
    <w:rsid w:val="00BD7D2F"/>
    <w:rsid w:val="00BD7E0B"/>
    <w:rsid w:val="00BF1542"/>
    <w:rsid w:val="00BF4581"/>
    <w:rsid w:val="00BF5F76"/>
    <w:rsid w:val="00C02127"/>
    <w:rsid w:val="00C10F1E"/>
    <w:rsid w:val="00C21536"/>
    <w:rsid w:val="00C22E88"/>
    <w:rsid w:val="00C27E67"/>
    <w:rsid w:val="00C31BC5"/>
    <w:rsid w:val="00C4206E"/>
    <w:rsid w:val="00C575AE"/>
    <w:rsid w:val="00C745C0"/>
    <w:rsid w:val="00C75AB3"/>
    <w:rsid w:val="00C809D1"/>
    <w:rsid w:val="00C923ED"/>
    <w:rsid w:val="00C92F19"/>
    <w:rsid w:val="00CA07E3"/>
    <w:rsid w:val="00CB2FFC"/>
    <w:rsid w:val="00CC00DC"/>
    <w:rsid w:val="00CC0EF3"/>
    <w:rsid w:val="00CD5240"/>
    <w:rsid w:val="00CE2B96"/>
    <w:rsid w:val="00CE5603"/>
    <w:rsid w:val="00CE6A5A"/>
    <w:rsid w:val="00CF0FA4"/>
    <w:rsid w:val="00CF6565"/>
    <w:rsid w:val="00D018C2"/>
    <w:rsid w:val="00D058C9"/>
    <w:rsid w:val="00D07333"/>
    <w:rsid w:val="00D075F7"/>
    <w:rsid w:val="00D11322"/>
    <w:rsid w:val="00D137E0"/>
    <w:rsid w:val="00D3188E"/>
    <w:rsid w:val="00D32865"/>
    <w:rsid w:val="00D43553"/>
    <w:rsid w:val="00D4473A"/>
    <w:rsid w:val="00D46BC3"/>
    <w:rsid w:val="00D52D93"/>
    <w:rsid w:val="00D641FB"/>
    <w:rsid w:val="00D80F57"/>
    <w:rsid w:val="00D85CD3"/>
    <w:rsid w:val="00DA7367"/>
    <w:rsid w:val="00DB6A6F"/>
    <w:rsid w:val="00DD5129"/>
    <w:rsid w:val="00DE6ED5"/>
    <w:rsid w:val="00DF44EE"/>
    <w:rsid w:val="00E01129"/>
    <w:rsid w:val="00E04916"/>
    <w:rsid w:val="00E04EB5"/>
    <w:rsid w:val="00E10B9C"/>
    <w:rsid w:val="00E15D9F"/>
    <w:rsid w:val="00E21FE8"/>
    <w:rsid w:val="00E302A4"/>
    <w:rsid w:val="00E33825"/>
    <w:rsid w:val="00E43EB7"/>
    <w:rsid w:val="00E47D85"/>
    <w:rsid w:val="00E50774"/>
    <w:rsid w:val="00E52786"/>
    <w:rsid w:val="00E535B1"/>
    <w:rsid w:val="00E6753D"/>
    <w:rsid w:val="00E7043A"/>
    <w:rsid w:val="00E75EDD"/>
    <w:rsid w:val="00E83835"/>
    <w:rsid w:val="00E85FF7"/>
    <w:rsid w:val="00EA3F15"/>
    <w:rsid w:val="00EB0613"/>
    <w:rsid w:val="00EC1F55"/>
    <w:rsid w:val="00EC3612"/>
    <w:rsid w:val="00EE6558"/>
    <w:rsid w:val="00EE6DDC"/>
    <w:rsid w:val="00EE71CC"/>
    <w:rsid w:val="00EF5FD5"/>
    <w:rsid w:val="00EF69B8"/>
    <w:rsid w:val="00EF7847"/>
    <w:rsid w:val="00F10768"/>
    <w:rsid w:val="00F11034"/>
    <w:rsid w:val="00F14BF6"/>
    <w:rsid w:val="00F22C28"/>
    <w:rsid w:val="00F315E8"/>
    <w:rsid w:val="00F35F29"/>
    <w:rsid w:val="00F40170"/>
    <w:rsid w:val="00F44653"/>
    <w:rsid w:val="00F53357"/>
    <w:rsid w:val="00F5742F"/>
    <w:rsid w:val="00F63F58"/>
    <w:rsid w:val="00F801B4"/>
    <w:rsid w:val="00F95540"/>
    <w:rsid w:val="00FA507D"/>
    <w:rsid w:val="00FB2FFC"/>
    <w:rsid w:val="00FB3F6D"/>
    <w:rsid w:val="00FC4A49"/>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889B8"/>
  <w15:chartTrackingRefBased/>
  <w15:docId w15:val="{F753104D-8425-46E0-8A6B-5EA17EC5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character" w:styleId="FollowedHyperlink">
    <w:name w:val="FollowedHyperlink"/>
    <w:basedOn w:val="DefaultParagraphFont"/>
    <w:uiPriority w:val="99"/>
    <w:semiHidden/>
    <w:unhideWhenUsed/>
    <w:rsid w:val="005F7DC7"/>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eq.texas.gov/downloads/permitting/stormwater/general/construction/2023-cgp-txr15000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xdot.gov/content/dam/docs/specifications/2024/spec-book-092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txdot.sharepoint.com/sites/ENVATF/Shared%20Documents/00%20-%20Resources/Picture%20style%20bmp%20template.dotx?OR=81dd2b71-fb82-4b33-ac71-fed46bf0f87a&amp;CID=c59709a2-3052-1000-884d-b67faf6fcf82&amp;CT=1776091651097"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2.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4.xml><?xml version="1.0" encoding="utf-8"?>
<ds:datastoreItem xmlns:ds="http://schemas.openxmlformats.org/officeDocument/2006/customXml" ds:itemID="{FCDE3115-644F-4C41-8C77-9ABF1A05B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Picture%20style%20bmp%20template.dotx?OR=81dd2b71-fb82-4b33-ac71-fed46bf0f87a&amp;CID=c59709a2-3052-1000-884d-b67faf6fcf82&amp;CT=1776091651097</Template>
  <TotalTime>32</TotalTime>
  <Pages>3</Pages>
  <Words>452</Words>
  <Characters>2579</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Best Management Practice Section and Design Job Aid: Construction Perimeter Fence</vt:lpstr>
    </vt:vector>
  </TitlesOfParts>
  <Company/>
  <LinksUpToDate>false</LinksUpToDate>
  <CharactersWithSpaces>3025</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Construction Perimeter Fence</dc:title>
  <dc:subject>This job aid provides educational technical information on the Construction Perimeter Fence to aid in design and inspection.</dc:subject>
  <dc:creator>TxDOT</dc:creator>
  <cp:keywords>075-24-bmp; BMP; Construction Perimeter Fence</cp:keywords>
  <dc:description/>
  <cp:lastModifiedBy>Lauren Miller</cp:lastModifiedBy>
  <cp:revision>23</cp:revision>
  <dcterms:created xsi:type="dcterms:W3CDTF">2026-04-13T14:47:00Z</dcterms:created>
  <dcterms:modified xsi:type="dcterms:W3CDTF">2026-04-24T17:32:00Z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