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8598" w14:textId="70E45827"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254047">
        <w:rPr>
          <w:rFonts w:asciiTheme="minorHAnsi" w:hAnsiTheme="minorHAnsi"/>
          <w:sz w:val="36"/>
          <w:szCs w:val="36"/>
        </w:rPr>
        <w:t>Sanitary Waste Management</w:t>
      </w:r>
    </w:p>
    <w:p w14:paraId="65C5F2F4"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76067991" w14:textId="77777777" w:rsidR="005456F3" w:rsidRPr="00EE6558" w:rsidRDefault="00F40170" w:rsidP="005456F3">
      <w:pPr>
        <w:pStyle w:val="Heading2"/>
        <w:rPr>
          <w:sz w:val="28"/>
          <w:szCs w:val="28"/>
        </w:rPr>
      </w:pPr>
      <w:r w:rsidRPr="00EE6558">
        <w:rPr>
          <w:sz w:val="28"/>
          <w:szCs w:val="28"/>
        </w:rPr>
        <w:t>Description</w:t>
      </w:r>
    </w:p>
    <w:p w14:paraId="7172A456" w14:textId="519DA3E8" w:rsidR="00770FC7" w:rsidRDefault="00254047" w:rsidP="00770FC7">
      <w:r w:rsidRPr="00254047">
        <w:t>Sanitary waste management is the practice of collecting and disposing of sanitary waste to minimize exposure to precipitation and stormwater runoff. This is most often accomplished by providing portable facilities for construction site workers and managing the proper disposal of sanitary waste at the site.</w:t>
      </w:r>
    </w:p>
    <w:p w14:paraId="56177066" w14:textId="77777777" w:rsidR="00770FC7" w:rsidRDefault="00770FC7" w:rsidP="00770FC7">
      <w:pPr>
        <w:keepNext/>
      </w:pPr>
      <w:r>
        <w:rPr>
          <w:noProof/>
        </w:rPr>
        <w:drawing>
          <wp:inline distT="0" distB="0" distL="0" distR="0" wp14:anchorId="5D85E84A" wp14:editId="76483EE7">
            <wp:extent cx="3429000" cy="1837944"/>
            <wp:effectExtent l="19050" t="19050" r="19050" b="10160"/>
            <wp:docPr id="235359155" name="Picture 1" descr="A construction site has a portable sanitary waste facility placed along the edge of a paved residential street in a developing neighborhood. Houses and roadway infrastructure are visible in the background, indicating the portable sanitary waste facility is provided to support on‑sit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construction site has a portable sanitary waste facility placed along the edge of a paved residential street in a developing neighborhood. Houses and roadway infrastructure are visible in the background, indicating the portable sanitary waste facility is provided to support on‑site activiti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82" t="2306" r="1857" b="3528"/>
                    <a:stretch>
                      <a:fillRect/>
                    </a:stretch>
                  </pic:blipFill>
                  <pic:spPr bwMode="auto">
                    <a:xfrm>
                      <a:off x="0" y="0"/>
                      <a:ext cx="3429000" cy="1837944"/>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87D98BE" w14:textId="77777777" w:rsidR="00B661C7" w:rsidRPr="00461CD0" w:rsidRDefault="00770FC7" w:rsidP="00B661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254047">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00E01600">
        <w:rPr>
          <w:i w:val="0"/>
          <w:iCs w:val="0"/>
          <w:sz w:val="24"/>
          <w:szCs w:val="24"/>
        </w:rPr>
        <w:t xml:space="preserve"> </w:t>
      </w:r>
      <w:r w:rsidR="00B661C7">
        <w:rPr>
          <w:i w:val="0"/>
          <w:iCs w:val="0"/>
          <w:sz w:val="24"/>
          <w:szCs w:val="24"/>
        </w:rPr>
        <w:t>P</w:t>
      </w:r>
      <w:r w:rsidR="00B661C7" w:rsidRPr="00E01600">
        <w:rPr>
          <w:i w:val="0"/>
          <w:iCs w:val="0"/>
          <w:sz w:val="24"/>
          <w:szCs w:val="24"/>
        </w:rPr>
        <w:t xml:space="preserve">ortable </w:t>
      </w:r>
      <w:r w:rsidR="00B661C7">
        <w:rPr>
          <w:i w:val="0"/>
          <w:iCs w:val="0"/>
          <w:sz w:val="24"/>
          <w:szCs w:val="24"/>
        </w:rPr>
        <w:t>sanitary waste facility</w:t>
      </w:r>
      <w:r w:rsidR="00B661C7" w:rsidRPr="00E01600">
        <w:rPr>
          <w:i w:val="0"/>
          <w:iCs w:val="0"/>
          <w:sz w:val="24"/>
          <w:szCs w:val="24"/>
        </w:rPr>
        <w:t xml:space="preserve"> placed</w:t>
      </w:r>
      <w:r w:rsidR="00B661C7">
        <w:rPr>
          <w:i w:val="0"/>
          <w:iCs w:val="0"/>
          <w:sz w:val="24"/>
          <w:szCs w:val="24"/>
        </w:rPr>
        <w:t xml:space="preserve"> at a construction site. </w:t>
      </w:r>
    </w:p>
    <w:p w14:paraId="4608EC49" w14:textId="77777777" w:rsidR="009260DC" w:rsidRPr="00EE6558" w:rsidRDefault="00F40170" w:rsidP="00266C64">
      <w:pPr>
        <w:pStyle w:val="Heading2"/>
        <w:rPr>
          <w:sz w:val="28"/>
          <w:szCs w:val="28"/>
        </w:rPr>
      </w:pPr>
      <w:r w:rsidRPr="00EE6558">
        <w:rPr>
          <w:sz w:val="28"/>
          <w:szCs w:val="28"/>
        </w:rPr>
        <w:t>Application</w:t>
      </w:r>
    </w:p>
    <w:p w14:paraId="1B559C7F" w14:textId="20A6C4D2" w:rsidR="00F40170" w:rsidRPr="00D27478" w:rsidRDefault="00254047" w:rsidP="00D27478">
      <w:bookmarkStart w:id="0" w:name="_Hlk224549356"/>
      <w:r w:rsidRPr="00254047">
        <w:t>Sanitary waste management should be implemented at each construction site where construction staff have no other facility options available. The objective of sanitary waste management is to provide for collection and disposal of sanitary waste in a manner that minimizes the exposure to precipitation and stormwater runoff. Sanitary waste management assists in waste management and housekeeping practices at the construction site</w:t>
      </w:r>
      <w:r w:rsidR="00D32865">
        <w:t>.</w:t>
      </w:r>
      <w:bookmarkEnd w:id="0"/>
    </w:p>
    <w:p w14:paraId="3E616A03" w14:textId="77777777" w:rsidR="00F40170" w:rsidRPr="00EE6558" w:rsidRDefault="00F40170" w:rsidP="00266C64">
      <w:pPr>
        <w:pStyle w:val="Heading3"/>
        <w:rPr>
          <w:sz w:val="26"/>
          <w:szCs w:val="26"/>
        </w:rPr>
      </w:pPr>
      <w:r w:rsidRPr="00EE6558">
        <w:rPr>
          <w:sz w:val="26"/>
          <w:szCs w:val="26"/>
        </w:rPr>
        <w:lastRenderedPageBreak/>
        <w:t>Advantages</w:t>
      </w:r>
    </w:p>
    <w:p w14:paraId="7DE893B9" w14:textId="7134FFFC" w:rsidR="00254047" w:rsidRDefault="00254047" w:rsidP="00254047">
      <w:pPr>
        <w:pStyle w:val="ListBullet"/>
      </w:pPr>
      <w:r>
        <w:t>Easily incorporated into most construction sites</w:t>
      </w:r>
    </w:p>
    <w:p w14:paraId="52F7F027" w14:textId="35CAE276" w:rsidR="00F40170" w:rsidRPr="00F40170" w:rsidRDefault="00254047" w:rsidP="00254047">
      <w:pPr>
        <w:pStyle w:val="ListBullet"/>
      </w:pPr>
      <w:r>
        <w:t>Maintained by outside septic waste company</w:t>
      </w:r>
    </w:p>
    <w:p w14:paraId="0CC4FCAF" w14:textId="77777777" w:rsidR="00F40170" w:rsidRPr="00EE6558" w:rsidRDefault="00F40170" w:rsidP="00266C64">
      <w:pPr>
        <w:pStyle w:val="Heading3"/>
        <w:rPr>
          <w:sz w:val="26"/>
          <w:szCs w:val="26"/>
        </w:rPr>
      </w:pPr>
      <w:r w:rsidRPr="00EE6558">
        <w:rPr>
          <w:sz w:val="26"/>
          <w:szCs w:val="26"/>
        </w:rPr>
        <w:t>Disadvantages</w:t>
      </w:r>
    </w:p>
    <w:p w14:paraId="1D7F12A2" w14:textId="3A366EC0" w:rsidR="00254047" w:rsidRDefault="00254047" w:rsidP="00254047">
      <w:pPr>
        <w:pStyle w:val="ListBullet"/>
      </w:pPr>
      <w:r>
        <w:t>Multiple facilities or facilities in several locations may be needed to adequately serve a construction site</w:t>
      </w:r>
    </w:p>
    <w:p w14:paraId="6CEDFF90" w14:textId="784F8634" w:rsidR="00770FC7" w:rsidRPr="00770FC7" w:rsidRDefault="00254047" w:rsidP="00254047">
      <w:pPr>
        <w:pStyle w:val="ListBullet"/>
      </w:pPr>
      <w:r>
        <w:t>Facilities are subject to vandalism if not within a secured construction site</w:t>
      </w:r>
    </w:p>
    <w:p w14:paraId="01721D72" w14:textId="77777777" w:rsidR="009260DC" w:rsidRPr="00EE6558" w:rsidRDefault="00F40170" w:rsidP="00266C64">
      <w:pPr>
        <w:pStyle w:val="Heading2"/>
        <w:rPr>
          <w:sz w:val="28"/>
          <w:szCs w:val="28"/>
        </w:rPr>
      </w:pPr>
      <w:r w:rsidRPr="00EE6558">
        <w:rPr>
          <w:sz w:val="28"/>
          <w:szCs w:val="28"/>
        </w:rPr>
        <w:t>Design Criteria</w:t>
      </w:r>
    </w:p>
    <w:p w14:paraId="7D00B29E" w14:textId="35360AC9" w:rsidR="00254047" w:rsidRPr="00254047" w:rsidRDefault="00254047" w:rsidP="00254047">
      <w:pPr>
        <w:pStyle w:val="ListNumber"/>
        <w:numPr>
          <w:ilvl w:val="0"/>
          <w:numId w:val="5"/>
        </w:numPr>
        <w:ind w:left="540" w:hanging="540"/>
      </w:pPr>
      <w:r w:rsidRPr="00254047">
        <w:t>Sanitary waste management must be implemented on all projects that have the need for sanitary</w:t>
      </w:r>
      <w:r w:rsidR="000D6223">
        <w:t xml:space="preserve"> waste</w:t>
      </w:r>
      <w:r w:rsidRPr="00254047">
        <w:t xml:space="preserve"> facilities.</w:t>
      </w:r>
    </w:p>
    <w:p w14:paraId="38D9360D" w14:textId="406B141C" w:rsidR="00254047" w:rsidRPr="00254047" w:rsidRDefault="00254047" w:rsidP="00254047">
      <w:pPr>
        <w:pStyle w:val="ListNumber"/>
        <w:numPr>
          <w:ilvl w:val="0"/>
          <w:numId w:val="5"/>
        </w:numPr>
        <w:ind w:left="540" w:hanging="540"/>
      </w:pPr>
      <w:r w:rsidRPr="00254047">
        <w:t xml:space="preserve">Provide sanitary </w:t>
      </w:r>
      <w:r w:rsidR="000D6223">
        <w:t xml:space="preserve">waste </w:t>
      </w:r>
      <w:r w:rsidRPr="00254047">
        <w:t>facilities at the rate of one toilet per 10 workers for a 40-hour work week.</w:t>
      </w:r>
    </w:p>
    <w:p w14:paraId="3544523B" w14:textId="36D5FCA7" w:rsidR="00254047" w:rsidRPr="00254047" w:rsidRDefault="00254047" w:rsidP="00254047">
      <w:pPr>
        <w:pStyle w:val="ListNumber"/>
        <w:numPr>
          <w:ilvl w:val="0"/>
          <w:numId w:val="5"/>
        </w:numPr>
        <w:ind w:left="540" w:hanging="540"/>
      </w:pPr>
      <w:r w:rsidRPr="00254047">
        <w:t xml:space="preserve">Locate </w:t>
      </w:r>
      <w:r w:rsidR="000D6223">
        <w:t>sanitary waste facilities</w:t>
      </w:r>
      <w:r w:rsidRPr="00254047">
        <w:t xml:space="preserve"> a minimum of 50 feet away from storm drain inlets, conveyance channels, or surface waters.</w:t>
      </w:r>
    </w:p>
    <w:p w14:paraId="11E041B5" w14:textId="742DFE1C" w:rsidR="00770FC7" w:rsidRPr="00770FC7" w:rsidRDefault="00254047" w:rsidP="00122EF8">
      <w:pPr>
        <w:pStyle w:val="ListNumber"/>
        <w:numPr>
          <w:ilvl w:val="0"/>
          <w:numId w:val="5"/>
        </w:numPr>
        <w:ind w:left="540" w:hanging="540"/>
      </w:pPr>
      <w:r w:rsidRPr="00254047">
        <w:t xml:space="preserve">If unable to meet the 50-foot requirement, locate </w:t>
      </w:r>
      <w:r w:rsidR="0024773B">
        <w:t>sanitary waste facilities</w:t>
      </w:r>
      <w:r w:rsidRPr="00254047">
        <w:t xml:space="preserve"> at least 20 feet away and provide secondary containment.</w:t>
      </w:r>
    </w:p>
    <w:p w14:paraId="17923556" w14:textId="5FB30270" w:rsidR="00254047" w:rsidRPr="00254047" w:rsidRDefault="00254047" w:rsidP="00254047">
      <w:pPr>
        <w:pStyle w:val="ListNumber"/>
        <w:numPr>
          <w:ilvl w:val="0"/>
          <w:numId w:val="5"/>
        </w:numPr>
        <w:ind w:left="540" w:hanging="540"/>
      </w:pPr>
      <w:r w:rsidRPr="00254047">
        <w:t xml:space="preserve">The location of </w:t>
      </w:r>
      <w:r w:rsidR="0024773B">
        <w:t>sanitary waste facilities</w:t>
      </w:r>
      <w:r w:rsidRPr="00254047">
        <w:t xml:space="preserve"> shall be accessible to maintenance trucks without damaging erosion and sediment controls or causing erosion or tracking problems.</w:t>
      </w:r>
    </w:p>
    <w:p w14:paraId="423BC1AF" w14:textId="452CA5EB" w:rsidR="00254047" w:rsidRPr="00254047" w:rsidRDefault="00254047" w:rsidP="00254047">
      <w:pPr>
        <w:pStyle w:val="ListNumber"/>
        <w:numPr>
          <w:ilvl w:val="0"/>
          <w:numId w:val="5"/>
        </w:numPr>
        <w:ind w:left="540" w:hanging="540"/>
      </w:pPr>
      <w:r w:rsidRPr="00254047">
        <w:t xml:space="preserve">Sanitary </w:t>
      </w:r>
      <w:r w:rsidR="00151E90">
        <w:t xml:space="preserve">waste </w:t>
      </w:r>
      <w:r w:rsidRPr="00254047">
        <w:t>facilities shall be fully enclosed and designed in a manner that minimizes the exposure of sanitary waste to precipitation and stormwater, as well as anchored for wind.</w:t>
      </w:r>
    </w:p>
    <w:p w14:paraId="5351AA95" w14:textId="6705FE1C" w:rsidR="00254047" w:rsidRPr="00254047" w:rsidRDefault="00254047" w:rsidP="00254047">
      <w:pPr>
        <w:pStyle w:val="ListNumber"/>
        <w:numPr>
          <w:ilvl w:val="0"/>
          <w:numId w:val="5"/>
        </w:numPr>
        <w:ind w:left="540" w:hanging="540"/>
      </w:pPr>
      <w:r w:rsidRPr="00254047">
        <w:t>Only licensed sanitary</w:t>
      </w:r>
      <w:r w:rsidR="00C851CE">
        <w:t xml:space="preserve"> and or </w:t>
      </w:r>
      <w:r w:rsidRPr="00254047">
        <w:t>septic waste haulers should be used for disposal of waste.</w:t>
      </w:r>
    </w:p>
    <w:p w14:paraId="683D19A5" w14:textId="6E474372" w:rsidR="00D32865" w:rsidRDefault="00254047" w:rsidP="00254047">
      <w:pPr>
        <w:pStyle w:val="ListNumber"/>
        <w:numPr>
          <w:ilvl w:val="0"/>
          <w:numId w:val="5"/>
        </w:numPr>
        <w:ind w:left="540" w:hanging="540"/>
      </w:pPr>
      <w:r w:rsidRPr="00254047">
        <w:t xml:space="preserve">Provide the location of sanitary </w:t>
      </w:r>
      <w:r w:rsidR="00151E90">
        <w:t xml:space="preserve">waste </w:t>
      </w:r>
      <w:r w:rsidRPr="00254047">
        <w:t>facilities on construction plans to allow for quick response if a leak or spill occurs.</w:t>
      </w:r>
    </w:p>
    <w:p w14:paraId="0B0DBA18" w14:textId="77777777" w:rsidR="00F40170" w:rsidRPr="00EE6558" w:rsidRDefault="00F40170" w:rsidP="00266C64">
      <w:pPr>
        <w:pStyle w:val="Heading2"/>
        <w:rPr>
          <w:sz w:val="28"/>
          <w:szCs w:val="28"/>
        </w:rPr>
      </w:pPr>
      <w:r w:rsidRPr="00EE6558">
        <w:rPr>
          <w:sz w:val="28"/>
          <w:szCs w:val="28"/>
        </w:rPr>
        <w:lastRenderedPageBreak/>
        <w:t>References</w:t>
      </w:r>
    </w:p>
    <w:p w14:paraId="6E6C7579" w14:textId="36D4B894" w:rsidR="00F16485" w:rsidRPr="00AB7FE7" w:rsidRDefault="00F16485" w:rsidP="00F16485">
      <w:hyperlink r:id="rId12" w:history="1">
        <w:r w:rsidRPr="00AB7FE7">
          <w:rPr>
            <w:rStyle w:val="Hyperlink"/>
          </w:rPr>
          <w:t>Texas Pollutant Discharge Elimination System (TPDES) Construction General Permit TXR150000</w:t>
        </w:r>
      </w:hyperlink>
      <w:r w:rsidRPr="00AB7FE7">
        <w:t xml:space="preserve"> Part III.</w:t>
      </w:r>
      <w:r>
        <w:t>F</w:t>
      </w:r>
      <w:r w:rsidRPr="00AB7FE7">
        <w:t xml:space="preserve"> and Part I</w:t>
      </w:r>
      <w:r w:rsidR="00151E90">
        <w:t>V</w:t>
      </w:r>
      <w:r w:rsidRPr="00AB7FE7">
        <w:t>.</w:t>
      </w:r>
    </w:p>
    <w:p w14:paraId="28A8D475" w14:textId="44F2A7CF" w:rsidR="00D32865" w:rsidRDefault="00F16485" w:rsidP="003210C3">
      <w:hyperlink r:id="rId13" w:history="1">
        <w:r w:rsidRPr="00E85FF7">
          <w:rPr>
            <w:rStyle w:val="Hyperlink"/>
            <w:i/>
            <w:iCs/>
          </w:rPr>
          <w:t>T</w:t>
        </w:r>
        <w:r>
          <w:rPr>
            <w:rStyle w:val="Hyperlink"/>
            <w:i/>
            <w:iCs/>
          </w:rPr>
          <w:t>exas Department of Transportation (T</w:t>
        </w:r>
        <w:r w:rsidRPr="00E85FF7">
          <w:rPr>
            <w:rStyle w:val="Hyperlink"/>
            <w:i/>
            <w:iCs/>
          </w:rPr>
          <w:t>xDOT</w:t>
        </w:r>
        <w:r>
          <w:rPr>
            <w:rStyle w:val="Hyperlink"/>
            <w:i/>
            <w:iCs/>
          </w:rPr>
          <w:t>)</w:t>
        </w:r>
        <w:r w:rsidRPr="00E85FF7">
          <w:rPr>
            <w:rStyle w:val="Hyperlink"/>
            <w:i/>
            <w:iCs/>
          </w:rPr>
          <w:t xml:space="preserve"> Standard Specifications for Construction and Maintenance of Highways, Streets, and Bridges, </w:t>
        </w:r>
        <w:r>
          <w:rPr>
            <w:rStyle w:val="Hyperlink"/>
          </w:rPr>
          <w:t>September 1</w:t>
        </w:r>
        <w:r w:rsidRPr="00730092">
          <w:rPr>
            <w:rStyle w:val="Hyperlink"/>
          </w:rPr>
          <w:t>, 20</w:t>
        </w:r>
        <w:r>
          <w:rPr>
            <w:rStyle w:val="Hyperlink"/>
          </w:rPr>
          <w:t>2</w:t>
        </w:r>
        <w:r w:rsidRPr="00730092">
          <w:rPr>
            <w:rStyle w:val="Hyperlink"/>
          </w:rPr>
          <w:t xml:space="preserve">4, Item </w:t>
        </w:r>
        <w:r w:rsidR="003210C3">
          <w:rPr>
            <w:rStyle w:val="Hyperlink"/>
          </w:rPr>
          <w:t>7</w:t>
        </w:r>
        <w:r w:rsidRPr="00730092">
          <w:rPr>
            <w:rStyle w:val="Hyperlink"/>
          </w:rPr>
          <w:t xml:space="preserve">, </w:t>
        </w:r>
        <w:r w:rsidR="003210C3">
          <w:rPr>
            <w:rStyle w:val="Hyperlink"/>
          </w:rPr>
          <w:t>Legal Relations and Responsibilities</w:t>
        </w:r>
      </w:hyperlink>
      <w:r>
        <w:t xml:space="preserve"> </w:t>
      </w:r>
      <w:r w:rsidRPr="009F3DC3">
        <w:rPr>
          <w:rStyle w:val="Hyperlink"/>
          <w:color w:val="auto"/>
          <w:u w:val="none"/>
        </w:rPr>
        <w:t xml:space="preserve">(Sections </w:t>
      </w:r>
      <w:r w:rsidR="003210C3">
        <w:rPr>
          <w:rStyle w:val="Hyperlink"/>
          <w:color w:val="auto"/>
          <w:u w:val="none"/>
        </w:rPr>
        <w:t>9)</w:t>
      </w:r>
    </w:p>
    <w:sectPr w:rsidR="00D32865"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157E" w14:textId="77777777" w:rsidR="00254047" w:rsidRDefault="00254047" w:rsidP="00CE2B96">
      <w:pPr>
        <w:spacing w:after="0"/>
      </w:pPr>
      <w:r>
        <w:separator/>
      </w:r>
    </w:p>
  </w:endnote>
  <w:endnote w:type="continuationSeparator" w:id="0">
    <w:p w14:paraId="041118BD" w14:textId="77777777" w:rsidR="00254047" w:rsidRDefault="00254047" w:rsidP="00CE2B96">
      <w:pPr>
        <w:spacing w:after="0"/>
      </w:pPr>
      <w:r>
        <w:continuationSeparator/>
      </w:r>
    </w:p>
  </w:endnote>
  <w:endnote w:type="continuationNotice" w:id="1">
    <w:p w14:paraId="4AAD379B" w14:textId="77777777" w:rsidR="00254047" w:rsidRDefault="00254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1CCD" w14:textId="77777777" w:rsidR="003210C3" w:rsidRDefault="0032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A2E2" w14:textId="24086086"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04025769" wp14:editId="68E0169B">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EAC0D"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D27478" w:rsidRPr="00D27478">
      <w:rPr>
        <w:color w:val="0056A9"/>
      </w:rPr>
      <w:t>Sanitary Waste Management</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21A68235"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7EB2" w14:textId="77777777" w:rsidR="003210C3" w:rsidRDefault="0032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1754" w14:textId="77777777" w:rsidR="00254047" w:rsidRDefault="00254047" w:rsidP="00CE2B96">
      <w:pPr>
        <w:spacing w:after="0"/>
      </w:pPr>
      <w:r>
        <w:separator/>
      </w:r>
    </w:p>
  </w:footnote>
  <w:footnote w:type="continuationSeparator" w:id="0">
    <w:p w14:paraId="209AACF4" w14:textId="77777777" w:rsidR="00254047" w:rsidRDefault="00254047" w:rsidP="00CE2B96">
      <w:pPr>
        <w:spacing w:after="0"/>
      </w:pPr>
      <w:r>
        <w:continuationSeparator/>
      </w:r>
    </w:p>
  </w:footnote>
  <w:footnote w:type="continuationNotice" w:id="1">
    <w:p w14:paraId="6A1D34D6" w14:textId="77777777" w:rsidR="00254047" w:rsidRDefault="00254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9D0C" w14:textId="77777777" w:rsidR="003210C3" w:rsidRDefault="00321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DA8A" w14:textId="77777777" w:rsidR="001705BC" w:rsidRDefault="001705BC" w:rsidP="001705BC">
    <w:pPr>
      <w:pStyle w:val="Header"/>
      <w:spacing w:after="400"/>
      <w:jc w:val="right"/>
    </w:pPr>
    <w:r>
      <w:rPr>
        <w:noProof/>
      </w:rPr>
      <w:drawing>
        <wp:inline distT="0" distB="0" distL="0" distR="0" wp14:anchorId="56A92AC4" wp14:editId="32DA83E3">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330E"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975068090">
    <w:abstractNumId w:val="0"/>
  </w:num>
  <w:num w:numId="7" w16cid:durableId="1336958586">
    <w:abstractNumId w:val="0"/>
  </w:num>
  <w:num w:numId="8" w16cid:durableId="123347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FlZjHpsFG6xw9oq7TAMCWuA/XLPImY2gKWZRhPTf5tuV8itnImstYtMNfI+HI7rlAHUe8pfR93YR1RuHzqbwOQ==" w:salt="ah6FXFINzG2WfQG0G+t/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47"/>
    <w:rsid w:val="00000192"/>
    <w:rsid w:val="00013EB7"/>
    <w:rsid w:val="0001514F"/>
    <w:rsid w:val="0003040F"/>
    <w:rsid w:val="00030BEF"/>
    <w:rsid w:val="0003774E"/>
    <w:rsid w:val="00042192"/>
    <w:rsid w:val="00042206"/>
    <w:rsid w:val="00052D7C"/>
    <w:rsid w:val="0005583F"/>
    <w:rsid w:val="00062B88"/>
    <w:rsid w:val="00075AE3"/>
    <w:rsid w:val="00075E6C"/>
    <w:rsid w:val="000940FB"/>
    <w:rsid w:val="000A35E4"/>
    <w:rsid w:val="000A78EC"/>
    <w:rsid w:val="000B2945"/>
    <w:rsid w:val="000B5A5C"/>
    <w:rsid w:val="000C44D1"/>
    <w:rsid w:val="000C510B"/>
    <w:rsid w:val="000C7AD7"/>
    <w:rsid w:val="000D6223"/>
    <w:rsid w:val="000E0386"/>
    <w:rsid w:val="000E6230"/>
    <w:rsid w:val="0010454F"/>
    <w:rsid w:val="00105532"/>
    <w:rsid w:val="00106103"/>
    <w:rsid w:val="00114E9C"/>
    <w:rsid w:val="0011764F"/>
    <w:rsid w:val="00122EF8"/>
    <w:rsid w:val="00123989"/>
    <w:rsid w:val="001304D7"/>
    <w:rsid w:val="00146BE0"/>
    <w:rsid w:val="00151E90"/>
    <w:rsid w:val="001705BC"/>
    <w:rsid w:val="001761D7"/>
    <w:rsid w:val="00181735"/>
    <w:rsid w:val="00182222"/>
    <w:rsid w:val="0018694B"/>
    <w:rsid w:val="00190DCD"/>
    <w:rsid w:val="00191AFD"/>
    <w:rsid w:val="001A1806"/>
    <w:rsid w:val="001A69C9"/>
    <w:rsid w:val="001B5185"/>
    <w:rsid w:val="001B6C26"/>
    <w:rsid w:val="001C3E75"/>
    <w:rsid w:val="001C6463"/>
    <w:rsid w:val="001D607F"/>
    <w:rsid w:val="001E5E7E"/>
    <w:rsid w:val="001F4FAC"/>
    <w:rsid w:val="001F62FA"/>
    <w:rsid w:val="00211518"/>
    <w:rsid w:val="002340C7"/>
    <w:rsid w:val="002376C2"/>
    <w:rsid w:val="0024773B"/>
    <w:rsid w:val="002531E4"/>
    <w:rsid w:val="00254047"/>
    <w:rsid w:val="00263235"/>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3210C3"/>
    <w:rsid w:val="0032481A"/>
    <w:rsid w:val="00374D07"/>
    <w:rsid w:val="00396C09"/>
    <w:rsid w:val="00397DB4"/>
    <w:rsid w:val="003A1996"/>
    <w:rsid w:val="003A504F"/>
    <w:rsid w:val="003A5A12"/>
    <w:rsid w:val="003C10A6"/>
    <w:rsid w:val="003D41C5"/>
    <w:rsid w:val="003D60BA"/>
    <w:rsid w:val="003E1328"/>
    <w:rsid w:val="003F3CC1"/>
    <w:rsid w:val="00406A70"/>
    <w:rsid w:val="0040715E"/>
    <w:rsid w:val="004112F8"/>
    <w:rsid w:val="0042061E"/>
    <w:rsid w:val="00427DBB"/>
    <w:rsid w:val="004319CF"/>
    <w:rsid w:val="00437A34"/>
    <w:rsid w:val="00451AA8"/>
    <w:rsid w:val="00451E21"/>
    <w:rsid w:val="00461CD0"/>
    <w:rsid w:val="00487276"/>
    <w:rsid w:val="00496C57"/>
    <w:rsid w:val="004A1071"/>
    <w:rsid w:val="004B325C"/>
    <w:rsid w:val="004D2CA8"/>
    <w:rsid w:val="004E2B43"/>
    <w:rsid w:val="004E496F"/>
    <w:rsid w:val="004E7B23"/>
    <w:rsid w:val="004F1B1D"/>
    <w:rsid w:val="004F2208"/>
    <w:rsid w:val="004F697B"/>
    <w:rsid w:val="00501A04"/>
    <w:rsid w:val="005312B0"/>
    <w:rsid w:val="00540DE8"/>
    <w:rsid w:val="005456F3"/>
    <w:rsid w:val="005555C5"/>
    <w:rsid w:val="00557057"/>
    <w:rsid w:val="00590EB3"/>
    <w:rsid w:val="005A429F"/>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47E14"/>
    <w:rsid w:val="00652AE6"/>
    <w:rsid w:val="00681928"/>
    <w:rsid w:val="006838DD"/>
    <w:rsid w:val="00687A4D"/>
    <w:rsid w:val="006A2D31"/>
    <w:rsid w:val="006A5667"/>
    <w:rsid w:val="006B34EF"/>
    <w:rsid w:val="006B61E3"/>
    <w:rsid w:val="006B7CC3"/>
    <w:rsid w:val="006C2DE6"/>
    <w:rsid w:val="006C7161"/>
    <w:rsid w:val="006D15D7"/>
    <w:rsid w:val="006D794E"/>
    <w:rsid w:val="006F78ED"/>
    <w:rsid w:val="00700634"/>
    <w:rsid w:val="0070413E"/>
    <w:rsid w:val="00707D48"/>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D47D6"/>
    <w:rsid w:val="007E4B7F"/>
    <w:rsid w:val="007E70A0"/>
    <w:rsid w:val="008518BE"/>
    <w:rsid w:val="008572D4"/>
    <w:rsid w:val="0086528F"/>
    <w:rsid w:val="0087110F"/>
    <w:rsid w:val="008833F5"/>
    <w:rsid w:val="00885A03"/>
    <w:rsid w:val="008905E4"/>
    <w:rsid w:val="00890CA1"/>
    <w:rsid w:val="00893375"/>
    <w:rsid w:val="00894429"/>
    <w:rsid w:val="008A13B1"/>
    <w:rsid w:val="008B49EB"/>
    <w:rsid w:val="008B6F77"/>
    <w:rsid w:val="008E1DF9"/>
    <w:rsid w:val="008E445D"/>
    <w:rsid w:val="008E4F71"/>
    <w:rsid w:val="008F2FA1"/>
    <w:rsid w:val="00900F14"/>
    <w:rsid w:val="00901FCD"/>
    <w:rsid w:val="00913DCA"/>
    <w:rsid w:val="00915FFB"/>
    <w:rsid w:val="009160AB"/>
    <w:rsid w:val="0091704D"/>
    <w:rsid w:val="00917F65"/>
    <w:rsid w:val="009224B2"/>
    <w:rsid w:val="009260DC"/>
    <w:rsid w:val="0093633D"/>
    <w:rsid w:val="00943DDC"/>
    <w:rsid w:val="00953DA5"/>
    <w:rsid w:val="00955095"/>
    <w:rsid w:val="00967F5A"/>
    <w:rsid w:val="009744CC"/>
    <w:rsid w:val="00976A16"/>
    <w:rsid w:val="0098219A"/>
    <w:rsid w:val="009919F2"/>
    <w:rsid w:val="00995A37"/>
    <w:rsid w:val="00997031"/>
    <w:rsid w:val="009A5C4C"/>
    <w:rsid w:val="009F72F5"/>
    <w:rsid w:val="00A05307"/>
    <w:rsid w:val="00A07068"/>
    <w:rsid w:val="00A07348"/>
    <w:rsid w:val="00A166DE"/>
    <w:rsid w:val="00A22F82"/>
    <w:rsid w:val="00A44609"/>
    <w:rsid w:val="00A45137"/>
    <w:rsid w:val="00A47D0D"/>
    <w:rsid w:val="00A517D8"/>
    <w:rsid w:val="00A54BEC"/>
    <w:rsid w:val="00A70747"/>
    <w:rsid w:val="00A71049"/>
    <w:rsid w:val="00A858D7"/>
    <w:rsid w:val="00AA542B"/>
    <w:rsid w:val="00AC3F25"/>
    <w:rsid w:val="00AD4351"/>
    <w:rsid w:val="00AE1A16"/>
    <w:rsid w:val="00AE5239"/>
    <w:rsid w:val="00AE59C9"/>
    <w:rsid w:val="00AE7C1B"/>
    <w:rsid w:val="00AF2200"/>
    <w:rsid w:val="00B0152A"/>
    <w:rsid w:val="00B406D5"/>
    <w:rsid w:val="00B45FB7"/>
    <w:rsid w:val="00B55323"/>
    <w:rsid w:val="00B63CB8"/>
    <w:rsid w:val="00B661C7"/>
    <w:rsid w:val="00B8368B"/>
    <w:rsid w:val="00B8402C"/>
    <w:rsid w:val="00B84690"/>
    <w:rsid w:val="00B85D46"/>
    <w:rsid w:val="00B900B0"/>
    <w:rsid w:val="00B95FE5"/>
    <w:rsid w:val="00BC22E8"/>
    <w:rsid w:val="00BC43B0"/>
    <w:rsid w:val="00BD2218"/>
    <w:rsid w:val="00BD7E0B"/>
    <w:rsid w:val="00BF1542"/>
    <w:rsid w:val="00BF4581"/>
    <w:rsid w:val="00BF5F76"/>
    <w:rsid w:val="00C02127"/>
    <w:rsid w:val="00C10F1E"/>
    <w:rsid w:val="00C21536"/>
    <w:rsid w:val="00C22E88"/>
    <w:rsid w:val="00C27E67"/>
    <w:rsid w:val="00C31BC5"/>
    <w:rsid w:val="00C4206E"/>
    <w:rsid w:val="00C575AE"/>
    <w:rsid w:val="00C745C0"/>
    <w:rsid w:val="00C75AB3"/>
    <w:rsid w:val="00C809D1"/>
    <w:rsid w:val="00C851CE"/>
    <w:rsid w:val="00C923ED"/>
    <w:rsid w:val="00C92F19"/>
    <w:rsid w:val="00CA07E3"/>
    <w:rsid w:val="00CB2FFC"/>
    <w:rsid w:val="00CC00DC"/>
    <w:rsid w:val="00CE2B96"/>
    <w:rsid w:val="00CE5603"/>
    <w:rsid w:val="00CE6A5A"/>
    <w:rsid w:val="00CF0FA4"/>
    <w:rsid w:val="00CF6565"/>
    <w:rsid w:val="00D018C2"/>
    <w:rsid w:val="00D058C9"/>
    <w:rsid w:val="00D07333"/>
    <w:rsid w:val="00D075F7"/>
    <w:rsid w:val="00D11322"/>
    <w:rsid w:val="00D27478"/>
    <w:rsid w:val="00D3188E"/>
    <w:rsid w:val="00D32865"/>
    <w:rsid w:val="00D43553"/>
    <w:rsid w:val="00D4473A"/>
    <w:rsid w:val="00D46BC3"/>
    <w:rsid w:val="00D52D93"/>
    <w:rsid w:val="00D641FB"/>
    <w:rsid w:val="00D85CD3"/>
    <w:rsid w:val="00DA7367"/>
    <w:rsid w:val="00DB6A6F"/>
    <w:rsid w:val="00DD5129"/>
    <w:rsid w:val="00DE6ED5"/>
    <w:rsid w:val="00DF44EE"/>
    <w:rsid w:val="00E01600"/>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A3F15"/>
    <w:rsid w:val="00EB0613"/>
    <w:rsid w:val="00EC1F55"/>
    <w:rsid w:val="00EC3612"/>
    <w:rsid w:val="00EE6558"/>
    <w:rsid w:val="00EE6DDC"/>
    <w:rsid w:val="00EF5FD5"/>
    <w:rsid w:val="00EF69B8"/>
    <w:rsid w:val="00EF7847"/>
    <w:rsid w:val="00F11034"/>
    <w:rsid w:val="00F14BF6"/>
    <w:rsid w:val="00F16485"/>
    <w:rsid w:val="00F22C28"/>
    <w:rsid w:val="00F315E8"/>
    <w:rsid w:val="00F35F29"/>
    <w:rsid w:val="00F40170"/>
    <w:rsid w:val="00F44653"/>
    <w:rsid w:val="00F53357"/>
    <w:rsid w:val="00F5742F"/>
    <w:rsid w:val="00F63F58"/>
    <w:rsid w:val="00F801B4"/>
    <w:rsid w:val="00F95540"/>
    <w:rsid w:val="00FA507D"/>
    <w:rsid w:val="00FB2FFC"/>
    <w:rsid w:val="00FB3F6D"/>
    <w:rsid w:val="00FC4A49"/>
    <w:rsid w:val="00FE4D24"/>
    <w:rsid w:val="00FF07ED"/>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7539"/>
  <w15:chartTrackingRefBased/>
  <w15:docId w15:val="{5B09081E-D770-4ACA-9B15-B4A5AB07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3210C3"/>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8751">
      <w:bodyDiv w:val="1"/>
      <w:marLeft w:val="0"/>
      <w:marRight w:val="0"/>
      <w:marTop w:val="0"/>
      <w:marBottom w:val="0"/>
      <w:divBdr>
        <w:top w:val="none" w:sz="0" w:space="0" w:color="auto"/>
        <w:left w:val="none" w:sz="0" w:space="0" w:color="auto"/>
        <w:bottom w:val="none" w:sz="0" w:space="0" w:color="auto"/>
        <w:right w:val="none" w:sz="0" w:space="0" w:color="auto"/>
      </w:divBdr>
      <w:divsChild>
        <w:div w:id="647827624">
          <w:marLeft w:val="0"/>
          <w:marRight w:val="0"/>
          <w:marTop w:val="0"/>
          <w:marBottom w:val="0"/>
          <w:divBdr>
            <w:top w:val="none" w:sz="0" w:space="0" w:color="auto"/>
            <w:left w:val="none" w:sz="0" w:space="0" w:color="auto"/>
            <w:bottom w:val="none" w:sz="0" w:space="0" w:color="auto"/>
            <w:right w:val="none" w:sz="0" w:space="0" w:color="auto"/>
          </w:divBdr>
        </w:div>
      </w:divsChild>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455556509">
      <w:bodyDiv w:val="1"/>
      <w:marLeft w:val="0"/>
      <w:marRight w:val="0"/>
      <w:marTop w:val="0"/>
      <w:marBottom w:val="0"/>
      <w:divBdr>
        <w:top w:val="none" w:sz="0" w:space="0" w:color="auto"/>
        <w:left w:val="none" w:sz="0" w:space="0" w:color="auto"/>
        <w:bottom w:val="none" w:sz="0" w:space="0" w:color="auto"/>
        <w:right w:val="none" w:sz="0" w:space="0" w:color="auto"/>
      </w:divBdr>
      <w:divsChild>
        <w:div w:id="1608737654">
          <w:marLeft w:val="0"/>
          <w:marRight w:val="0"/>
          <w:marTop w:val="0"/>
          <w:marBottom w:val="0"/>
          <w:divBdr>
            <w:top w:val="none" w:sz="0" w:space="0" w:color="auto"/>
            <w:left w:val="none" w:sz="0" w:space="0" w:color="auto"/>
            <w:bottom w:val="none" w:sz="0" w:space="0" w:color="auto"/>
            <w:right w:val="none" w:sz="0" w:space="0" w:color="auto"/>
          </w:divBdr>
        </w:div>
      </w:divsChild>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specifications/2024/spec-book-09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319a09a2-30c2-1000-884d-b189cb0c294d&amp;CT=1776094174664"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2006/documentManagement/types"/>
    <ds:schemaRef ds:uri="http://schemas.microsoft.com/office/infopath/2007/PartnerControls"/>
    <ds:schemaRef ds:uri="4f546ee9-1892-45b9-9ba2-985592e03772"/>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Picture%20style%20bmp%20template.dotx?OR=81dd2b71-fb82-4b33-ac71-fed46bf0f87a&amp;CID=319a09a2-30c2-1000-884d-b189cb0c294d&amp;CT=1776094174664</Template>
  <TotalTime>25</TotalTime>
  <Pages>3</Pages>
  <Words>465</Words>
  <Characters>2655</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Sanitary Waste Management</vt:lpstr>
    </vt:vector>
  </TitlesOfParts>
  <Company/>
  <LinksUpToDate>false</LinksUpToDate>
  <CharactersWithSpaces>3114</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Sanitary Waste Management</dc:title>
  <dc:subject>This job aid provides educational technical information on the Sanitary Waste Management to aid in design and inspection.</dc:subject>
  <dc:creator>TxDOT</dc:creator>
  <cp:keywords>075-28-bmp; BMP; Sanitary Waste Management</cp:keywords>
  <dc:description/>
  <cp:lastModifiedBy>Lauren Miller</cp:lastModifiedBy>
  <cp:revision>16</cp:revision>
  <dcterms:created xsi:type="dcterms:W3CDTF">2026-04-13T15:29:00Z</dcterms:created>
  <dcterms:modified xsi:type="dcterms:W3CDTF">2026-04-24T17:51:00Z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