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8888" w14:textId="376F83E4"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682535" w:rsidRPr="00682535">
        <w:rPr>
          <w:rFonts w:asciiTheme="minorHAnsi" w:hAnsiTheme="minorHAnsi"/>
          <w:sz w:val="36"/>
          <w:szCs w:val="36"/>
        </w:rPr>
        <w:t>Material and Equipment Use Over Water</w:t>
      </w:r>
    </w:p>
    <w:p w14:paraId="4E4E27BA" w14:textId="77777777" w:rsidR="001F3298" w:rsidRDefault="001F3298" w:rsidP="001F3298">
      <w:r w:rsidRPr="00BC43B0">
        <w:t>Construction stormwater Best Management Practice</w:t>
      </w:r>
      <w:r>
        <w:t xml:space="preserve"> (BMP)</w:t>
      </w:r>
      <w:r w:rsidRPr="00BC43B0">
        <w:t xml:space="preserve"> must be installed, </w:t>
      </w:r>
      <w:r>
        <w:t xml:space="preserve">inspected, </w:t>
      </w:r>
      <w:r w:rsidRPr="00BC43B0">
        <w:t xml:space="preserve">maintained and removed in accordance with </w:t>
      </w:r>
      <w:r>
        <w:t xml:space="preserve">Texas Department of Transportation (TxDOT) </w:t>
      </w:r>
      <w:r w:rsidRPr="00BC43B0">
        <w:t>manufacturer specifications, where applicable, and the Construction General Permit (TXR150000).</w:t>
      </w:r>
    </w:p>
    <w:p w14:paraId="784E4DE7" w14:textId="77777777" w:rsidR="005456F3" w:rsidRPr="00EE6558" w:rsidRDefault="00F40170" w:rsidP="005456F3">
      <w:pPr>
        <w:pStyle w:val="Heading2"/>
        <w:rPr>
          <w:sz w:val="28"/>
          <w:szCs w:val="28"/>
        </w:rPr>
      </w:pPr>
      <w:r w:rsidRPr="00EE6558">
        <w:rPr>
          <w:sz w:val="28"/>
          <w:szCs w:val="28"/>
        </w:rPr>
        <w:t>Description</w:t>
      </w:r>
    </w:p>
    <w:p w14:paraId="45A510C8" w14:textId="2DB2C16A" w:rsidR="00770FC7" w:rsidRDefault="002301C3" w:rsidP="002301C3">
      <w:r w:rsidRPr="002301C3">
        <w:t>Material and equipment use over water addresses general procedures for use, storage, and disposal of materials and equipment located over water. These procedures minimize the potential for pollutants to be discharged into receiving waters.</w:t>
      </w:r>
      <w:r w:rsidR="00770FC7">
        <w:rPr>
          <w:noProof/>
        </w:rPr>
        <w:drawing>
          <wp:inline distT="0" distB="0" distL="0" distR="0" wp14:anchorId="462C1C5B" wp14:editId="30C50D5D">
            <wp:extent cx="3427565" cy="1819656"/>
            <wp:effectExtent l="19050" t="19050" r="20955" b="28575"/>
            <wp:docPr id="235359155" name="Picture 1" descr="A barge positioned beneath a bridge spans a calm waterway. Construction equipment is staged on the barge to support work over water. The setup keeps materials and equipment contained and off the water surface, reducing the risk of spills or debris entering the water in accordance with stormwater best management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 barge positioned beneath a bridge spans a calm waterway. Construction equipment is staged on the barge to support work over water. The setup keeps materials and equipment contained and off the water surface, reducing the risk of spills or debris entering the water in accordance with stormwater best management practices."/>
                    <pic:cNvPicPr>
                      <a:picLocks noChangeAspect="1" noChangeArrowheads="1"/>
                    </pic:cNvPicPr>
                  </pic:nvPicPr>
                  <pic:blipFill rotWithShape="1">
                    <a:blip r:embed="rId11">
                      <a:extLst>
                        <a:ext uri="{28A0092B-C50C-407E-A947-70E740481C1C}">
                          <a14:useLocalDpi xmlns:a14="http://schemas.microsoft.com/office/drawing/2010/main" val="0"/>
                        </a:ext>
                      </a:extLst>
                    </a:blip>
                    <a:srcRect l="359" t="2886" r="359"/>
                    <a:stretch>
                      <a:fillRect/>
                    </a:stretch>
                  </pic:blipFill>
                  <pic:spPr bwMode="auto">
                    <a:xfrm>
                      <a:off x="0" y="0"/>
                      <a:ext cx="3427565" cy="1819656"/>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8819F7F" w14:textId="79CDE92C"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037B4D">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96387B" w:rsidRPr="0096387B">
        <w:rPr>
          <w:i w:val="0"/>
          <w:iCs w:val="0"/>
          <w:sz w:val="24"/>
          <w:szCs w:val="24"/>
        </w:rPr>
        <w:t xml:space="preserve">Construction equipment </w:t>
      </w:r>
      <w:proofErr w:type="gramStart"/>
      <w:r w:rsidR="0096387B" w:rsidRPr="0096387B">
        <w:rPr>
          <w:i w:val="0"/>
          <w:iCs w:val="0"/>
          <w:sz w:val="24"/>
          <w:szCs w:val="24"/>
        </w:rPr>
        <w:t>staged</w:t>
      </w:r>
      <w:proofErr w:type="gramEnd"/>
      <w:r w:rsidR="0096387B" w:rsidRPr="0096387B">
        <w:rPr>
          <w:i w:val="0"/>
          <w:iCs w:val="0"/>
          <w:sz w:val="24"/>
          <w:szCs w:val="24"/>
        </w:rPr>
        <w:t xml:space="preserve"> on a barge beneath an existing bridge to support work over water.</w:t>
      </w:r>
    </w:p>
    <w:p w14:paraId="066917F9" w14:textId="77777777" w:rsidR="009260DC" w:rsidRPr="00EE6558" w:rsidRDefault="00F40170" w:rsidP="00266C64">
      <w:pPr>
        <w:pStyle w:val="Heading2"/>
        <w:rPr>
          <w:sz w:val="28"/>
          <w:szCs w:val="28"/>
        </w:rPr>
      </w:pPr>
      <w:r w:rsidRPr="00EE6558">
        <w:rPr>
          <w:sz w:val="28"/>
          <w:szCs w:val="28"/>
        </w:rPr>
        <w:t>Application</w:t>
      </w:r>
    </w:p>
    <w:p w14:paraId="08C96AA0" w14:textId="2B5A62A6" w:rsidR="00F40170" w:rsidRDefault="00AC0D65" w:rsidP="00F40170">
      <w:r w:rsidRPr="00AC0D65">
        <w:t xml:space="preserve">Material and equipment use over water controls are applicable when construction materials and </w:t>
      </w:r>
      <w:proofErr w:type="gramStart"/>
      <w:r w:rsidRPr="00AC0D65">
        <w:t>wastes</w:t>
      </w:r>
      <w:proofErr w:type="gramEnd"/>
      <w:r w:rsidRPr="00AC0D65">
        <w:t xml:space="preserve"> (solid and liquid) are used on platforms located within or adjacent to bodies of water. Applicable platforms include, but are not limited to, the following:</w:t>
      </w:r>
    </w:p>
    <w:p w14:paraId="3B790BAB" w14:textId="77777777" w:rsidR="00C447B6" w:rsidRPr="00C447B6" w:rsidRDefault="00C447B6" w:rsidP="00C447B6">
      <w:pPr>
        <w:pStyle w:val="ListBullet"/>
        <w:rPr>
          <w:rFonts w:asciiTheme="minorHAnsi" w:hAnsiTheme="minorHAnsi"/>
          <w:szCs w:val="24"/>
        </w:rPr>
      </w:pPr>
      <w:r w:rsidRPr="00C447B6">
        <w:rPr>
          <w:rFonts w:asciiTheme="minorHAnsi" w:hAnsiTheme="minorHAnsi"/>
          <w:szCs w:val="24"/>
        </w:rPr>
        <w:t>Barges</w:t>
      </w:r>
    </w:p>
    <w:p w14:paraId="2DC18600" w14:textId="093C2600" w:rsidR="00C447B6" w:rsidRPr="00C447B6" w:rsidRDefault="00C447B6" w:rsidP="00C447B6">
      <w:pPr>
        <w:pStyle w:val="ListBullet"/>
        <w:rPr>
          <w:rFonts w:asciiTheme="minorHAnsi" w:hAnsiTheme="minorHAnsi"/>
          <w:szCs w:val="24"/>
        </w:rPr>
      </w:pPr>
      <w:r w:rsidRPr="00C447B6">
        <w:rPr>
          <w:rFonts w:asciiTheme="minorHAnsi" w:hAnsiTheme="minorHAnsi"/>
          <w:szCs w:val="24"/>
        </w:rPr>
        <w:t>Boats</w:t>
      </w:r>
    </w:p>
    <w:p w14:paraId="743E7089" w14:textId="5436EFC0" w:rsidR="00C447B6" w:rsidRPr="00C447B6" w:rsidRDefault="00C447B6" w:rsidP="00C447B6">
      <w:pPr>
        <w:pStyle w:val="ListBullet"/>
        <w:rPr>
          <w:rFonts w:asciiTheme="minorHAnsi" w:hAnsiTheme="minorHAnsi"/>
          <w:szCs w:val="24"/>
        </w:rPr>
      </w:pPr>
      <w:r w:rsidRPr="00C447B6">
        <w:rPr>
          <w:rFonts w:asciiTheme="minorHAnsi" w:hAnsiTheme="minorHAnsi"/>
          <w:szCs w:val="24"/>
        </w:rPr>
        <w:t>Bridges</w:t>
      </w:r>
    </w:p>
    <w:p w14:paraId="1A701D00" w14:textId="25489E57" w:rsidR="00C447B6" w:rsidRPr="00C447B6" w:rsidRDefault="00C447B6" w:rsidP="00C447B6">
      <w:pPr>
        <w:pStyle w:val="ListBullet"/>
        <w:rPr>
          <w:rFonts w:asciiTheme="minorHAnsi" w:hAnsiTheme="minorHAnsi"/>
          <w:szCs w:val="24"/>
        </w:rPr>
      </w:pPr>
      <w:r w:rsidRPr="00C447B6">
        <w:rPr>
          <w:rFonts w:asciiTheme="minorHAnsi" w:hAnsiTheme="minorHAnsi"/>
          <w:szCs w:val="24"/>
        </w:rPr>
        <w:lastRenderedPageBreak/>
        <w:t>Docks</w:t>
      </w:r>
    </w:p>
    <w:p w14:paraId="320C3453" w14:textId="0CF60DB7" w:rsidR="00F40170" w:rsidRPr="00F40170" w:rsidRDefault="00C447B6" w:rsidP="00C447B6">
      <w:pPr>
        <w:pStyle w:val="ListBullet"/>
        <w:rPr>
          <w:rFonts w:asciiTheme="minorHAnsi" w:hAnsiTheme="minorHAnsi"/>
          <w:szCs w:val="24"/>
        </w:rPr>
      </w:pPr>
      <w:r w:rsidRPr="00C447B6">
        <w:rPr>
          <w:rFonts w:asciiTheme="minorHAnsi" w:hAnsiTheme="minorHAnsi"/>
          <w:szCs w:val="24"/>
        </w:rPr>
        <w:t>Temporary construction pads</w:t>
      </w:r>
    </w:p>
    <w:p w14:paraId="6B6F95AE" w14:textId="77777777" w:rsidR="00F40170" w:rsidRPr="00EE6558" w:rsidRDefault="00F40170" w:rsidP="00266C64">
      <w:pPr>
        <w:pStyle w:val="Heading3"/>
        <w:rPr>
          <w:sz w:val="26"/>
          <w:szCs w:val="26"/>
        </w:rPr>
      </w:pPr>
      <w:r w:rsidRPr="00EE6558">
        <w:rPr>
          <w:sz w:val="26"/>
          <w:szCs w:val="26"/>
        </w:rPr>
        <w:t>Advantages</w:t>
      </w:r>
    </w:p>
    <w:p w14:paraId="12A65385" w14:textId="77777777" w:rsidR="00C447B6" w:rsidRDefault="00C447B6" w:rsidP="00C447B6">
      <w:pPr>
        <w:pStyle w:val="ListBullet"/>
      </w:pPr>
      <w:r>
        <w:t>Reduce stormwater pollution</w:t>
      </w:r>
    </w:p>
    <w:p w14:paraId="6145318A" w14:textId="7A965B91" w:rsidR="00F40170" w:rsidRPr="00F40170" w:rsidRDefault="00C447B6" w:rsidP="0073450A">
      <w:pPr>
        <w:pStyle w:val="ListBullet"/>
      </w:pPr>
      <w:r>
        <w:t xml:space="preserve">Can be used in conjunction with other </w:t>
      </w:r>
      <w:r w:rsidR="001B18D7">
        <w:t>Best Management Practices (</w:t>
      </w:r>
      <w:r>
        <w:t>BMPs</w:t>
      </w:r>
      <w:r w:rsidR="001B18D7">
        <w:t>)</w:t>
      </w:r>
    </w:p>
    <w:p w14:paraId="368A54D3" w14:textId="77777777" w:rsidR="00F40170" w:rsidRPr="00EE6558" w:rsidRDefault="00F40170" w:rsidP="00266C64">
      <w:pPr>
        <w:pStyle w:val="Heading3"/>
        <w:rPr>
          <w:sz w:val="26"/>
          <w:szCs w:val="26"/>
        </w:rPr>
      </w:pPr>
      <w:r w:rsidRPr="00EE6558">
        <w:rPr>
          <w:sz w:val="26"/>
          <w:szCs w:val="26"/>
        </w:rPr>
        <w:t>Disadvantages</w:t>
      </w:r>
    </w:p>
    <w:p w14:paraId="35D50E1E" w14:textId="435F1FB4" w:rsidR="00770FC7" w:rsidRPr="00770FC7" w:rsidRDefault="00785BC1" w:rsidP="000D623E">
      <w:pPr>
        <w:pStyle w:val="ListBullet"/>
      </w:pPr>
      <w:r w:rsidRPr="00785BC1">
        <w:t>Requires permitting</w:t>
      </w:r>
    </w:p>
    <w:p w14:paraId="498B5F9A" w14:textId="77777777" w:rsidR="009260DC" w:rsidRPr="00EE6558" w:rsidRDefault="00F40170" w:rsidP="00266C64">
      <w:pPr>
        <w:pStyle w:val="Heading2"/>
        <w:rPr>
          <w:sz w:val="28"/>
          <w:szCs w:val="28"/>
        </w:rPr>
      </w:pPr>
      <w:r w:rsidRPr="00EE6558">
        <w:rPr>
          <w:sz w:val="28"/>
          <w:szCs w:val="28"/>
        </w:rPr>
        <w:t>Design Criteria</w:t>
      </w:r>
    </w:p>
    <w:p w14:paraId="3B83F677" w14:textId="3DC00308" w:rsidR="00785BC1" w:rsidRDefault="00785BC1" w:rsidP="003114B8">
      <w:pPr>
        <w:pStyle w:val="ListNumber"/>
        <w:numPr>
          <w:ilvl w:val="0"/>
          <w:numId w:val="5"/>
        </w:numPr>
        <w:ind w:left="540" w:hanging="540"/>
      </w:pPr>
      <w:r>
        <w:t>All construction sites must implement the material and equipment use over water BMP if construction activities are scheduled within or adjacent to surface waters</w:t>
      </w:r>
      <w:r w:rsidR="003114B8">
        <w:t>.</w:t>
      </w:r>
    </w:p>
    <w:p w14:paraId="509313AA" w14:textId="73A2F7BF" w:rsidR="00785BC1" w:rsidRDefault="00785BC1" w:rsidP="003114B8">
      <w:pPr>
        <w:pStyle w:val="ListNumber"/>
        <w:numPr>
          <w:ilvl w:val="0"/>
          <w:numId w:val="5"/>
        </w:numPr>
        <w:ind w:left="540" w:hanging="540"/>
      </w:pPr>
      <w:r>
        <w:t>This BMP should be implemented in accordance with all required permits (</w:t>
      </w:r>
      <w:r w:rsidR="001B18D7">
        <w:t>for example</w:t>
      </w:r>
      <w:r>
        <w:t xml:space="preserve">, </w:t>
      </w:r>
      <w:r w:rsidR="00DF29CB" w:rsidRPr="00DF29CB">
        <w:t xml:space="preserve">Regional Water Quality Control Board </w:t>
      </w:r>
      <w:r w:rsidR="00DF29CB">
        <w:t>(</w:t>
      </w:r>
      <w:r>
        <w:t>RWQCB</w:t>
      </w:r>
      <w:r w:rsidR="00DF29CB">
        <w:t>)</w:t>
      </w:r>
      <w:r>
        <w:t>,</w:t>
      </w:r>
      <w:r w:rsidR="00C61C04" w:rsidRPr="00C61C04">
        <w:t xml:space="preserve"> United States Army Corps of Engineers </w:t>
      </w:r>
      <w:r w:rsidR="00C61C04">
        <w:t>(</w:t>
      </w:r>
      <w:r>
        <w:t>USACE</w:t>
      </w:r>
      <w:r w:rsidR="00C61C04">
        <w:t>)</w:t>
      </w:r>
      <w:r>
        <w:t>, Department of Fish and Wildlife, etc</w:t>
      </w:r>
      <w:r w:rsidR="00C61C04">
        <w:t>etera</w:t>
      </w:r>
      <w:r>
        <w:t>).</w:t>
      </w:r>
    </w:p>
    <w:p w14:paraId="356631D5" w14:textId="4E075BB6" w:rsidR="00785BC1" w:rsidRDefault="00785BC1" w:rsidP="003114B8">
      <w:pPr>
        <w:pStyle w:val="ListNumber"/>
        <w:numPr>
          <w:ilvl w:val="0"/>
          <w:numId w:val="5"/>
        </w:numPr>
        <w:ind w:left="540" w:hanging="540"/>
      </w:pPr>
      <w:r>
        <w:t xml:space="preserve">Material and equipment </w:t>
      </w:r>
      <w:proofErr w:type="gramStart"/>
      <w:r w:rsidR="003114B8">
        <w:t>use</w:t>
      </w:r>
      <w:proofErr w:type="gramEnd"/>
      <w:r>
        <w:t xml:space="preserve"> over water BMPs must be documented in the </w:t>
      </w:r>
      <w:r w:rsidR="00EE65D0" w:rsidRPr="00EE65D0">
        <w:t>Stormwater Pollution Prevention Plan</w:t>
      </w:r>
      <w:r w:rsidR="00EE65D0">
        <w:t xml:space="preserve"> </w:t>
      </w:r>
      <w:r w:rsidR="00F0155E">
        <w:t>(</w:t>
      </w:r>
      <w:r>
        <w:t>SW3P</w:t>
      </w:r>
      <w:r w:rsidR="00F0155E">
        <w:t>)</w:t>
      </w:r>
      <w:r>
        <w:t xml:space="preserve"> layout sheets</w:t>
      </w:r>
      <w:r w:rsidR="003114B8">
        <w:t>.</w:t>
      </w:r>
    </w:p>
    <w:p w14:paraId="2C928063" w14:textId="00726326" w:rsidR="00785BC1" w:rsidRDefault="00785BC1" w:rsidP="003114B8">
      <w:pPr>
        <w:pStyle w:val="ListNumber"/>
        <w:numPr>
          <w:ilvl w:val="0"/>
          <w:numId w:val="5"/>
        </w:numPr>
        <w:ind w:left="540" w:hanging="540"/>
      </w:pPr>
      <w:r>
        <w:t>Watertight curbs or toe boards should be installed to contain spills and prevent materials from leaving the platform</w:t>
      </w:r>
      <w:r w:rsidR="003114B8">
        <w:t>.</w:t>
      </w:r>
    </w:p>
    <w:p w14:paraId="0B541ECC" w14:textId="3F5258AF" w:rsidR="00785BC1" w:rsidRDefault="00785BC1" w:rsidP="003114B8">
      <w:pPr>
        <w:pStyle w:val="ListNumber"/>
        <w:numPr>
          <w:ilvl w:val="0"/>
          <w:numId w:val="5"/>
        </w:numPr>
        <w:ind w:left="540" w:hanging="540"/>
      </w:pPr>
      <w:r>
        <w:t>All materials should be secured to prevent accidental discharge via wind</w:t>
      </w:r>
      <w:r w:rsidR="003114B8">
        <w:t>.</w:t>
      </w:r>
    </w:p>
    <w:p w14:paraId="352E40DE" w14:textId="0C9F851E" w:rsidR="00785BC1" w:rsidRDefault="00785BC1" w:rsidP="003114B8">
      <w:pPr>
        <w:pStyle w:val="ListNumber"/>
        <w:numPr>
          <w:ilvl w:val="0"/>
          <w:numId w:val="5"/>
        </w:numPr>
        <w:ind w:left="540" w:hanging="540"/>
      </w:pPr>
      <w:r>
        <w:t xml:space="preserve">Accumulated </w:t>
      </w:r>
      <w:r w:rsidR="003114B8">
        <w:t>waste</w:t>
      </w:r>
      <w:r>
        <w:t xml:space="preserve"> and unused materials should be regularly removed from the platform and stored or disposed of daily</w:t>
      </w:r>
      <w:r w:rsidR="003114B8">
        <w:t>.</w:t>
      </w:r>
    </w:p>
    <w:p w14:paraId="4A7B466F" w14:textId="70245A1D" w:rsidR="00785BC1" w:rsidRDefault="00785BC1" w:rsidP="003114B8">
      <w:pPr>
        <w:pStyle w:val="ListNumber"/>
        <w:numPr>
          <w:ilvl w:val="0"/>
          <w:numId w:val="5"/>
        </w:numPr>
        <w:ind w:left="540" w:hanging="540"/>
      </w:pPr>
      <w:r>
        <w:t xml:space="preserve">Maintain vehicles and equipment in accordance with </w:t>
      </w:r>
      <w:r w:rsidR="005B26FC">
        <w:t>“</w:t>
      </w:r>
      <w:r>
        <w:t>Vehicle and Equipment Management</w:t>
      </w:r>
      <w:r w:rsidR="005B26FC">
        <w:t>”</w:t>
      </w:r>
      <w:r w:rsidR="003114B8">
        <w:t>.</w:t>
      </w:r>
    </w:p>
    <w:p w14:paraId="7649FC98" w14:textId="0856DE6F" w:rsidR="00785BC1" w:rsidRDefault="00785BC1" w:rsidP="003114B8">
      <w:pPr>
        <w:pStyle w:val="ListNumber"/>
        <w:numPr>
          <w:ilvl w:val="0"/>
          <w:numId w:val="5"/>
        </w:numPr>
        <w:ind w:left="540" w:hanging="540"/>
      </w:pPr>
      <w:r>
        <w:t>Any accidental discharges should be reported upon discovery. Refer to “Spill and Leak Control”.</w:t>
      </w:r>
    </w:p>
    <w:p w14:paraId="0F6C3F1E" w14:textId="20C66928" w:rsidR="00785BC1" w:rsidRDefault="00785BC1" w:rsidP="003114B8">
      <w:pPr>
        <w:pStyle w:val="ListNumber"/>
        <w:numPr>
          <w:ilvl w:val="0"/>
          <w:numId w:val="5"/>
        </w:numPr>
        <w:ind w:left="540" w:hanging="540"/>
      </w:pPr>
      <w:r>
        <w:t>This BMP must be used in conjunction with the following BMPs</w:t>
      </w:r>
      <w:r w:rsidR="003114B8">
        <w:t>:</w:t>
      </w:r>
    </w:p>
    <w:p w14:paraId="3EE36573" w14:textId="77777777" w:rsidR="00785BC1" w:rsidRDefault="00785BC1" w:rsidP="00785BC1">
      <w:pPr>
        <w:pStyle w:val="ListBullet"/>
      </w:pPr>
      <w:r>
        <w:t>Vehicle and Equipment Management</w:t>
      </w:r>
    </w:p>
    <w:p w14:paraId="34B7B156" w14:textId="77777777" w:rsidR="00785BC1" w:rsidRDefault="00785BC1" w:rsidP="00785BC1">
      <w:pPr>
        <w:pStyle w:val="ListBullet"/>
      </w:pPr>
      <w:r>
        <w:t>Street Sweeping</w:t>
      </w:r>
    </w:p>
    <w:p w14:paraId="061B11CD" w14:textId="77777777" w:rsidR="00785BC1" w:rsidRDefault="00785BC1" w:rsidP="00785BC1">
      <w:pPr>
        <w:pStyle w:val="ListBullet"/>
      </w:pPr>
      <w:r>
        <w:lastRenderedPageBreak/>
        <w:t>Chemical Management</w:t>
      </w:r>
    </w:p>
    <w:p w14:paraId="5786ABFB" w14:textId="77777777" w:rsidR="00785BC1" w:rsidRDefault="00785BC1" w:rsidP="00785BC1">
      <w:pPr>
        <w:pStyle w:val="ListBullet"/>
      </w:pPr>
      <w:r>
        <w:t>Contractor Waste Management</w:t>
      </w:r>
    </w:p>
    <w:p w14:paraId="64809319" w14:textId="77777777" w:rsidR="00785BC1" w:rsidRDefault="00785BC1" w:rsidP="00785BC1">
      <w:pPr>
        <w:pStyle w:val="ListBullet"/>
      </w:pPr>
      <w:r>
        <w:t>Sanitary Waste Management</w:t>
      </w:r>
    </w:p>
    <w:p w14:paraId="33981AE5" w14:textId="77777777" w:rsidR="00785BC1" w:rsidRDefault="00785BC1" w:rsidP="00785BC1">
      <w:pPr>
        <w:pStyle w:val="ListBullet"/>
      </w:pPr>
      <w:r>
        <w:t>Spill and Leak Control</w:t>
      </w:r>
    </w:p>
    <w:p w14:paraId="254170C7" w14:textId="7FB9995A" w:rsidR="0005276A" w:rsidRDefault="0005276A" w:rsidP="00785BC1">
      <w:pPr>
        <w:pStyle w:val="ListBullet"/>
      </w:pPr>
      <w:r>
        <w:t>Stockpile Management</w:t>
      </w:r>
    </w:p>
    <w:p w14:paraId="7174791A" w14:textId="77777777" w:rsidR="00F40170" w:rsidRPr="00EE6558" w:rsidRDefault="00F40170" w:rsidP="00266C64">
      <w:pPr>
        <w:pStyle w:val="Heading2"/>
        <w:rPr>
          <w:sz w:val="28"/>
          <w:szCs w:val="28"/>
        </w:rPr>
      </w:pPr>
      <w:r w:rsidRPr="00EE6558">
        <w:rPr>
          <w:sz w:val="28"/>
          <w:szCs w:val="28"/>
        </w:rPr>
        <w:t>References</w:t>
      </w:r>
    </w:p>
    <w:p w14:paraId="70839E97" w14:textId="562B8CB5" w:rsidR="00177BEF" w:rsidRDefault="00DB35B3" w:rsidP="00266C64">
      <w:hyperlink r:id="rId12" w:history="1">
        <w:r w:rsidRPr="00DB35B3">
          <w:rPr>
            <w:rStyle w:val="Hyperlink"/>
          </w:rPr>
          <w:t>Texas Pollutant Discharge Elimination System (TPDES) Construction General Permit TXR150000</w:t>
        </w:r>
      </w:hyperlink>
      <w:r w:rsidR="00124493" w:rsidRPr="00C30A50">
        <w:t xml:space="preserve"> </w:t>
      </w:r>
      <w:r w:rsidR="004A74DC">
        <w:t>Part III Section F and Part IV</w:t>
      </w:r>
    </w:p>
    <w:sectPr w:rsidR="00177BEF" w:rsidSect="0010454F">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DAAF" w14:textId="77777777" w:rsidR="00D332B3" w:rsidRDefault="00D332B3" w:rsidP="00CE2B96">
      <w:pPr>
        <w:spacing w:after="0"/>
      </w:pPr>
      <w:r>
        <w:separator/>
      </w:r>
    </w:p>
  </w:endnote>
  <w:endnote w:type="continuationSeparator" w:id="0">
    <w:p w14:paraId="6F73F7EE" w14:textId="77777777" w:rsidR="00D332B3" w:rsidRDefault="00D332B3" w:rsidP="00CE2B96">
      <w:pPr>
        <w:spacing w:after="0"/>
      </w:pPr>
      <w:r>
        <w:continuationSeparator/>
      </w:r>
    </w:p>
  </w:endnote>
  <w:endnote w:type="continuationNotice" w:id="1">
    <w:p w14:paraId="1AF6F946" w14:textId="77777777" w:rsidR="00D332B3" w:rsidRDefault="00D33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4147" w14:textId="77777777" w:rsidR="0045181D" w:rsidRDefault="00451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50F8" w14:textId="30DF53AC"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34C27162" wp14:editId="228497A4">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C95B7D"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682535" w:rsidRPr="00682535">
      <w:rPr>
        <w:color w:val="0056A9"/>
      </w:rPr>
      <w:t>Material and Equipment Use Over Water</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65723CD7"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636A" w14:textId="77777777" w:rsidR="0045181D" w:rsidRDefault="00451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16AD" w14:textId="77777777" w:rsidR="00D332B3" w:rsidRDefault="00D332B3" w:rsidP="00CE2B96">
      <w:pPr>
        <w:spacing w:after="0"/>
      </w:pPr>
      <w:r>
        <w:separator/>
      </w:r>
    </w:p>
  </w:footnote>
  <w:footnote w:type="continuationSeparator" w:id="0">
    <w:p w14:paraId="266C87CF" w14:textId="77777777" w:rsidR="00D332B3" w:rsidRDefault="00D332B3" w:rsidP="00CE2B96">
      <w:pPr>
        <w:spacing w:after="0"/>
      </w:pPr>
      <w:r>
        <w:continuationSeparator/>
      </w:r>
    </w:p>
  </w:footnote>
  <w:footnote w:type="continuationNotice" w:id="1">
    <w:p w14:paraId="7FE83F96" w14:textId="77777777" w:rsidR="00D332B3" w:rsidRDefault="00D33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67D2" w14:textId="77777777" w:rsidR="0045181D" w:rsidRDefault="00451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2C1B" w14:textId="77777777" w:rsidR="001705BC" w:rsidRDefault="001705BC" w:rsidP="001705BC">
    <w:pPr>
      <w:pStyle w:val="Header"/>
      <w:spacing w:after="400"/>
      <w:jc w:val="right"/>
    </w:pPr>
    <w:r>
      <w:rPr>
        <w:noProof/>
      </w:rPr>
      <w:drawing>
        <wp:inline distT="0" distB="0" distL="0" distR="0" wp14:anchorId="3ACC576C" wp14:editId="4C42ABB7">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5EB2"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6AC0DC"/>
    <w:lvl w:ilvl="0">
      <w:start w:val="1"/>
      <w:numFmt w:val="decimal"/>
      <w:pStyle w:val="ListNumber"/>
      <w:lvlText w:val="%1."/>
      <w:lvlJc w:val="left"/>
      <w:pPr>
        <w:tabs>
          <w:tab w:val="num" w:pos="360"/>
        </w:tabs>
        <w:ind w:left="360" w:hanging="360"/>
      </w:pPr>
    </w:lvl>
  </w:abstractNum>
  <w:abstractNum w:abstractNumId="1" w15:restartNumberingAfterBreak="0">
    <w:nsid w:val="0E2E28C9"/>
    <w:multiLevelType w:val="hybridMultilevel"/>
    <w:tmpl w:val="D7324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2"/>
  </w:num>
  <w:num w:numId="4" w16cid:durableId="1374307023">
    <w:abstractNumId w:val="0"/>
  </w:num>
  <w:num w:numId="5" w16cid:durableId="920023321">
    <w:abstractNumId w:val="1"/>
  </w:num>
  <w:num w:numId="6" w16cid:durableId="152805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z1ik3HwsYnBcZQaueGVe7MVhoQbZbACYAQ5dj1EDEpCYfNXFNIfKHmFpl9f5/o/gG4cnFhq3P5tiyzOdYCYEEg==" w:salt="y2/8hilu9WfXOtmlyVJ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35"/>
    <w:rsid w:val="00000192"/>
    <w:rsid w:val="0001514F"/>
    <w:rsid w:val="0003040F"/>
    <w:rsid w:val="00030BEF"/>
    <w:rsid w:val="0003774E"/>
    <w:rsid w:val="00037B4D"/>
    <w:rsid w:val="00042206"/>
    <w:rsid w:val="0005276A"/>
    <w:rsid w:val="0005583F"/>
    <w:rsid w:val="00062B88"/>
    <w:rsid w:val="00075AE3"/>
    <w:rsid w:val="000940FB"/>
    <w:rsid w:val="000B2945"/>
    <w:rsid w:val="000B5A5C"/>
    <w:rsid w:val="000C44D1"/>
    <w:rsid w:val="000C7AD7"/>
    <w:rsid w:val="000E0386"/>
    <w:rsid w:val="000E6230"/>
    <w:rsid w:val="0010454F"/>
    <w:rsid w:val="00105532"/>
    <w:rsid w:val="00114E9C"/>
    <w:rsid w:val="0011764F"/>
    <w:rsid w:val="00122EF8"/>
    <w:rsid w:val="00123989"/>
    <w:rsid w:val="00124493"/>
    <w:rsid w:val="0012633D"/>
    <w:rsid w:val="001304D7"/>
    <w:rsid w:val="00146BE0"/>
    <w:rsid w:val="001568B6"/>
    <w:rsid w:val="001705BC"/>
    <w:rsid w:val="001761D7"/>
    <w:rsid w:val="00177BEF"/>
    <w:rsid w:val="00181735"/>
    <w:rsid w:val="00182222"/>
    <w:rsid w:val="0018694B"/>
    <w:rsid w:val="00190DCD"/>
    <w:rsid w:val="00191AFD"/>
    <w:rsid w:val="001A1806"/>
    <w:rsid w:val="001A69C9"/>
    <w:rsid w:val="001B18D7"/>
    <w:rsid w:val="001B5185"/>
    <w:rsid w:val="001B6C26"/>
    <w:rsid w:val="001C3E75"/>
    <w:rsid w:val="001C6463"/>
    <w:rsid w:val="001D607F"/>
    <w:rsid w:val="001E5E7E"/>
    <w:rsid w:val="001F3298"/>
    <w:rsid w:val="001F3B87"/>
    <w:rsid w:val="001F4FAC"/>
    <w:rsid w:val="001F62FA"/>
    <w:rsid w:val="001F70D5"/>
    <w:rsid w:val="00211518"/>
    <w:rsid w:val="002301C3"/>
    <w:rsid w:val="002340C7"/>
    <w:rsid w:val="002376C2"/>
    <w:rsid w:val="002531E4"/>
    <w:rsid w:val="00263235"/>
    <w:rsid w:val="00266C64"/>
    <w:rsid w:val="00273031"/>
    <w:rsid w:val="002805FC"/>
    <w:rsid w:val="00284504"/>
    <w:rsid w:val="002853C4"/>
    <w:rsid w:val="00290571"/>
    <w:rsid w:val="00290A05"/>
    <w:rsid w:val="002934DC"/>
    <w:rsid w:val="002A05A5"/>
    <w:rsid w:val="002A12D5"/>
    <w:rsid w:val="002A328E"/>
    <w:rsid w:val="002A75F2"/>
    <w:rsid w:val="002B1115"/>
    <w:rsid w:val="002B4473"/>
    <w:rsid w:val="002C57BC"/>
    <w:rsid w:val="002D0309"/>
    <w:rsid w:val="003114B8"/>
    <w:rsid w:val="00316C8C"/>
    <w:rsid w:val="0032481A"/>
    <w:rsid w:val="00374D07"/>
    <w:rsid w:val="003802D6"/>
    <w:rsid w:val="00396C09"/>
    <w:rsid w:val="00397DB4"/>
    <w:rsid w:val="003A1996"/>
    <w:rsid w:val="003A504F"/>
    <w:rsid w:val="003A5A12"/>
    <w:rsid w:val="003C10A6"/>
    <w:rsid w:val="003D41C5"/>
    <w:rsid w:val="003E1328"/>
    <w:rsid w:val="003F3CC1"/>
    <w:rsid w:val="00406A70"/>
    <w:rsid w:val="0040715E"/>
    <w:rsid w:val="004112F8"/>
    <w:rsid w:val="00414B2A"/>
    <w:rsid w:val="0042061E"/>
    <w:rsid w:val="00427DBB"/>
    <w:rsid w:val="004319CF"/>
    <w:rsid w:val="00437A34"/>
    <w:rsid w:val="0045181D"/>
    <w:rsid w:val="00451AA8"/>
    <w:rsid w:val="00451E21"/>
    <w:rsid w:val="00457343"/>
    <w:rsid w:val="00461CD0"/>
    <w:rsid w:val="00487276"/>
    <w:rsid w:val="00496C57"/>
    <w:rsid w:val="004A1071"/>
    <w:rsid w:val="004A74DC"/>
    <w:rsid w:val="004B325C"/>
    <w:rsid w:val="004C3C54"/>
    <w:rsid w:val="004D2CA8"/>
    <w:rsid w:val="004D61AA"/>
    <w:rsid w:val="004E496F"/>
    <w:rsid w:val="004E7B23"/>
    <w:rsid w:val="004F1B1D"/>
    <w:rsid w:val="004F2208"/>
    <w:rsid w:val="004F336B"/>
    <w:rsid w:val="004F697B"/>
    <w:rsid w:val="00501A04"/>
    <w:rsid w:val="00512B65"/>
    <w:rsid w:val="00525C81"/>
    <w:rsid w:val="005312B0"/>
    <w:rsid w:val="00540DE8"/>
    <w:rsid w:val="005456F3"/>
    <w:rsid w:val="005555C5"/>
    <w:rsid w:val="00557057"/>
    <w:rsid w:val="00590EB3"/>
    <w:rsid w:val="005A429F"/>
    <w:rsid w:val="005B26FC"/>
    <w:rsid w:val="005C5814"/>
    <w:rsid w:val="005D35F1"/>
    <w:rsid w:val="005D638D"/>
    <w:rsid w:val="005D6FD8"/>
    <w:rsid w:val="005E451D"/>
    <w:rsid w:val="005F42AC"/>
    <w:rsid w:val="006125F2"/>
    <w:rsid w:val="00615D95"/>
    <w:rsid w:val="00623543"/>
    <w:rsid w:val="00624882"/>
    <w:rsid w:val="00624C21"/>
    <w:rsid w:val="006258E9"/>
    <w:rsid w:val="00626A92"/>
    <w:rsid w:val="00630C68"/>
    <w:rsid w:val="00631130"/>
    <w:rsid w:val="00634436"/>
    <w:rsid w:val="00640ADD"/>
    <w:rsid w:val="0064565C"/>
    <w:rsid w:val="00652AE6"/>
    <w:rsid w:val="00681928"/>
    <w:rsid w:val="00682535"/>
    <w:rsid w:val="006838DD"/>
    <w:rsid w:val="00687A4D"/>
    <w:rsid w:val="006A2D31"/>
    <w:rsid w:val="006A5667"/>
    <w:rsid w:val="006B34EF"/>
    <w:rsid w:val="006B61E3"/>
    <w:rsid w:val="006B7CC3"/>
    <w:rsid w:val="006C2DE6"/>
    <w:rsid w:val="006C56E3"/>
    <w:rsid w:val="006C7161"/>
    <w:rsid w:val="006D15D7"/>
    <w:rsid w:val="006D794E"/>
    <w:rsid w:val="006F78ED"/>
    <w:rsid w:val="00700634"/>
    <w:rsid w:val="0070413E"/>
    <w:rsid w:val="00712F24"/>
    <w:rsid w:val="0072002A"/>
    <w:rsid w:val="007222F6"/>
    <w:rsid w:val="00726A51"/>
    <w:rsid w:val="00730092"/>
    <w:rsid w:val="00730A26"/>
    <w:rsid w:val="007339AE"/>
    <w:rsid w:val="007414D4"/>
    <w:rsid w:val="007475BB"/>
    <w:rsid w:val="007524CB"/>
    <w:rsid w:val="00762ADC"/>
    <w:rsid w:val="00763838"/>
    <w:rsid w:val="00763EA2"/>
    <w:rsid w:val="00767521"/>
    <w:rsid w:val="00770FC7"/>
    <w:rsid w:val="00771021"/>
    <w:rsid w:val="00781A58"/>
    <w:rsid w:val="0078466A"/>
    <w:rsid w:val="00785BC1"/>
    <w:rsid w:val="00791127"/>
    <w:rsid w:val="007918C8"/>
    <w:rsid w:val="00794CFE"/>
    <w:rsid w:val="007A3B26"/>
    <w:rsid w:val="007A6FA4"/>
    <w:rsid w:val="007B00A8"/>
    <w:rsid w:val="007B474D"/>
    <w:rsid w:val="007B6158"/>
    <w:rsid w:val="007C06C2"/>
    <w:rsid w:val="007C07D3"/>
    <w:rsid w:val="007C0968"/>
    <w:rsid w:val="007C3FCF"/>
    <w:rsid w:val="007D47D6"/>
    <w:rsid w:val="007E4B7F"/>
    <w:rsid w:val="007E5AC3"/>
    <w:rsid w:val="007E70A0"/>
    <w:rsid w:val="008253B9"/>
    <w:rsid w:val="008518BE"/>
    <w:rsid w:val="008572D4"/>
    <w:rsid w:val="0086528F"/>
    <w:rsid w:val="0087110F"/>
    <w:rsid w:val="008833F5"/>
    <w:rsid w:val="00885A03"/>
    <w:rsid w:val="008905E4"/>
    <w:rsid w:val="00890CA1"/>
    <w:rsid w:val="00893375"/>
    <w:rsid w:val="00894429"/>
    <w:rsid w:val="008A13B1"/>
    <w:rsid w:val="008B49EB"/>
    <w:rsid w:val="008B6F77"/>
    <w:rsid w:val="008D4606"/>
    <w:rsid w:val="008E445D"/>
    <w:rsid w:val="008E4F71"/>
    <w:rsid w:val="008F2FA1"/>
    <w:rsid w:val="00900F14"/>
    <w:rsid w:val="00901FCD"/>
    <w:rsid w:val="00913DCA"/>
    <w:rsid w:val="00915FFB"/>
    <w:rsid w:val="009160AB"/>
    <w:rsid w:val="0091704D"/>
    <w:rsid w:val="00917F65"/>
    <w:rsid w:val="009224B2"/>
    <w:rsid w:val="009260DC"/>
    <w:rsid w:val="0093633D"/>
    <w:rsid w:val="00953DA5"/>
    <w:rsid w:val="00955095"/>
    <w:rsid w:val="0096387B"/>
    <w:rsid w:val="00967F5A"/>
    <w:rsid w:val="009744CC"/>
    <w:rsid w:val="00976A16"/>
    <w:rsid w:val="0098219A"/>
    <w:rsid w:val="009919F2"/>
    <w:rsid w:val="00995A37"/>
    <w:rsid w:val="00997031"/>
    <w:rsid w:val="009A0706"/>
    <w:rsid w:val="009A5C4C"/>
    <w:rsid w:val="009F72F5"/>
    <w:rsid w:val="00A05307"/>
    <w:rsid w:val="00A07068"/>
    <w:rsid w:val="00A07348"/>
    <w:rsid w:val="00A166DE"/>
    <w:rsid w:val="00A22F82"/>
    <w:rsid w:val="00A44609"/>
    <w:rsid w:val="00A45137"/>
    <w:rsid w:val="00A47D0D"/>
    <w:rsid w:val="00A517D8"/>
    <w:rsid w:val="00A54BEC"/>
    <w:rsid w:val="00A70747"/>
    <w:rsid w:val="00A71049"/>
    <w:rsid w:val="00A858D7"/>
    <w:rsid w:val="00AA542B"/>
    <w:rsid w:val="00AC0D65"/>
    <w:rsid w:val="00AC3F25"/>
    <w:rsid w:val="00AD4351"/>
    <w:rsid w:val="00AE1A16"/>
    <w:rsid w:val="00AE5239"/>
    <w:rsid w:val="00AE59C9"/>
    <w:rsid w:val="00AE7C1B"/>
    <w:rsid w:val="00B0152A"/>
    <w:rsid w:val="00B17C6F"/>
    <w:rsid w:val="00B406D5"/>
    <w:rsid w:val="00B43B77"/>
    <w:rsid w:val="00B45FB7"/>
    <w:rsid w:val="00B55323"/>
    <w:rsid w:val="00B63CB8"/>
    <w:rsid w:val="00B8368B"/>
    <w:rsid w:val="00B84690"/>
    <w:rsid w:val="00B85D46"/>
    <w:rsid w:val="00B900B0"/>
    <w:rsid w:val="00BB7B72"/>
    <w:rsid w:val="00BC22E8"/>
    <w:rsid w:val="00BC43B0"/>
    <w:rsid w:val="00BC75C5"/>
    <w:rsid w:val="00BD2218"/>
    <w:rsid w:val="00BD7E0B"/>
    <w:rsid w:val="00BF1542"/>
    <w:rsid w:val="00BF4581"/>
    <w:rsid w:val="00BF5F76"/>
    <w:rsid w:val="00C02127"/>
    <w:rsid w:val="00C10F1E"/>
    <w:rsid w:val="00C21536"/>
    <w:rsid w:val="00C22E88"/>
    <w:rsid w:val="00C27E67"/>
    <w:rsid w:val="00C31BC5"/>
    <w:rsid w:val="00C4206E"/>
    <w:rsid w:val="00C447B6"/>
    <w:rsid w:val="00C575AE"/>
    <w:rsid w:val="00C61C04"/>
    <w:rsid w:val="00C745C0"/>
    <w:rsid w:val="00C75AB3"/>
    <w:rsid w:val="00C809D1"/>
    <w:rsid w:val="00C923ED"/>
    <w:rsid w:val="00CA07E3"/>
    <w:rsid w:val="00CB2FFC"/>
    <w:rsid w:val="00CC00DC"/>
    <w:rsid w:val="00CC5945"/>
    <w:rsid w:val="00CE2B96"/>
    <w:rsid w:val="00CE5603"/>
    <w:rsid w:val="00CE6A5A"/>
    <w:rsid w:val="00CF0FA4"/>
    <w:rsid w:val="00CF6565"/>
    <w:rsid w:val="00D018C2"/>
    <w:rsid w:val="00D01CC3"/>
    <w:rsid w:val="00D058C9"/>
    <w:rsid w:val="00D07333"/>
    <w:rsid w:val="00D075F7"/>
    <w:rsid w:val="00D10A17"/>
    <w:rsid w:val="00D11322"/>
    <w:rsid w:val="00D3188E"/>
    <w:rsid w:val="00D32865"/>
    <w:rsid w:val="00D332B3"/>
    <w:rsid w:val="00D43553"/>
    <w:rsid w:val="00D4473A"/>
    <w:rsid w:val="00D46BC3"/>
    <w:rsid w:val="00D52D93"/>
    <w:rsid w:val="00D641FB"/>
    <w:rsid w:val="00D85CD3"/>
    <w:rsid w:val="00DA7367"/>
    <w:rsid w:val="00DB35B3"/>
    <w:rsid w:val="00DB5AEA"/>
    <w:rsid w:val="00DB6A6F"/>
    <w:rsid w:val="00DD5129"/>
    <w:rsid w:val="00DE6ED5"/>
    <w:rsid w:val="00DF29CB"/>
    <w:rsid w:val="00DF44EE"/>
    <w:rsid w:val="00E04916"/>
    <w:rsid w:val="00E04EB5"/>
    <w:rsid w:val="00E10B9C"/>
    <w:rsid w:val="00E15D9F"/>
    <w:rsid w:val="00E302A4"/>
    <w:rsid w:val="00E33825"/>
    <w:rsid w:val="00E43EB7"/>
    <w:rsid w:val="00E47D85"/>
    <w:rsid w:val="00E50774"/>
    <w:rsid w:val="00E52786"/>
    <w:rsid w:val="00E535B1"/>
    <w:rsid w:val="00E6753D"/>
    <w:rsid w:val="00E75EDD"/>
    <w:rsid w:val="00E83835"/>
    <w:rsid w:val="00E85FF7"/>
    <w:rsid w:val="00EA3F15"/>
    <w:rsid w:val="00EB0613"/>
    <w:rsid w:val="00EC1F55"/>
    <w:rsid w:val="00EC3612"/>
    <w:rsid w:val="00EE6558"/>
    <w:rsid w:val="00EE65D0"/>
    <w:rsid w:val="00EE6DDC"/>
    <w:rsid w:val="00EF5FD5"/>
    <w:rsid w:val="00EF69B8"/>
    <w:rsid w:val="00EF7847"/>
    <w:rsid w:val="00F0155E"/>
    <w:rsid w:val="00F11034"/>
    <w:rsid w:val="00F14BF6"/>
    <w:rsid w:val="00F22C28"/>
    <w:rsid w:val="00F315E8"/>
    <w:rsid w:val="00F35F29"/>
    <w:rsid w:val="00F40170"/>
    <w:rsid w:val="00F44653"/>
    <w:rsid w:val="00F53357"/>
    <w:rsid w:val="00F5742F"/>
    <w:rsid w:val="00F63F58"/>
    <w:rsid w:val="00F7035A"/>
    <w:rsid w:val="00F750DE"/>
    <w:rsid w:val="00F801B4"/>
    <w:rsid w:val="00F95540"/>
    <w:rsid w:val="00FA507D"/>
    <w:rsid w:val="00FB2FFC"/>
    <w:rsid w:val="00FB3F6D"/>
    <w:rsid w:val="00FC4A49"/>
    <w:rsid w:val="00FC64F6"/>
    <w:rsid w:val="00FC733C"/>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5B6D9"/>
  <w15:chartTrackingRefBased/>
  <w15:docId w15:val="{274A2585-A264-44D7-9BB1-A3CCEB43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eq.texas.gov/downloads/permitting/stormwater/general/construction/2023-cgp-txr15000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8030A-1151-48DB-8A23-26F7EDCC7F4A}">
  <ds:schemaRefs>
    <ds:schemaRef ds:uri="http://schemas.microsoft.com/office/2006/documentManagement/types"/>
    <ds:schemaRef ds:uri="http://schemas.microsoft.com/office/2006/metadata/properties"/>
    <ds:schemaRef ds:uri="http://purl.org/dc/elements/1.1/"/>
    <ds:schemaRef ds:uri="7fef7c20-eb6f-4e1b-9e04-31bde27da1d8"/>
    <ds:schemaRef ds:uri="http://schemas.openxmlformats.org/package/2006/metadata/core-properties"/>
    <ds:schemaRef ds:uri="http://purl.org/dc/terms/"/>
    <ds:schemaRef ds:uri="http://schemas.microsoft.com/office/infopath/2007/PartnerControls"/>
    <ds:schemaRef ds:uri="4f546ee9-1892-45b9-9ba2-985592e037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2308</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Material and Equipment Use Over Water</vt:lpstr>
    </vt:vector>
  </TitlesOfParts>
  <Company/>
  <LinksUpToDate>false</LinksUpToDate>
  <CharactersWithSpaces>2707</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Material and Equipment Use Over Water</dc:title>
  <dc:subject>This job aid provides educational technical information on the Material and Equipment Use Over Water BMP to aid in design and inspection.</dc:subject>
  <dc:creator>TxDOT</dc:creator>
  <cp:keywords>075-33-bmp; BMP; Material and Equipment Use Over Water</cp:keywords>
  <dc:description>Word; Accessibility; Template</dc:description>
  <cp:lastModifiedBy>Elisa Garcia</cp:lastModifiedBy>
  <cp:revision>4</cp:revision>
  <dcterms:created xsi:type="dcterms:W3CDTF">2026-04-02T16:18:00Z</dcterms:created>
  <dcterms:modified xsi:type="dcterms:W3CDTF">2026-04-02T16:35:00Z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