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E5C21" w14:textId="7C4FFDEE"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E4326F" w:rsidRPr="00E4326F">
        <w:rPr>
          <w:rFonts w:asciiTheme="minorHAnsi" w:hAnsiTheme="minorHAnsi"/>
          <w:sz w:val="36"/>
          <w:szCs w:val="36"/>
        </w:rPr>
        <w:t>Concrete Waste Management</w:t>
      </w:r>
    </w:p>
    <w:p w14:paraId="3D1CB1BD" w14:textId="33926E0A" w:rsidR="006F48FD" w:rsidRDefault="001A12F0" w:rsidP="006F48FD">
      <w:r w:rsidRPr="001A12F0">
        <w:t>Construction stormwater Best Management Practice (BMP) must be installed, inspected, maintained and removed in accordance with Texas Department of Transportation (TxDOT) manufacturer specifications, where applicable, and the Construction General Permit (TXR150000).</w:t>
      </w:r>
    </w:p>
    <w:p w14:paraId="7DC159E4" w14:textId="77777777" w:rsidR="005456F3" w:rsidRPr="00EE6558" w:rsidRDefault="00F40170" w:rsidP="005456F3">
      <w:pPr>
        <w:pStyle w:val="Heading2"/>
        <w:rPr>
          <w:sz w:val="28"/>
          <w:szCs w:val="28"/>
        </w:rPr>
      </w:pPr>
      <w:r w:rsidRPr="00EE6558">
        <w:rPr>
          <w:sz w:val="28"/>
          <w:szCs w:val="28"/>
        </w:rPr>
        <w:t>Description</w:t>
      </w:r>
    </w:p>
    <w:p w14:paraId="5CBAB460" w14:textId="7B379BC8" w:rsidR="00770FC7" w:rsidRDefault="00E4326F" w:rsidP="00E4326F">
      <w:r w:rsidRPr="00E4326F">
        <w:t>Concrete waste management is implemented to prevent the discharge of concrete waste materials produced by concrete saw cutting, sandblasting, and washouts from entering storm drain systems or other water courses.</w:t>
      </w:r>
      <w:r w:rsidR="00770FC7">
        <w:rPr>
          <w:noProof/>
        </w:rPr>
        <w:drawing>
          <wp:inline distT="0" distB="0" distL="0" distR="0" wp14:anchorId="1AFAF4B6" wp14:editId="58772E77">
            <wp:extent cx="3429000" cy="1874520"/>
            <wp:effectExtent l="19050" t="19050" r="19050" b="11430"/>
            <wp:docPr id="235359155" name="Picture 1" descr="Rectangular concrete washout container, located on a construction site, partially filled with wash water and concrete slur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Rectangular concrete washout container, located on a construction site, partially filled with wash water and concrete slurry. "/>
                    <pic:cNvPicPr>
                      <a:picLocks noChangeAspect="1" noChangeArrowheads="1"/>
                    </pic:cNvPicPr>
                  </pic:nvPicPr>
                  <pic:blipFill>
                    <a:blip r:embed="rId11" cstate="print">
                      <a:extLst>
                        <a:ext uri="{28A0092B-C50C-407E-A947-70E740481C1C}">
                          <a14:useLocalDpi xmlns:a14="http://schemas.microsoft.com/office/drawing/2010/main" val="0"/>
                        </a:ext>
                      </a:extLst>
                    </a:blip>
                    <a:srcRect t="13556" b="13556"/>
                    <a:stretch>
                      <a:fillRect/>
                    </a:stretch>
                  </pic:blipFill>
                  <pic:spPr bwMode="auto">
                    <a:xfrm>
                      <a:off x="0" y="0"/>
                      <a:ext cx="3429000" cy="1874520"/>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184167D" w14:textId="4B9F8356" w:rsidR="00E4326F" w:rsidRPr="00E4326F" w:rsidRDefault="00770FC7" w:rsidP="00E4326F">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A41704">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C33ABF">
        <w:rPr>
          <w:i w:val="0"/>
          <w:iCs w:val="0"/>
          <w:sz w:val="24"/>
          <w:szCs w:val="24"/>
        </w:rPr>
        <w:t>Concrete</w:t>
      </w:r>
      <w:r w:rsidR="00E4326F" w:rsidRPr="00E4326F">
        <w:rPr>
          <w:i w:val="0"/>
          <w:iCs w:val="0"/>
          <w:sz w:val="24"/>
          <w:szCs w:val="24"/>
        </w:rPr>
        <w:t xml:space="preserve"> washout container </w:t>
      </w:r>
      <w:r w:rsidR="00FD424D">
        <w:rPr>
          <w:i w:val="0"/>
          <w:iCs w:val="0"/>
          <w:sz w:val="24"/>
          <w:szCs w:val="24"/>
        </w:rPr>
        <w:t xml:space="preserve">partially </w:t>
      </w:r>
      <w:r w:rsidR="00E4326F" w:rsidRPr="00E4326F">
        <w:rPr>
          <w:i w:val="0"/>
          <w:iCs w:val="0"/>
          <w:sz w:val="24"/>
          <w:szCs w:val="24"/>
        </w:rPr>
        <w:t>filled with wash water and concrete slurry.</w:t>
      </w:r>
    </w:p>
    <w:p w14:paraId="7275C6DF" w14:textId="77777777" w:rsidR="005456F3" w:rsidRPr="00EE6558" w:rsidRDefault="00F40170" w:rsidP="00266C64">
      <w:pPr>
        <w:pStyle w:val="Heading2"/>
        <w:rPr>
          <w:sz w:val="28"/>
          <w:szCs w:val="28"/>
        </w:rPr>
      </w:pPr>
      <w:r w:rsidRPr="00EE6558">
        <w:rPr>
          <w:sz w:val="28"/>
          <w:szCs w:val="28"/>
        </w:rPr>
        <w:t>Types</w:t>
      </w:r>
    </w:p>
    <w:p w14:paraId="7E85C2CB" w14:textId="1270A6C4" w:rsidR="00E4326F" w:rsidRDefault="00E4326F" w:rsidP="00E4326F">
      <w:r>
        <w:t>Concrete Saw Cutting - A routine practice of sawing into concrete to reduce cracking or for repair. Saw cutting results in a slurry of water and fine concrete particles with a high potential of hydrogen (pH)</w:t>
      </w:r>
      <w:r w:rsidR="003D5C15">
        <w:t>.</w:t>
      </w:r>
    </w:p>
    <w:p w14:paraId="6C8ED40A" w14:textId="5176B773" w:rsidR="00E4326F" w:rsidRDefault="00E4326F" w:rsidP="00E4326F">
      <w:r>
        <w:t>Sandblasting Waste - Uses fine abrasive materials to clean or prepare concrete surfaces for coatings. Large amounts of dust are common with this practice and are easily transported by wind and water.</w:t>
      </w:r>
    </w:p>
    <w:p w14:paraId="2B5B4BE1" w14:textId="15349D61" w:rsidR="00F40170" w:rsidRDefault="00E4326F" w:rsidP="00E4326F">
      <w:r>
        <w:lastRenderedPageBreak/>
        <w:t>Concrete Washouts - Constructed to washout excess concrete mix. All equipment (trucks, chutes, wheelbarrows, etcetera) used for concrete needs to be washed out in the designated area.</w:t>
      </w:r>
    </w:p>
    <w:p w14:paraId="687AC749" w14:textId="77777777" w:rsidR="009260DC" w:rsidRPr="00EE6558" w:rsidRDefault="00F40170" w:rsidP="00266C64">
      <w:pPr>
        <w:pStyle w:val="Heading2"/>
        <w:rPr>
          <w:sz w:val="28"/>
          <w:szCs w:val="28"/>
        </w:rPr>
      </w:pPr>
      <w:r w:rsidRPr="00EE6558">
        <w:rPr>
          <w:sz w:val="28"/>
          <w:szCs w:val="28"/>
        </w:rPr>
        <w:t>Application</w:t>
      </w:r>
    </w:p>
    <w:p w14:paraId="5820938B" w14:textId="0C5DAEE8" w:rsidR="00F40170" w:rsidRPr="00F40170" w:rsidRDefault="00E4326F" w:rsidP="00E4326F">
      <w:r w:rsidRPr="00E4326F">
        <w:t>Concrete waste management is applicable to all construction sites where concrete will be added, rehabbed, or demolished. The two main forms of concrete waste at construction sites are excess fresh concrete mix, including residual mix washed from trucks and equipment</w:t>
      </w:r>
      <w:r w:rsidR="005C4F7F">
        <w:t>,</w:t>
      </w:r>
      <w:r w:rsidRPr="00E4326F">
        <w:t xml:space="preserve"> and or concrete dust and concrete debris resulting from demolition</w:t>
      </w:r>
      <w:r>
        <w:t xml:space="preserve">. </w:t>
      </w:r>
    </w:p>
    <w:p w14:paraId="74C93314" w14:textId="77777777" w:rsidR="00F40170" w:rsidRPr="00EE6558" w:rsidRDefault="00F40170" w:rsidP="00266C64">
      <w:pPr>
        <w:pStyle w:val="Heading3"/>
        <w:rPr>
          <w:sz w:val="26"/>
          <w:szCs w:val="26"/>
        </w:rPr>
      </w:pPr>
      <w:r w:rsidRPr="00EE6558">
        <w:rPr>
          <w:sz w:val="26"/>
          <w:szCs w:val="26"/>
        </w:rPr>
        <w:t>Advantages</w:t>
      </w:r>
    </w:p>
    <w:p w14:paraId="7C53C248" w14:textId="77777777" w:rsidR="00E4326F" w:rsidRDefault="00E4326F" w:rsidP="00E4326F">
      <w:pPr>
        <w:pStyle w:val="ListBullet"/>
      </w:pPr>
      <w:r>
        <w:t>Reduces stormwater pollution</w:t>
      </w:r>
    </w:p>
    <w:p w14:paraId="345147BB" w14:textId="77777777" w:rsidR="00E4326F" w:rsidRDefault="00E4326F" w:rsidP="00E4326F">
      <w:pPr>
        <w:pStyle w:val="ListBullet"/>
      </w:pPr>
      <w:r>
        <w:t>Addresses concrete saw cutting and demolition wastes</w:t>
      </w:r>
    </w:p>
    <w:p w14:paraId="7B88BB4A" w14:textId="77777777" w:rsidR="00F40170" w:rsidRPr="00EE6558" w:rsidRDefault="00F40170" w:rsidP="00266C64">
      <w:pPr>
        <w:pStyle w:val="Heading3"/>
        <w:rPr>
          <w:sz w:val="26"/>
          <w:szCs w:val="26"/>
        </w:rPr>
      </w:pPr>
      <w:r w:rsidRPr="00EE6558">
        <w:rPr>
          <w:sz w:val="26"/>
          <w:szCs w:val="26"/>
        </w:rPr>
        <w:t>Disadvantages</w:t>
      </w:r>
    </w:p>
    <w:p w14:paraId="68B29959" w14:textId="77777777" w:rsidR="00E4326F" w:rsidRDefault="00E4326F" w:rsidP="00E4326F">
      <w:pPr>
        <w:pStyle w:val="ListBullet"/>
      </w:pPr>
      <w:r>
        <w:t>Sandblasting dust is easily transported</w:t>
      </w:r>
    </w:p>
    <w:p w14:paraId="26B1DE46" w14:textId="77777777" w:rsidR="00E4326F" w:rsidRDefault="00E4326F" w:rsidP="00E4326F">
      <w:pPr>
        <w:pStyle w:val="ListBullet"/>
      </w:pPr>
      <w:r>
        <w:t>BMP does not include safety procedures for workers</w:t>
      </w:r>
    </w:p>
    <w:p w14:paraId="10A8EF56" w14:textId="77777777" w:rsidR="00E4326F" w:rsidRDefault="00E4326F" w:rsidP="00E4326F">
      <w:pPr>
        <w:pStyle w:val="ListBullet"/>
      </w:pPr>
      <w:r>
        <w:t>Concrete waste contains high pH values</w:t>
      </w:r>
    </w:p>
    <w:p w14:paraId="1B03BCE7" w14:textId="77777777" w:rsidR="009260DC" w:rsidRPr="00EE6558" w:rsidRDefault="00F40170" w:rsidP="00266C64">
      <w:pPr>
        <w:pStyle w:val="Heading2"/>
        <w:rPr>
          <w:sz w:val="28"/>
          <w:szCs w:val="28"/>
        </w:rPr>
      </w:pPr>
      <w:r w:rsidRPr="00EE6558">
        <w:rPr>
          <w:sz w:val="28"/>
          <w:szCs w:val="28"/>
        </w:rPr>
        <w:t>Design Criteria</w:t>
      </w:r>
    </w:p>
    <w:p w14:paraId="231AD169" w14:textId="77777777" w:rsidR="00E4326F" w:rsidRDefault="00E4326F" w:rsidP="00E4326F">
      <w:pPr>
        <w:pStyle w:val="ListNumber"/>
      </w:pPr>
      <w:r>
        <w:t>Stormwater Pollution Prevention Plan (SWP3) Layout Sheet notes shall include proper concrete waste management procedures for concrete saw cutting, sandblasting, and concrete washouts.</w:t>
      </w:r>
    </w:p>
    <w:p w14:paraId="56E07FE9" w14:textId="77777777" w:rsidR="00E4326F" w:rsidRDefault="00E4326F" w:rsidP="00E4326F">
      <w:pPr>
        <w:pStyle w:val="ListNumber"/>
      </w:pPr>
      <w:r>
        <w:t>The Contractor Responsible Person for Environmental (CRPE) is responsible for all concrete waste management procedures.</w:t>
      </w:r>
    </w:p>
    <w:p w14:paraId="7D97F485" w14:textId="77777777" w:rsidR="00E4326F" w:rsidRDefault="00E4326F" w:rsidP="00E4326F">
      <w:pPr>
        <w:pStyle w:val="ListNumber"/>
      </w:pPr>
      <w:r>
        <w:t>Discharge of untreated waste is prohibited. Predetermined concrete washout areas must be used and depicted on the SWP3 Layout Sheets. More than one concrete washout area may be required.</w:t>
      </w:r>
    </w:p>
    <w:p w14:paraId="498C7B37" w14:textId="3AF24BB4" w:rsidR="00E4326F" w:rsidRDefault="00E4326F" w:rsidP="00E4326F">
      <w:pPr>
        <w:pStyle w:val="ListNumber"/>
      </w:pPr>
      <w:r>
        <w:t xml:space="preserve">If construction of a concrete washout is planned, the following design must be implemented – dig into ground or build above grade, place hay bales or an alternative </w:t>
      </w:r>
      <w:r w:rsidR="000C465D">
        <w:t>Best</w:t>
      </w:r>
      <w:r w:rsidR="00836420">
        <w:t xml:space="preserve"> Management</w:t>
      </w:r>
      <w:r w:rsidR="000C465D">
        <w:t xml:space="preserve"> Practice</w:t>
      </w:r>
      <w:r w:rsidR="00836420">
        <w:t xml:space="preserve"> (</w:t>
      </w:r>
      <w:r>
        <w:t>BMP</w:t>
      </w:r>
      <w:r w:rsidR="00836420">
        <w:t>)</w:t>
      </w:r>
      <w:r>
        <w:t xml:space="preserve"> around the perimeter about 10 feet by 10 </w:t>
      </w:r>
      <w:r w:rsidR="00C00EEF">
        <w:t>feet and</w:t>
      </w:r>
      <w:r>
        <w:t xml:space="preserve"> overlay plastic sheeting free of tears or holes and secure to hay bales</w:t>
      </w:r>
      <w:r w:rsidR="003D5C15">
        <w:t>.</w:t>
      </w:r>
    </w:p>
    <w:p w14:paraId="2D5FD236" w14:textId="77777777" w:rsidR="00E4326F" w:rsidRDefault="00E4326F" w:rsidP="00E4326F">
      <w:pPr>
        <w:pStyle w:val="ListNumber"/>
      </w:pPr>
      <w:r>
        <w:lastRenderedPageBreak/>
        <w:t>Vinyl washout containers with filter bags are permitted which provide easier installation and maintenance and are reusable.</w:t>
      </w:r>
    </w:p>
    <w:p w14:paraId="5010244D" w14:textId="77777777" w:rsidR="00E4326F" w:rsidRDefault="00E4326F" w:rsidP="00E4326F">
      <w:pPr>
        <w:pStyle w:val="ListNumber"/>
      </w:pPr>
      <w:r>
        <w:t>Concrete washouts should be placed in easily accessible locations with solid (gravel or rock) approaches, a minimum of 50 feet from storm drains, open ditches, and surface waters.</w:t>
      </w:r>
    </w:p>
    <w:p w14:paraId="164D9124" w14:textId="77777777" w:rsidR="00E4326F" w:rsidRDefault="00E4326F" w:rsidP="00E4326F">
      <w:pPr>
        <w:pStyle w:val="ListNumber"/>
      </w:pPr>
      <w:r>
        <w:t>Slurry from concrete saw cutting should be continuously vacuumed or recovered for disposal.</w:t>
      </w:r>
    </w:p>
    <w:p w14:paraId="40CF8230" w14:textId="6680E880" w:rsidR="00770FC7" w:rsidRPr="00770FC7" w:rsidRDefault="00E4326F" w:rsidP="00C15593">
      <w:pPr>
        <w:pStyle w:val="ListNumber"/>
      </w:pPr>
      <w:r>
        <w:t xml:space="preserve">Grit from sandblasting should be contained. Some procedures </w:t>
      </w:r>
      <w:r w:rsidR="00EF6288">
        <w:t>include</w:t>
      </w:r>
      <w:r>
        <w:t xml:space="preserve"> prohibit sandblasting during high winds, use misting equipment to remove grit from air, and install dust shielding around sandblasting areas.</w:t>
      </w:r>
    </w:p>
    <w:p w14:paraId="73C233E4" w14:textId="77777777" w:rsidR="00F40170" w:rsidRPr="00EE6558" w:rsidRDefault="00F40170" w:rsidP="00266C64">
      <w:pPr>
        <w:pStyle w:val="Heading2"/>
        <w:rPr>
          <w:sz w:val="28"/>
          <w:szCs w:val="28"/>
        </w:rPr>
      </w:pPr>
      <w:r w:rsidRPr="00EE6558">
        <w:rPr>
          <w:sz w:val="28"/>
          <w:szCs w:val="28"/>
        </w:rPr>
        <w:t>References</w:t>
      </w:r>
    </w:p>
    <w:p w14:paraId="1ED4C1AF" w14:textId="43D2FE98" w:rsidR="00AE038E" w:rsidRDefault="00AE038E" w:rsidP="00266C64">
      <w:hyperlink r:id="rId12" w:history="1">
        <w:r w:rsidRPr="009D78EB">
          <w:rPr>
            <w:rStyle w:val="Hyperlink"/>
          </w:rPr>
          <w:t>United States Environmental Protection Agency</w:t>
        </w:r>
        <w:r w:rsidR="009D78EB" w:rsidRPr="009D78EB">
          <w:rPr>
            <w:rStyle w:val="Hyperlink"/>
          </w:rPr>
          <w:t xml:space="preserve"> Stormwater Best Management Practice Concrete Washout</w:t>
        </w:r>
      </w:hyperlink>
    </w:p>
    <w:p w14:paraId="41866DCD" w14:textId="55BAD172" w:rsidR="00EA556A" w:rsidRDefault="006860CB" w:rsidP="00266C64">
      <w:hyperlink r:id="rId13" w:history="1">
        <w:r w:rsidRPr="00EE3894">
          <w:rPr>
            <w:rStyle w:val="Hyperlink"/>
          </w:rPr>
          <w:t>T</w:t>
        </w:r>
        <w:r w:rsidR="00E00DAC" w:rsidRPr="00EE3894">
          <w:rPr>
            <w:rStyle w:val="Hyperlink"/>
          </w:rPr>
          <w:t>exas Pollutant Discharge Elimination System (TPDES) Construction General Permit TXR150000</w:t>
        </w:r>
      </w:hyperlink>
      <w:r w:rsidR="004D3A33">
        <w:t xml:space="preserve"> Part IV and Part VI</w:t>
      </w:r>
    </w:p>
    <w:sectPr w:rsidR="00EA556A" w:rsidSect="0010454F">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2B14" w14:textId="77777777" w:rsidR="009F4E17" w:rsidRDefault="009F4E17" w:rsidP="00CE2B96">
      <w:pPr>
        <w:spacing w:after="0"/>
      </w:pPr>
      <w:r>
        <w:separator/>
      </w:r>
    </w:p>
  </w:endnote>
  <w:endnote w:type="continuationSeparator" w:id="0">
    <w:p w14:paraId="401F8837" w14:textId="77777777" w:rsidR="009F4E17" w:rsidRDefault="009F4E17" w:rsidP="00CE2B96">
      <w:pPr>
        <w:spacing w:after="0"/>
      </w:pPr>
      <w:r>
        <w:continuationSeparator/>
      </w:r>
    </w:p>
  </w:endnote>
  <w:endnote w:type="continuationNotice" w:id="1">
    <w:p w14:paraId="2DA85319" w14:textId="77777777" w:rsidR="009F4E17" w:rsidRDefault="009F4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2C5F" w14:textId="77777777" w:rsidR="001374BD" w:rsidRDefault="00137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80CE" w14:textId="08620F70"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18E9F073" wp14:editId="61BA3548">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A717C9"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C15593" w:rsidRPr="00C15593">
      <w:rPr>
        <w:color w:val="0056A9"/>
      </w:rPr>
      <w:t>Concrete Waste Management</w:t>
    </w:r>
    <w:r w:rsidR="00C809D1">
      <w:rPr>
        <w:color w:val="0056A9"/>
      </w:rPr>
      <w:t xml:space="preserve">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7FDF4483" w14:textId="77777777" w:rsidR="002376C2" w:rsidRPr="00266C64" w:rsidRDefault="002376C2">
    <w:pPr>
      <w:pStyle w:val="Footer"/>
      <w:rPr>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D43B" w14:textId="77777777" w:rsidR="001374BD" w:rsidRDefault="00137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3D5D" w14:textId="77777777" w:rsidR="009F4E17" w:rsidRDefault="009F4E17" w:rsidP="00CE2B96">
      <w:pPr>
        <w:spacing w:after="0"/>
      </w:pPr>
      <w:r>
        <w:separator/>
      </w:r>
    </w:p>
  </w:footnote>
  <w:footnote w:type="continuationSeparator" w:id="0">
    <w:p w14:paraId="17D9D6E8" w14:textId="77777777" w:rsidR="009F4E17" w:rsidRDefault="009F4E17" w:rsidP="00CE2B96">
      <w:pPr>
        <w:spacing w:after="0"/>
      </w:pPr>
      <w:r>
        <w:continuationSeparator/>
      </w:r>
    </w:p>
  </w:footnote>
  <w:footnote w:type="continuationNotice" w:id="1">
    <w:p w14:paraId="40E7C4D1" w14:textId="77777777" w:rsidR="009F4E17" w:rsidRDefault="009F4E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CC65" w14:textId="77777777" w:rsidR="001374BD" w:rsidRDefault="00137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A90E" w14:textId="77777777" w:rsidR="001705BC" w:rsidRDefault="001705BC" w:rsidP="001705BC">
    <w:pPr>
      <w:pStyle w:val="Header"/>
      <w:spacing w:after="400"/>
      <w:jc w:val="right"/>
    </w:pPr>
    <w:r>
      <w:rPr>
        <w:noProof/>
      </w:rPr>
      <w:drawing>
        <wp:inline distT="0" distB="0" distL="0" distR="0" wp14:anchorId="4E55C462" wp14:editId="4B5BB98B">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206E"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16FD1"/>
    <w:multiLevelType w:val="hybridMultilevel"/>
    <w:tmpl w:val="F79E2138"/>
    <w:lvl w:ilvl="0" w:tplc="D8D29C70">
      <w:start w:val="1"/>
      <w:numFmt w:val="bullet"/>
      <w:lvlText w:val=""/>
      <w:lvlJc w:val="left"/>
      <w:pPr>
        <w:ind w:left="720" w:hanging="360"/>
      </w:pPr>
      <w:rPr>
        <w:rFonts w:ascii="Symbol" w:hAnsi="Symbol"/>
      </w:rPr>
    </w:lvl>
    <w:lvl w:ilvl="1" w:tplc="FD847406">
      <w:start w:val="1"/>
      <w:numFmt w:val="bullet"/>
      <w:lvlText w:val=""/>
      <w:lvlJc w:val="left"/>
      <w:pPr>
        <w:ind w:left="720" w:hanging="360"/>
      </w:pPr>
      <w:rPr>
        <w:rFonts w:ascii="Symbol" w:hAnsi="Symbol"/>
      </w:rPr>
    </w:lvl>
    <w:lvl w:ilvl="2" w:tplc="83943D3A">
      <w:start w:val="1"/>
      <w:numFmt w:val="bullet"/>
      <w:lvlText w:val=""/>
      <w:lvlJc w:val="left"/>
      <w:pPr>
        <w:ind w:left="720" w:hanging="360"/>
      </w:pPr>
      <w:rPr>
        <w:rFonts w:ascii="Symbol" w:hAnsi="Symbol"/>
      </w:rPr>
    </w:lvl>
    <w:lvl w:ilvl="3" w:tplc="54F0DE4A">
      <w:start w:val="1"/>
      <w:numFmt w:val="bullet"/>
      <w:lvlText w:val=""/>
      <w:lvlJc w:val="left"/>
      <w:pPr>
        <w:ind w:left="720" w:hanging="360"/>
      </w:pPr>
      <w:rPr>
        <w:rFonts w:ascii="Symbol" w:hAnsi="Symbol"/>
      </w:rPr>
    </w:lvl>
    <w:lvl w:ilvl="4" w:tplc="70C6D8FE">
      <w:start w:val="1"/>
      <w:numFmt w:val="bullet"/>
      <w:lvlText w:val=""/>
      <w:lvlJc w:val="left"/>
      <w:pPr>
        <w:ind w:left="720" w:hanging="360"/>
      </w:pPr>
      <w:rPr>
        <w:rFonts w:ascii="Symbol" w:hAnsi="Symbol"/>
      </w:rPr>
    </w:lvl>
    <w:lvl w:ilvl="5" w:tplc="45DECCE8">
      <w:start w:val="1"/>
      <w:numFmt w:val="bullet"/>
      <w:lvlText w:val=""/>
      <w:lvlJc w:val="left"/>
      <w:pPr>
        <w:ind w:left="720" w:hanging="360"/>
      </w:pPr>
      <w:rPr>
        <w:rFonts w:ascii="Symbol" w:hAnsi="Symbol"/>
      </w:rPr>
    </w:lvl>
    <w:lvl w:ilvl="6" w:tplc="7CDEAD9A">
      <w:start w:val="1"/>
      <w:numFmt w:val="bullet"/>
      <w:lvlText w:val=""/>
      <w:lvlJc w:val="left"/>
      <w:pPr>
        <w:ind w:left="720" w:hanging="360"/>
      </w:pPr>
      <w:rPr>
        <w:rFonts w:ascii="Symbol" w:hAnsi="Symbol"/>
      </w:rPr>
    </w:lvl>
    <w:lvl w:ilvl="7" w:tplc="5D249870">
      <w:start w:val="1"/>
      <w:numFmt w:val="bullet"/>
      <w:lvlText w:val=""/>
      <w:lvlJc w:val="left"/>
      <w:pPr>
        <w:ind w:left="720" w:hanging="360"/>
      </w:pPr>
      <w:rPr>
        <w:rFonts w:ascii="Symbol" w:hAnsi="Symbol"/>
      </w:rPr>
    </w:lvl>
    <w:lvl w:ilvl="8" w:tplc="9B5ECE76">
      <w:start w:val="1"/>
      <w:numFmt w:val="bullet"/>
      <w:lvlText w:val=""/>
      <w:lvlJc w:val="left"/>
      <w:pPr>
        <w:ind w:left="720" w:hanging="360"/>
      </w:pPr>
      <w:rPr>
        <w:rFonts w:ascii="Symbol" w:hAnsi="Symbol"/>
      </w:rPr>
    </w:lvl>
  </w:abstractNum>
  <w:abstractNum w:abstractNumId="3"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4"/>
  </w:num>
  <w:num w:numId="2" w16cid:durableId="409473043">
    <w:abstractNumId w:val="3"/>
  </w:num>
  <w:num w:numId="3" w16cid:durableId="1878276135">
    <w:abstractNumId w:val="1"/>
  </w:num>
  <w:num w:numId="4" w16cid:durableId="1374307023">
    <w:abstractNumId w:val="0"/>
  </w:num>
  <w:num w:numId="5" w16cid:durableId="143015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6F"/>
    <w:rsid w:val="00000192"/>
    <w:rsid w:val="0001514F"/>
    <w:rsid w:val="0003040F"/>
    <w:rsid w:val="00030BEF"/>
    <w:rsid w:val="00034476"/>
    <w:rsid w:val="0003774E"/>
    <w:rsid w:val="00042206"/>
    <w:rsid w:val="0005583F"/>
    <w:rsid w:val="00062B88"/>
    <w:rsid w:val="00075AE3"/>
    <w:rsid w:val="00077592"/>
    <w:rsid w:val="000940FB"/>
    <w:rsid w:val="000B2945"/>
    <w:rsid w:val="000B5A5C"/>
    <w:rsid w:val="000C465D"/>
    <w:rsid w:val="000C7AD7"/>
    <w:rsid w:val="000E0386"/>
    <w:rsid w:val="000E12FC"/>
    <w:rsid w:val="000E6230"/>
    <w:rsid w:val="0010454F"/>
    <w:rsid w:val="00105532"/>
    <w:rsid w:val="00114D9F"/>
    <w:rsid w:val="00114E9C"/>
    <w:rsid w:val="00123989"/>
    <w:rsid w:val="001304D7"/>
    <w:rsid w:val="001374BD"/>
    <w:rsid w:val="00146BE0"/>
    <w:rsid w:val="001705BC"/>
    <w:rsid w:val="0017130E"/>
    <w:rsid w:val="00172652"/>
    <w:rsid w:val="001761D7"/>
    <w:rsid w:val="00181735"/>
    <w:rsid w:val="00182222"/>
    <w:rsid w:val="0018694B"/>
    <w:rsid w:val="00190DCD"/>
    <w:rsid w:val="00191AFD"/>
    <w:rsid w:val="001A12F0"/>
    <w:rsid w:val="001A1806"/>
    <w:rsid w:val="001A69C9"/>
    <w:rsid w:val="001B5185"/>
    <w:rsid w:val="001B6C26"/>
    <w:rsid w:val="001C3E75"/>
    <w:rsid w:val="001D607F"/>
    <w:rsid w:val="001E5E7E"/>
    <w:rsid w:val="001F31BC"/>
    <w:rsid w:val="001F4FAC"/>
    <w:rsid w:val="001F62FA"/>
    <w:rsid w:val="00211518"/>
    <w:rsid w:val="00211584"/>
    <w:rsid w:val="00225067"/>
    <w:rsid w:val="002340C7"/>
    <w:rsid w:val="002376C2"/>
    <w:rsid w:val="00243318"/>
    <w:rsid w:val="002531E4"/>
    <w:rsid w:val="00263235"/>
    <w:rsid w:val="00266C64"/>
    <w:rsid w:val="00273031"/>
    <w:rsid w:val="002805FC"/>
    <w:rsid w:val="00284504"/>
    <w:rsid w:val="00290571"/>
    <w:rsid w:val="00290A05"/>
    <w:rsid w:val="002934DC"/>
    <w:rsid w:val="00297FDD"/>
    <w:rsid w:val="002A05A5"/>
    <w:rsid w:val="002A12D5"/>
    <w:rsid w:val="002A328E"/>
    <w:rsid w:val="002A65F3"/>
    <w:rsid w:val="002A75F2"/>
    <w:rsid w:val="002B1115"/>
    <w:rsid w:val="002B4473"/>
    <w:rsid w:val="002C57BC"/>
    <w:rsid w:val="002D0309"/>
    <w:rsid w:val="0032481A"/>
    <w:rsid w:val="00347335"/>
    <w:rsid w:val="00361AF9"/>
    <w:rsid w:val="00374D07"/>
    <w:rsid w:val="00396C09"/>
    <w:rsid w:val="00397DB4"/>
    <w:rsid w:val="003A1996"/>
    <w:rsid w:val="003A504F"/>
    <w:rsid w:val="003A5A12"/>
    <w:rsid w:val="003C10A6"/>
    <w:rsid w:val="003D41C5"/>
    <w:rsid w:val="003D5C15"/>
    <w:rsid w:val="003E1328"/>
    <w:rsid w:val="003F3CC1"/>
    <w:rsid w:val="00406A70"/>
    <w:rsid w:val="0040715E"/>
    <w:rsid w:val="004112F8"/>
    <w:rsid w:val="0042061E"/>
    <w:rsid w:val="00427DBB"/>
    <w:rsid w:val="004319CF"/>
    <w:rsid w:val="00437A34"/>
    <w:rsid w:val="00451AA8"/>
    <w:rsid w:val="00451E21"/>
    <w:rsid w:val="00461CD0"/>
    <w:rsid w:val="00476F85"/>
    <w:rsid w:val="00487276"/>
    <w:rsid w:val="00496C57"/>
    <w:rsid w:val="004A1071"/>
    <w:rsid w:val="004B325C"/>
    <w:rsid w:val="004D2CA8"/>
    <w:rsid w:val="004D3A33"/>
    <w:rsid w:val="004E2B43"/>
    <w:rsid w:val="004E496F"/>
    <w:rsid w:val="004E7B23"/>
    <w:rsid w:val="004F1B1D"/>
    <w:rsid w:val="004F2208"/>
    <w:rsid w:val="004F697B"/>
    <w:rsid w:val="0050016E"/>
    <w:rsid w:val="00501A04"/>
    <w:rsid w:val="005312B0"/>
    <w:rsid w:val="00540DE8"/>
    <w:rsid w:val="005429CD"/>
    <w:rsid w:val="005456F3"/>
    <w:rsid w:val="00553E54"/>
    <w:rsid w:val="005555C5"/>
    <w:rsid w:val="00557057"/>
    <w:rsid w:val="00590EB3"/>
    <w:rsid w:val="005A429F"/>
    <w:rsid w:val="005A6C0A"/>
    <w:rsid w:val="005A7ED7"/>
    <w:rsid w:val="005C4F7F"/>
    <w:rsid w:val="005C5814"/>
    <w:rsid w:val="005D35F1"/>
    <w:rsid w:val="005D638D"/>
    <w:rsid w:val="005D6FD8"/>
    <w:rsid w:val="005E451D"/>
    <w:rsid w:val="005F42AC"/>
    <w:rsid w:val="006125F2"/>
    <w:rsid w:val="00615D95"/>
    <w:rsid w:val="00615DFF"/>
    <w:rsid w:val="00623543"/>
    <w:rsid w:val="00624882"/>
    <w:rsid w:val="00624C21"/>
    <w:rsid w:val="006258E9"/>
    <w:rsid w:val="00626A92"/>
    <w:rsid w:val="00630C68"/>
    <w:rsid w:val="00631130"/>
    <w:rsid w:val="00640ADD"/>
    <w:rsid w:val="0064565C"/>
    <w:rsid w:val="00652714"/>
    <w:rsid w:val="00652AE6"/>
    <w:rsid w:val="00681928"/>
    <w:rsid w:val="006838DD"/>
    <w:rsid w:val="006860CB"/>
    <w:rsid w:val="0068708C"/>
    <w:rsid w:val="00687A4D"/>
    <w:rsid w:val="006A05AA"/>
    <w:rsid w:val="006A2D31"/>
    <w:rsid w:val="006A5667"/>
    <w:rsid w:val="006B34EF"/>
    <w:rsid w:val="006B61E3"/>
    <w:rsid w:val="006C2DE6"/>
    <w:rsid w:val="006C7161"/>
    <w:rsid w:val="006D15D7"/>
    <w:rsid w:val="006D44EA"/>
    <w:rsid w:val="006D794E"/>
    <w:rsid w:val="006F48FD"/>
    <w:rsid w:val="006F78ED"/>
    <w:rsid w:val="00700634"/>
    <w:rsid w:val="0070413E"/>
    <w:rsid w:val="0072002A"/>
    <w:rsid w:val="007222F6"/>
    <w:rsid w:val="00726A51"/>
    <w:rsid w:val="00730092"/>
    <w:rsid w:val="00730A26"/>
    <w:rsid w:val="007339AE"/>
    <w:rsid w:val="007414D4"/>
    <w:rsid w:val="007475BB"/>
    <w:rsid w:val="007524CB"/>
    <w:rsid w:val="00762ADC"/>
    <w:rsid w:val="00763838"/>
    <w:rsid w:val="00763EA2"/>
    <w:rsid w:val="00767521"/>
    <w:rsid w:val="00770FC7"/>
    <w:rsid w:val="00771021"/>
    <w:rsid w:val="00781A58"/>
    <w:rsid w:val="0078466A"/>
    <w:rsid w:val="00791127"/>
    <w:rsid w:val="007918C8"/>
    <w:rsid w:val="00794CFE"/>
    <w:rsid w:val="00797AD2"/>
    <w:rsid w:val="007A3B26"/>
    <w:rsid w:val="007A6FA4"/>
    <w:rsid w:val="007B00A8"/>
    <w:rsid w:val="007B474D"/>
    <w:rsid w:val="007B6158"/>
    <w:rsid w:val="007C06C2"/>
    <w:rsid w:val="007C07D3"/>
    <w:rsid w:val="007C0968"/>
    <w:rsid w:val="007C3FCF"/>
    <w:rsid w:val="007E1A48"/>
    <w:rsid w:val="007E4B7F"/>
    <w:rsid w:val="007E70A0"/>
    <w:rsid w:val="00801DE9"/>
    <w:rsid w:val="0081336C"/>
    <w:rsid w:val="00836420"/>
    <w:rsid w:val="008402D8"/>
    <w:rsid w:val="008440E7"/>
    <w:rsid w:val="008518BE"/>
    <w:rsid w:val="0085678F"/>
    <w:rsid w:val="008572D4"/>
    <w:rsid w:val="0086528F"/>
    <w:rsid w:val="0087110F"/>
    <w:rsid w:val="008833F5"/>
    <w:rsid w:val="00885A03"/>
    <w:rsid w:val="008864F3"/>
    <w:rsid w:val="008905E4"/>
    <w:rsid w:val="00890CA1"/>
    <w:rsid w:val="00893375"/>
    <w:rsid w:val="00894429"/>
    <w:rsid w:val="008A13B1"/>
    <w:rsid w:val="008A3C3D"/>
    <w:rsid w:val="008B49EB"/>
    <w:rsid w:val="008B6F77"/>
    <w:rsid w:val="008C547E"/>
    <w:rsid w:val="008E445D"/>
    <w:rsid w:val="008E4AD1"/>
    <w:rsid w:val="008E4F71"/>
    <w:rsid w:val="008F2FA1"/>
    <w:rsid w:val="00900F14"/>
    <w:rsid w:val="00901FCD"/>
    <w:rsid w:val="00913DCA"/>
    <w:rsid w:val="00915FFB"/>
    <w:rsid w:val="009160AB"/>
    <w:rsid w:val="0091704D"/>
    <w:rsid w:val="00917F65"/>
    <w:rsid w:val="009224B2"/>
    <w:rsid w:val="009260DC"/>
    <w:rsid w:val="0093633D"/>
    <w:rsid w:val="0095203B"/>
    <w:rsid w:val="00953DA5"/>
    <w:rsid w:val="00955095"/>
    <w:rsid w:val="00967F5A"/>
    <w:rsid w:val="009744CC"/>
    <w:rsid w:val="00976A16"/>
    <w:rsid w:val="0098219A"/>
    <w:rsid w:val="00995A37"/>
    <w:rsid w:val="00997031"/>
    <w:rsid w:val="009A5C4C"/>
    <w:rsid w:val="009D78EB"/>
    <w:rsid w:val="009D7988"/>
    <w:rsid w:val="009F4E17"/>
    <w:rsid w:val="009F72F5"/>
    <w:rsid w:val="00A044D8"/>
    <w:rsid w:val="00A07068"/>
    <w:rsid w:val="00A07348"/>
    <w:rsid w:val="00A166DE"/>
    <w:rsid w:val="00A22F82"/>
    <w:rsid w:val="00A35590"/>
    <w:rsid w:val="00A41704"/>
    <w:rsid w:val="00A44609"/>
    <w:rsid w:val="00A47D0D"/>
    <w:rsid w:val="00A517D8"/>
    <w:rsid w:val="00A54BEC"/>
    <w:rsid w:val="00A60EC8"/>
    <w:rsid w:val="00A70747"/>
    <w:rsid w:val="00A71049"/>
    <w:rsid w:val="00A769B2"/>
    <w:rsid w:val="00A858D7"/>
    <w:rsid w:val="00AA542B"/>
    <w:rsid w:val="00AC3F25"/>
    <w:rsid w:val="00AD4351"/>
    <w:rsid w:val="00AE038E"/>
    <w:rsid w:val="00AE1A16"/>
    <w:rsid w:val="00AE5239"/>
    <w:rsid w:val="00AE59C9"/>
    <w:rsid w:val="00AE7C1B"/>
    <w:rsid w:val="00B0152A"/>
    <w:rsid w:val="00B1121C"/>
    <w:rsid w:val="00B2346D"/>
    <w:rsid w:val="00B406D5"/>
    <w:rsid w:val="00B45FB7"/>
    <w:rsid w:val="00B55323"/>
    <w:rsid w:val="00B63CB8"/>
    <w:rsid w:val="00B8368B"/>
    <w:rsid w:val="00B84690"/>
    <w:rsid w:val="00B85D46"/>
    <w:rsid w:val="00B900B0"/>
    <w:rsid w:val="00BC22E8"/>
    <w:rsid w:val="00BC43B0"/>
    <w:rsid w:val="00BD2218"/>
    <w:rsid w:val="00BD7E0B"/>
    <w:rsid w:val="00BF1542"/>
    <w:rsid w:val="00BF4581"/>
    <w:rsid w:val="00BF5F76"/>
    <w:rsid w:val="00C00EEF"/>
    <w:rsid w:val="00C02127"/>
    <w:rsid w:val="00C10F1E"/>
    <w:rsid w:val="00C15593"/>
    <w:rsid w:val="00C21536"/>
    <w:rsid w:val="00C22E88"/>
    <w:rsid w:val="00C27E67"/>
    <w:rsid w:val="00C31BC5"/>
    <w:rsid w:val="00C33ABF"/>
    <w:rsid w:val="00C40E19"/>
    <w:rsid w:val="00C4206E"/>
    <w:rsid w:val="00C575AE"/>
    <w:rsid w:val="00C61BFE"/>
    <w:rsid w:val="00C745C0"/>
    <w:rsid w:val="00C75AB3"/>
    <w:rsid w:val="00C809D1"/>
    <w:rsid w:val="00C90B36"/>
    <w:rsid w:val="00C923ED"/>
    <w:rsid w:val="00CA07E3"/>
    <w:rsid w:val="00CB2FFC"/>
    <w:rsid w:val="00CB73D9"/>
    <w:rsid w:val="00CC00DC"/>
    <w:rsid w:val="00CE2B96"/>
    <w:rsid w:val="00CE5603"/>
    <w:rsid w:val="00CE6A5A"/>
    <w:rsid w:val="00CF0FA4"/>
    <w:rsid w:val="00CF6565"/>
    <w:rsid w:val="00D018C2"/>
    <w:rsid w:val="00D058C9"/>
    <w:rsid w:val="00D07333"/>
    <w:rsid w:val="00D075F7"/>
    <w:rsid w:val="00D11322"/>
    <w:rsid w:val="00D1580C"/>
    <w:rsid w:val="00D3188E"/>
    <w:rsid w:val="00D32865"/>
    <w:rsid w:val="00D43553"/>
    <w:rsid w:val="00D4473A"/>
    <w:rsid w:val="00D46BC3"/>
    <w:rsid w:val="00D52D93"/>
    <w:rsid w:val="00D641FB"/>
    <w:rsid w:val="00D668F2"/>
    <w:rsid w:val="00D7370A"/>
    <w:rsid w:val="00D74A90"/>
    <w:rsid w:val="00D85CD3"/>
    <w:rsid w:val="00DA7367"/>
    <w:rsid w:val="00DB254D"/>
    <w:rsid w:val="00DB6A6F"/>
    <w:rsid w:val="00DC4F7F"/>
    <w:rsid w:val="00DD2965"/>
    <w:rsid w:val="00DD5129"/>
    <w:rsid w:val="00DE6ED5"/>
    <w:rsid w:val="00DF44EE"/>
    <w:rsid w:val="00E00DAC"/>
    <w:rsid w:val="00E04916"/>
    <w:rsid w:val="00E04EB5"/>
    <w:rsid w:val="00E10B9C"/>
    <w:rsid w:val="00E15D9F"/>
    <w:rsid w:val="00E302A4"/>
    <w:rsid w:val="00E33825"/>
    <w:rsid w:val="00E3550F"/>
    <w:rsid w:val="00E4326F"/>
    <w:rsid w:val="00E43EB7"/>
    <w:rsid w:val="00E47D85"/>
    <w:rsid w:val="00E50774"/>
    <w:rsid w:val="00E52786"/>
    <w:rsid w:val="00E535B1"/>
    <w:rsid w:val="00E62E28"/>
    <w:rsid w:val="00E6753D"/>
    <w:rsid w:val="00E75EDD"/>
    <w:rsid w:val="00E83835"/>
    <w:rsid w:val="00E85FF7"/>
    <w:rsid w:val="00E97E48"/>
    <w:rsid w:val="00EA3F15"/>
    <w:rsid w:val="00EA556A"/>
    <w:rsid w:val="00EA66CA"/>
    <w:rsid w:val="00EB0613"/>
    <w:rsid w:val="00EB5AB8"/>
    <w:rsid w:val="00EC1F55"/>
    <w:rsid w:val="00EC3612"/>
    <w:rsid w:val="00EC462F"/>
    <w:rsid w:val="00EC6173"/>
    <w:rsid w:val="00ED70D0"/>
    <w:rsid w:val="00EE3894"/>
    <w:rsid w:val="00EE536A"/>
    <w:rsid w:val="00EE6558"/>
    <w:rsid w:val="00EE6DDC"/>
    <w:rsid w:val="00EE70A1"/>
    <w:rsid w:val="00EF5FD5"/>
    <w:rsid w:val="00EF6288"/>
    <w:rsid w:val="00EF69B8"/>
    <w:rsid w:val="00EF7847"/>
    <w:rsid w:val="00F10D5E"/>
    <w:rsid w:val="00F11034"/>
    <w:rsid w:val="00F14B26"/>
    <w:rsid w:val="00F14BF6"/>
    <w:rsid w:val="00F22C28"/>
    <w:rsid w:val="00F23170"/>
    <w:rsid w:val="00F24FAD"/>
    <w:rsid w:val="00F315E8"/>
    <w:rsid w:val="00F35F29"/>
    <w:rsid w:val="00F40170"/>
    <w:rsid w:val="00F44653"/>
    <w:rsid w:val="00F53357"/>
    <w:rsid w:val="00F5742F"/>
    <w:rsid w:val="00F63F58"/>
    <w:rsid w:val="00F801B4"/>
    <w:rsid w:val="00F94A8A"/>
    <w:rsid w:val="00F95540"/>
    <w:rsid w:val="00FA507D"/>
    <w:rsid w:val="00FB2FFC"/>
    <w:rsid w:val="00FB3F6D"/>
    <w:rsid w:val="00FC4A49"/>
    <w:rsid w:val="00FC673A"/>
    <w:rsid w:val="00FD424D"/>
    <w:rsid w:val="00FE4D24"/>
    <w:rsid w:val="00FF025A"/>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6AFC4"/>
  <w15:chartTrackingRefBased/>
  <w15:docId w15:val="{CB9C2EE6-9D3F-4C38-A74F-9BEAA999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paragraph" w:styleId="TableofFigures">
    <w:name w:val="table of figures"/>
    <w:basedOn w:val="Normal"/>
    <w:next w:val="Normal"/>
    <w:uiPriority w:val="99"/>
    <w:unhideWhenUsed/>
    <w:rsid w:val="00E4326F"/>
    <w:pPr>
      <w:spacing w:after="0"/>
    </w:pPr>
  </w:style>
  <w:style w:type="character" w:styleId="FollowedHyperlink">
    <w:name w:val="FollowedHyperlink"/>
    <w:basedOn w:val="DefaultParagraphFont"/>
    <w:uiPriority w:val="99"/>
    <w:semiHidden/>
    <w:unhideWhenUsed/>
    <w:rsid w:val="008C547E"/>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eq.texas.gov/downloads/permitting/stormwater/general/construction/2023-cgp-txr150000.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pa.gov/sites/default/files/2015-11/documents/concretewashout_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2.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customXml/itemProps4.xml><?xml version="1.0" encoding="utf-8"?>
<ds:datastoreItem xmlns:ds="http://schemas.openxmlformats.org/officeDocument/2006/customXml" ds:itemID="{FCDE3115-644F-4C41-8C77-9ABF1A05B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Best Management Practice Section and Design Job Aid: Concrete Waste Management</vt:lpstr>
    </vt:vector>
  </TitlesOfParts>
  <Company/>
  <LinksUpToDate>false</LinksUpToDate>
  <CharactersWithSpaces>3731</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Concrete Waste Management</dc:title>
  <dc:subject>This job aid provides educational technical information on the Concrete Washout Management BMP to aid in design and inspection.</dc:subject>
  <dc:creator>TxDOT</dc:creator>
  <cp:keywords>075-41-bmp; BMP; Name</cp:keywords>
  <dc:description>Word; Accessibility; Template</dc:description>
  <cp:lastModifiedBy>Elisa Garcia</cp:lastModifiedBy>
  <cp:revision>4</cp:revision>
  <dcterms:created xsi:type="dcterms:W3CDTF">2026-03-25T12:38:00Z</dcterms:created>
  <dcterms:modified xsi:type="dcterms:W3CDTF">2026-03-27T14:22:00Z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