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6EF7" w14:textId="77777777" w:rsidR="00746BE0" w:rsidRDefault="00746BE0" w:rsidP="00746BE0">
      <w:pPr>
        <w:keepNext/>
        <w:keepLines/>
        <w:spacing w:before="240" w:after="0"/>
        <w:outlineLvl w:val="0"/>
        <w:rPr>
          <w:sz w:val="36"/>
          <w:szCs w:val="36"/>
        </w:rPr>
      </w:pPr>
      <w:bookmarkStart w:id="0" w:name="_Toc225246570"/>
      <w:r w:rsidRPr="00884091">
        <w:rPr>
          <w:rFonts w:asciiTheme="majorHAnsi" w:eastAsiaTheme="majorEastAsia" w:hAnsiTheme="majorHAnsi" w:cstheme="majorBidi"/>
          <w:b/>
          <w:color w:val="0056A9" w:themeColor="accent1"/>
          <w:sz w:val="36"/>
          <w:szCs w:val="48"/>
        </w:rPr>
        <w:t>Guidance: Onsite Fueling and Petroleum Storage - Spill Prevention Control and Countermeasure Plan</w:t>
      </w:r>
    </w:p>
    <w:p w14:paraId="4FF8F5A9" w14:textId="77777777" w:rsidR="00746BE0" w:rsidRDefault="00746BE0" w:rsidP="00746BE0">
      <w:r w:rsidRPr="008D0A07">
        <w:t>This document is intended to serve as E</w:t>
      </w:r>
      <w:r>
        <w:t>nvironmental Affairs Division (E</w:t>
      </w:r>
      <w:r w:rsidRPr="008D0A07">
        <w:t>NV</w:t>
      </w:r>
      <w:r>
        <w:t>)</w:t>
      </w:r>
      <w:r w:rsidRPr="008D0A07">
        <w:t xml:space="preserve"> guidance for the applicability of 40 C</w:t>
      </w:r>
      <w:r>
        <w:t>ode of Federal Regulations (C</w:t>
      </w:r>
      <w:r w:rsidRPr="008D0A07">
        <w:t>FR</w:t>
      </w:r>
      <w:r>
        <w:t>)</w:t>
      </w:r>
      <w:r w:rsidRPr="008D0A07">
        <w:t xml:space="preserve"> Part 112: Oil Pollution Prevention at T</w:t>
      </w:r>
      <w:r>
        <w:t>exas Department of Transportation (Tx</w:t>
      </w:r>
      <w:r w:rsidRPr="008D0A07">
        <w:t>DOT</w:t>
      </w:r>
      <w:r>
        <w:t>)</w:t>
      </w:r>
      <w:r w:rsidRPr="008D0A07">
        <w:t xml:space="preserve"> Construction Projects.</w:t>
      </w:r>
    </w:p>
    <w:p w14:paraId="1CF53F05" w14:textId="77777777" w:rsidR="00746BE0" w:rsidRDefault="00746BE0" w:rsidP="00746BE0">
      <w:pPr>
        <w:pStyle w:val="Heading2"/>
      </w:pPr>
      <w:r w:rsidRPr="00AA3BFF">
        <w:t>Description</w:t>
      </w:r>
      <w:bookmarkEnd w:id="0"/>
    </w:p>
    <w:p w14:paraId="077F6881" w14:textId="77777777" w:rsidR="00746BE0" w:rsidRDefault="00746BE0" w:rsidP="00746BE0">
      <w:r w:rsidRPr="00AA5B47">
        <w:t xml:space="preserve">Authorized under Section 311 of the Clean Water Act (CWA), 40 </w:t>
      </w:r>
      <w:r>
        <w:t>CFR</w:t>
      </w:r>
      <w:r w:rsidRPr="00AA5B47">
        <w:t xml:space="preserve"> Part 112: Oil Pollution Prevention, often referred to as the Spill Prevention Control and Countermeasure (SPCC) Rule, sets forth regulations for prevention, preparedness, and response for discharges of petroleum at non-transportation-related facilities. By rule, construction sites are required to develop and implement an SPCC, when applicable.</w:t>
      </w:r>
    </w:p>
    <w:p w14:paraId="3DD8CD7E" w14:textId="77777777" w:rsidR="00746BE0" w:rsidRDefault="00746BE0" w:rsidP="00746BE0">
      <w:pPr>
        <w:keepNext/>
      </w:pPr>
      <w:r>
        <w:rPr>
          <w:rFonts w:ascii="Arial" w:hAnsi="Arial" w:cs="Arial"/>
          <w:b/>
          <w:noProof/>
          <w:color w:val="000000" w:themeColor="text2"/>
          <w:sz w:val="20"/>
        </w:rPr>
        <w:drawing>
          <wp:inline distT="0" distB="0" distL="0" distR="0" wp14:anchorId="086C1AFC" wp14:editId="3653EB32">
            <wp:extent cx="3429000" cy="1709928"/>
            <wp:effectExtent l="19050" t="19050" r="19050" b="24130"/>
            <wp:docPr id="1460850740" name="Picture 1460850740" descr="Photograph showing an onsite petroleum fueling and storage area at a construction site. A green fuel storage tank is positioned on a cleared surface and displays hazard placards. Built‑in secondary containment is shown surrounding the tank to capture potential spills or leaks. Active construction conditions are illustrated in the background, including heavy equipment and exposed soil, demonstrating implementation of spill prevention measures during construction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hotograph showing an onsite petroleum fueling and storage area at a construction site. A green fuel storage tank is positioned on a cleared surface and displays hazard placards. Built‑in secondary containment is shown surrounding the tank to capture potential spills or leaks. Active construction conditions are illustrated in the background, including heavy equipment and exposed soil, demonstrating implementation of spill prevention measures during construction activiti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1709928"/>
                    </a:xfrm>
                    <a:prstGeom prst="rect">
                      <a:avLst/>
                    </a:prstGeom>
                    <a:ln w="12700">
                      <a:solidFill>
                        <a:schemeClr val="tx1"/>
                      </a:solidFill>
                    </a:ln>
                  </pic:spPr>
                </pic:pic>
              </a:graphicData>
            </a:graphic>
          </wp:inline>
        </w:drawing>
      </w:r>
    </w:p>
    <w:p w14:paraId="41503031" w14:textId="77777777" w:rsidR="00746BE0" w:rsidRDefault="00746BE0" w:rsidP="00746BE0">
      <w:pPr>
        <w:pStyle w:val="Caption"/>
      </w:pPr>
      <w:r>
        <w:t xml:space="preserve">Figure 1. </w:t>
      </w:r>
      <w:r w:rsidRPr="000A5197">
        <w:t xml:space="preserve">Onsite Fueling and </w:t>
      </w:r>
      <w:r>
        <w:t>p</w:t>
      </w:r>
      <w:r w:rsidRPr="000A5197">
        <w:t xml:space="preserve">etroleum </w:t>
      </w:r>
      <w:r>
        <w:t>s</w:t>
      </w:r>
      <w:r w:rsidRPr="000A5197">
        <w:t xml:space="preserve">torage on </w:t>
      </w:r>
      <w:r>
        <w:t>c</w:t>
      </w:r>
      <w:r w:rsidRPr="000A5197">
        <w:t xml:space="preserve">onstruction </w:t>
      </w:r>
      <w:r>
        <w:t>p</w:t>
      </w:r>
      <w:r w:rsidRPr="000A5197">
        <w:t>rojects</w:t>
      </w:r>
      <w:r>
        <w:t>.</w:t>
      </w:r>
    </w:p>
    <w:p w14:paraId="3C55A456" w14:textId="77777777" w:rsidR="00746BE0" w:rsidRDefault="00746BE0" w:rsidP="00746BE0">
      <w:pPr>
        <w:pStyle w:val="Heading2"/>
      </w:pPr>
      <w:r>
        <w:t>Applicability</w:t>
      </w:r>
    </w:p>
    <w:p w14:paraId="3C8E5D98" w14:textId="77777777" w:rsidR="00746BE0" w:rsidRDefault="00746BE0" w:rsidP="00746BE0">
      <w:r>
        <w:t>The federal requirement to develop and implement an SPCC Plan is applicable to construction sites that meet all three of the criteria below:</w:t>
      </w:r>
    </w:p>
    <w:p w14:paraId="3CA96EB4" w14:textId="77777777" w:rsidR="00746BE0" w:rsidRDefault="00746BE0" w:rsidP="00746BE0">
      <w:pPr>
        <w:pStyle w:val="ListBullet"/>
      </w:pPr>
      <w:r>
        <w:t>The site stores, uses, transfers, or otherwise handles oil products (such as petroleum products, emulsions, plant-based oils or greases).</w:t>
      </w:r>
    </w:p>
    <w:p w14:paraId="4B08CB1A" w14:textId="77777777" w:rsidR="00746BE0" w:rsidRDefault="00746BE0" w:rsidP="00746BE0">
      <w:pPr>
        <w:pStyle w:val="ListBullet"/>
      </w:pPr>
      <w:r>
        <w:lastRenderedPageBreak/>
        <w:t>The total capacity of all aboveground bulk storage containers and oil-filled operational equipment used to store petroleum products is equal to or greater than 1,320 gallons</w:t>
      </w:r>
      <w:r>
        <w:rPr>
          <w:rStyle w:val="FootnoteReference"/>
        </w:rPr>
        <w:footnoteReference w:id="1"/>
      </w:r>
      <w:r>
        <w:t>.</w:t>
      </w:r>
    </w:p>
    <w:p w14:paraId="2B648AE0" w14:textId="77777777" w:rsidR="00746BE0" w:rsidRDefault="00746BE0" w:rsidP="00746BE0">
      <w:pPr>
        <w:pStyle w:val="ListBullet"/>
      </w:pPr>
      <w:r>
        <w:t>A petroleum spill occurring at the site could reasonably be expected to reach navigable waters or adjoining shorelines of the United States (including creeks, streams, and other waterways).</w:t>
      </w:r>
    </w:p>
    <w:p w14:paraId="4B307277" w14:textId="77777777" w:rsidR="00746BE0" w:rsidRDefault="00746BE0" w:rsidP="00746BE0">
      <w:pPr>
        <w:pStyle w:val="Heading2"/>
      </w:pPr>
      <w:bookmarkStart w:id="1" w:name="_Toc225246572"/>
      <w:r w:rsidRPr="00B00A59">
        <w:t>Compliance with regulations</w:t>
      </w:r>
      <w:bookmarkEnd w:id="1"/>
    </w:p>
    <w:p w14:paraId="1CA416D3" w14:textId="77777777" w:rsidR="00746BE0" w:rsidRDefault="00746BE0" w:rsidP="00746BE0">
      <w:pPr>
        <w:pStyle w:val="ListNumber"/>
        <w:tabs>
          <w:tab w:val="clear" w:pos="360"/>
        </w:tabs>
        <w:ind w:left="540" w:hanging="540"/>
      </w:pPr>
      <w:r w:rsidRPr="00BF0B46">
        <w:t>Per Item 7.7 of</w:t>
      </w:r>
      <w:r>
        <w:t xml:space="preserve"> the </w:t>
      </w:r>
      <w:r w:rsidRPr="00BF0B46">
        <w:t>TxDOT Standard Specifications for Construction and Maintenance of Highways, Streets, and Bridges</w:t>
      </w:r>
      <w:r>
        <w:t xml:space="preserve"> September 2024</w:t>
      </w:r>
      <w:r w:rsidRPr="00BF0B46">
        <w:t>, contractors are responsible for complying with all applicable regulations for Project Specific Locations (PSLs), including SPCC.</w:t>
      </w:r>
    </w:p>
    <w:p w14:paraId="5E0C5D17" w14:textId="77777777" w:rsidR="00746BE0" w:rsidRDefault="00746BE0" w:rsidP="00746BE0">
      <w:pPr>
        <w:pStyle w:val="ListNumber"/>
        <w:tabs>
          <w:tab w:val="clear" w:pos="360"/>
        </w:tabs>
        <w:ind w:left="540" w:hanging="540"/>
      </w:pPr>
      <w:r w:rsidRPr="0033490A">
        <w:t xml:space="preserve">SPCC Plans must be certified by a Professional Engineer (PE), unless the site (1) meets criteria to be considered a </w:t>
      </w:r>
      <w:hyperlink r:id="rId12" w:anchor="g_1" w:history="1">
        <w:r w:rsidRPr="00B17A04">
          <w:rPr>
            <w:rStyle w:val="Hyperlink"/>
          </w:rPr>
          <w:t>Qualified Facility</w:t>
        </w:r>
      </w:hyperlink>
      <w:r w:rsidRPr="0033490A">
        <w:t xml:space="preserve"> and (2) develops a plan in accordance with </w:t>
      </w:r>
      <w:hyperlink r:id="rId13" w:history="1">
        <w:r w:rsidRPr="008D237A">
          <w:rPr>
            <w:rStyle w:val="Hyperlink"/>
          </w:rPr>
          <w:t>40 CFR 112.6</w:t>
        </w:r>
      </w:hyperlink>
      <w:r w:rsidRPr="0033490A">
        <w:t>, in which case the SPCC Plan may self-certified by the contractor.</w:t>
      </w:r>
    </w:p>
    <w:p w14:paraId="1B5C1D4A" w14:textId="77777777" w:rsidR="00746BE0" w:rsidRDefault="00746BE0" w:rsidP="00746BE0">
      <w:pPr>
        <w:pStyle w:val="ListNumber"/>
        <w:tabs>
          <w:tab w:val="clear" w:pos="360"/>
        </w:tabs>
        <w:ind w:left="540" w:hanging="540"/>
      </w:pPr>
      <w:r w:rsidRPr="009A724D">
        <w:t>Should the contractor store fuel and</w:t>
      </w:r>
      <w:r>
        <w:t xml:space="preserve"> </w:t>
      </w:r>
      <w:r w:rsidRPr="009A724D">
        <w:t>or any petroleum products onsite in a manner that would trigger the requirement to develop an SPCC Plan, the District should require the contractor to furnish any plans or compliance documents, such as inspection reports necessary to verify compliance with the rule.</w:t>
      </w:r>
    </w:p>
    <w:p w14:paraId="37DC62DF" w14:textId="77777777" w:rsidR="00746BE0" w:rsidRDefault="00746BE0" w:rsidP="00746BE0">
      <w:pPr>
        <w:pStyle w:val="ListNumber"/>
        <w:tabs>
          <w:tab w:val="clear" w:pos="360"/>
        </w:tabs>
        <w:ind w:left="540" w:hanging="540"/>
      </w:pPr>
      <w:r w:rsidRPr="0069233B">
        <w:t>If a spill occurs onsite, the contractor is responsible for reporting and responding to the spill, as necessary.</w:t>
      </w:r>
    </w:p>
    <w:p w14:paraId="1CC9C753" w14:textId="77777777" w:rsidR="00746BE0" w:rsidRPr="00EE6558" w:rsidRDefault="00746BE0" w:rsidP="00746BE0">
      <w:pPr>
        <w:pStyle w:val="Heading2"/>
        <w:rPr>
          <w:sz w:val="28"/>
          <w:szCs w:val="28"/>
        </w:rPr>
      </w:pPr>
      <w:r w:rsidRPr="00EE6558">
        <w:rPr>
          <w:sz w:val="28"/>
          <w:szCs w:val="28"/>
        </w:rPr>
        <w:lastRenderedPageBreak/>
        <w:t>References</w:t>
      </w:r>
    </w:p>
    <w:p w14:paraId="03F08B7B" w14:textId="77777777" w:rsidR="00746BE0" w:rsidRPr="00387004" w:rsidRDefault="00746BE0" w:rsidP="00746BE0">
      <w:pPr>
        <w:rPr>
          <w:u w:val="single"/>
        </w:rPr>
      </w:pPr>
      <w:hyperlink r:id="rId14" w:history="1">
        <w:r w:rsidRPr="00387004">
          <w:rPr>
            <w:rStyle w:val="Hyperlink"/>
          </w:rPr>
          <w:t>40 CFR 112 – Oil Pollution Prevention</w:t>
        </w:r>
      </w:hyperlink>
    </w:p>
    <w:p w14:paraId="3E23965F" w14:textId="77777777" w:rsidR="00746BE0" w:rsidRPr="00387004" w:rsidRDefault="00746BE0" w:rsidP="00746BE0">
      <w:pPr>
        <w:rPr>
          <w:u w:val="single"/>
        </w:rPr>
      </w:pPr>
      <w:r>
        <w:t xml:space="preserve">United States (U.S.) Environmental Protection Agency </w:t>
      </w:r>
      <w:hyperlink r:id="rId15" w:history="1">
        <w:r>
          <w:rPr>
            <w:rStyle w:val="Hyperlink"/>
          </w:rPr>
          <w:t>(EPA) Office of Compliance – Managing Your Environmental Responsibilities: A Planning Guide for Construction and Development</w:t>
        </w:r>
      </w:hyperlink>
    </w:p>
    <w:p w14:paraId="764C8630" w14:textId="77777777" w:rsidR="00746BE0" w:rsidRPr="00387004" w:rsidRDefault="00746BE0" w:rsidP="00746BE0">
      <w:pPr>
        <w:rPr>
          <w:u w:val="single"/>
        </w:rPr>
      </w:pPr>
      <w:hyperlink r:id="rId16" w:history="1">
        <w:r>
          <w:rPr>
            <w:rStyle w:val="Hyperlink"/>
          </w:rPr>
          <w:t>TxDOT Standard Specifications for Construction and Maintenance of Highways, Streets, and Bridges: Item 7.7</w:t>
        </w:r>
      </w:hyperlink>
      <w:r>
        <w:t xml:space="preserve"> </w:t>
      </w:r>
      <w:r w:rsidRPr="006762CE">
        <w:t>Preservation of Cultural and Natural Resource and the Environment</w:t>
      </w:r>
    </w:p>
    <w:p w14:paraId="70C4CACF" w14:textId="77777777" w:rsidR="00746BE0" w:rsidRPr="00387004" w:rsidRDefault="00746BE0" w:rsidP="00746BE0">
      <w:pPr>
        <w:rPr>
          <w:u w:val="single"/>
        </w:rPr>
      </w:pPr>
      <w:hyperlink r:id="rId17" w:history="1">
        <w:r w:rsidRPr="00387004">
          <w:rPr>
            <w:rStyle w:val="Hyperlink"/>
          </w:rPr>
          <w:t>Memorandum of Understanding (MOU) Between the Environmental Protection Agency and the Department of Transportation, December 18, 1971</w:t>
        </w:r>
      </w:hyperlink>
    </w:p>
    <w:p w14:paraId="48A54C47" w14:textId="77777777" w:rsidR="00746BE0" w:rsidRDefault="00746BE0" w:rsidP="00746BE0">
      <w:hyperlink r:id="rId18" w:history="1">
        <w:r w:rsidRPr="00387004">
          <w:rPr>
            <w:rStyle w:val="Hyperlink"/>
          </w:rPr>
          <w:t>EPA – SPCC Rule Amendments: Streamlined Requirements for Mobile Refuelers, December 2006</w:t>
        </w:r>
      </w:hyperlink>
    </w:p>
    <w:p w14:paraId="28AFAC6E" w14:textId="77777777" w:rsidR="003F3CC1" w:rsidRPr="00746BE0" w:rsidRDefault="003F3CC1" w:rsidP="00746BE0"/>
    <w:sectPr w:rsidR="003F3CC1" w:rsidRPr="00746BE0" w:rsidSect="0010454F">
      <w:headerReference w:type="even" r:id="rId19"/>
      <w:headerReference w:type="default" r:id="rId20"/>
      <w:footerReference w:type="even" r:id="rId21"/>
      <w:footerReference w:type="default" r:id="rId22"/>
      <w:headerReference w:type="first" r:id="rId23"/>
      <w:footerReference w:type="first" r:id="rId24"/>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C26B" w14:textId="77777777" w:rsidR="00746BE0" w:rsidRDefault="00746BE0" w:rsidP="00CE2B96">
      <w:pPr>
        <w:spacing w:after="0"/>
      </w:pPr>
      <w:r>
        <w:separator/>
      </w:r>
    </w:p>
  </w:endnote>
  <w:endnote w:type="continuationSeparator" w:id="0">
    <w:p w14:paraId="3F30F3C1" w14:textId="77777777" w:rsidR="00746BE0" w:rsidRDefault="00746BE0"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DE21" w14:textId="77777777" w:rsidR="00746BE0" w:rsidRDefault="00746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D9E6" w14:textId="4D8D4259" w:rsidR="00E15D9F" w:rsidRPr="00A07068" w:rsidRDefault="00C02127" w:rsidP="0010454F">
    <w:pPr>
      <w:pStyle w:val="Footer"/>
      <w:spacing w:before="360" w:line="360" w:lineRule="auto"/>
      <w:jc w:val="right"/>
      <w:rPr>
        <w:b/>
        <w:bCs/>
        <w:color w:val="0056A9"/>
      </w:rPr>
    </w:pPr>
    <w:r w:rsidRPr="00781A58">
      <w:rPr>
        <w:noProof/>
      </w:rPr>
      <mc:AlternateContent>
        <mc:Choice Requires="wps">
          <w:drawing>
            <wp:anchor distT="0" distB="0" distL="114300" distR="114300" simplePos="0" relativeHeight="251659264" behindDoc="0" locked="0" layoutInCell="1" allowOverlap="1" wp14:anchorId="54DC689A" wp14:editId="26A5B842">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3E3E20"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746BE0" w:rsidRPr="00746BE0">
      <w:t xml:space="preserve"> </w:t>
    </w:r>
    <w:r w:rsidR="00746BE0" w:rsidRPr="00746BE0">
      <w:rPr>
        <w:noProof/>
        <w:color w:val="0056A9" w:themeColor="accent1"/>
      </w:rPr>
      <w:t>Guidance: Onsite Fueling and Petroleum Storage - Spill Prevention Control and Countermeasure Plan</w:t>
    </w:r>
    <w:r w:rsidR="0032481A">
      <w:rPr>
        <w:color w:val="0056A9"/>
      </w:rPr>
      <w:t xml:space="preserve"> </w:t>
    </w:r>
    <w:r w:rsidR="00BD2218" w:rsidRPr="009E532E">
      <w:rPr>
        <w:color w:val="0056A9"/>
      </w:rPr>
      <w:t>|</w:t>
    </w:r>
    <w:r w:rsidR="00BD2218" w:rsidRPr="00746BE0">
      <w:rPr>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6A8A0952" w14:textId="77777777" w:rsidR="002376C2" w:rsidRDefault="00237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2C5F" w14:textId="77777777" w:rsidR="00746BE0" w:rsidRDefault="0074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DEB8" w14:textId="77777777" w:rsidR="00746BE0" w:rsidRDefault="00746BE0" w:rsidP="00CE2B96">
      <w:pPr>
        <w:spacing w:after="0"/>
      </w:pPr>
      <w:r>
        <w:separator/>
      </w:r>
    </w:p>
  </w:footnote>
  <w:footnote w:type="continuationSeparator" w:id="0">
    <w:p w14:paraId="11269E90" w14:textId="77777777" w:rsidR="00746BE0" w:rsidRDefault="00746BE0" w:rsidP="00CE2B96">
      <w:pPr>
        <w:spacing w:after="0"/>
      </w:pPr>
      <w:r>
        <w:continuationSeparator/>
      </w:r>
    </w:p>
  </w:footnote>
  <w:footnote w:id="1">
    <w:p w14:paraId="2B748E99" w14:textId="77777777" w:rsidR="00746BE0" w:rsidRDefault="00746BE0" w:rsidP="00746BE0">
      <w:pPr>
        <w:pStyle w:val="FootnoteText"/>
        <w:spacing w:line="360" w:lineRule="auto"/>
      </w:pPr>
      <w:r>
        <w:rPr>
          <w:rStyle w:val="FootnoteReference"/>
        </w:rPr>
        <w:footnoteRef/>
      </w:r>
      <w:r>
        <w:t xml:space="preserve"> </w:t>
      </w:r>
      <w:r w:rsidRPr="00E83C18">
        <w:rPr>
          <w:sz w:val="24"/>
          <w:szCs w:val="24"/>
        </w:rPr>
        <w:t>When calculating total petroleum storage capacity, only include storage containers with capacity equal to or greater than 55-gallons; fuel and fluid tanks associated with function of oil-filled operational equipment and motive power containers should also be included in calculations for applicability. However, oil-filled equipment is addressed differently in the SPCC Plan than bulk storage.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6CBF" w14:textId="77777777" w:rsidR="00746BE0" w:rsidRDefault="00746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144C" w14:textId="77777777" w:rsidR="001705BC" w:rsidRDefault="009E532E" w:rsidP="001705BC">
    <w:pPr>
      <w:pStyle w:val="Header"/>
      <w:spacing w:after="400"/>
      <w:jc w:val="right"/>
    </w:pPr>
    <w:r>
      <w:rPr>
        <w:noProof/>
      </w:rPr>
      <w:drawing>
        <wp:inline distT="0" distB="0" distL="0" distR="0" wp14:anchorId="761C44CE" wp14:editId="35889C2E">
          <wp:extent cx="2020824" cy="384048"/>
          <wp:effectExtent l="0" t="0" r="0" b="0"/>
          <wp:docPr id="1517796457" name="Picture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96457" name="Picture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2020824" cy="384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C598"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1"/>
  </w:num>
  <w:num w:numId="2" w16cid:durableId="94503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OrG/dx2HDEbEiJxcmx45C7EzUgEIKpx8HUGRW1We0NB80ALw7dggYcuiCoJC4fUwqqr67kR2/BdQTQmoUvWMLw==" w:salt="tU8h8N8EcpszL13K6UVn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E0"/>
    <w:rsid w:val="000215C5"/>
    <w:rsid w:val="0003040F"/>
    <w:rsid w:val="00042206"/>
    <w:rsid w:val="00051E7A"/>
    <w:rsid w:val="0005583F"/>
    <w:rsid w:val="00073C60"/>
    <w:rsid w:val="00074844"/>
    <w:rsid w:val="00075AE3"/>
    <w:rsid w:val="000940FB"/>
    <w:rsid w:val="000A5D0B"/>
    <w:rsid w:val="000B2945"/>
    <w:rsid w:val="000B5A5C"/>
    <w:rsid w:val="000C7AD7"/>
    <w:rsid w:val="000E0386"/>
    <w:rsid w:val="0010454F"/>
    <w:rsid w:val="00105532"/>
    <w:rsid w:val="001468A0"/>
    <w:rsid w:val="00146BE0"/>
    <w:rsid w:val="001705BC"/>
    <w:rsid w:val="001761D7"/>
    <w:rsid w:val="00181735"/>
    <w:rsid w:val="00186420"/>
    <w:rsid w:val="0018694B"/>
    <w:rsid w:val="00190DCD"/>
    <w:rsid w:val="00191AFD"/>
    <w:rsid w:val="00193C0D"/>
    <w:rsid w:val="001A69C9"/>
    <w:rsid w:val="001B0171"/>
    <w:rsid w:val="001B5185"/>
    <w:rsid w:val="001B6C26"/>
    <w:rsid w:val="001C3E75"/>
    <w:rsid w:val="001E5E7E"/>
    <w:rsid w:val="001F4FAC"/>
    <w:rsid w:val="002340C7"/>
    <w:rsid w:val="002376C2"/>
    <w:rsid w:val="002531E4"/>
    <w:rsid w:val="00273031"/>
    <w:rsid w:val="002805FC"/>
    <w:rsid w:val="00284504"/>
    <w:rsid w:val="00290571"/>
    <w:rsid w:val="00290A05"/>
    <w:rsid w:val="002934DC"/>
    <w:rsid w:val="002A05A5"/>
    <w:rsid w:val="002A12D5"/>
    <w:rsid w:val="002A75F2"/>
    <w:rsid w:val="002B1115"/>
    <w:rsid w:val="002C57BC"/>
    <w:rsid w:val="002D0309"/>
    <w:rsid w:val="002D20DF"/>
    <w:rsid w:val="00315627"/>
    <w:rsid w:val="0032481A"/>
    <w:rsid w:val="003452E7"/>
    <w:rsid w:val="003A504F"/>
    <w:rsid w:val="003D41C5"/>
    <w:rsid w:val="003D6291"/>
    <w:rsid w:val="003E1328"/>
    <w:rsid w:val="003F3CC1"/>
    <w:rsid w:val="004112F8"/>
    <w:rsid w:val="0042061E"/>
    <w:rsid w:val="00427DBB"/>
    <w:rsid w:val="00437A34"/>
    <w:rsid w:val="004567BC"/>
    <w:rsid w:val="00487276"/>
    <w:rsid w:val="004A1071"/>
    <w:rsid w:val="004B325C"/>
    <w:rsid w:val="004E496F"/>
    <w:rsid w:val="004E7B23"/>
    <w:rsid w:val="004F697B"/>
    <w:rsid w:val="00501A04"/>
    <w:rsid w:val="005456F3"/>
    <w:rsid w:val="005555C5"/>
    <w:rsid w:val="005D35F1"/>
    <w:rsid w:val="005D638D"/>
    <w:rsid w:val="005D6FD8"/>
    <w:rsid w:val="005E451D"/>
    <w:rsid w:val="006125F2"/>
    <w:rsid w:val="00623733"/>
    <w:rsid w:val="00624C21"/>
    <w:rsid w:val="006258E9"/>
    <w:rsid w:val="00626A92"/>
    <w:rsid w:val="00640ADD"/>
    <w:rsid w:val="0064565C"/>
    <w:rsid w:val="00687A4D"/>
    <w:rsid w:val="006B34EF"/>
    <w:rsid w:val="0070413E"/>
    <w:rsid w:val="0072002A"/>
    <w:rsid w:val="007414D4"/>
    <w:rsid w:val="00746BE0"/>
    <w:rsid w:val="007524CB"/>
    <w:rsid w:val="00763838"/>
    <w:rsid w:val="00767521"/>
    <w:rsid w:val="00771021"/>
    <w:rsid w:val="00781A58"/>
    <w:rsid w:val="00791127"/>
    <w:rsid w:val="007A3B26"/>
    <w:rsid w:val="007B00A8"/>
    <w:rsid w:val="007C06C2"/>
    <w:rsid w:val="007E1F45"/>
    <w:rsid w:val="007E4B7F"/>
    <w:rsid w:val="00800731"/>
    <w:rsid w:val="0086528F"/>
    <w:rsid w:val="0087110F"/>
    <w:rsid w:val="00885A03"/>
    <w:rsid w:val="008905E4"/>
    <w:rsid w:val="00893375"/>
    <w:rsid w:val="00894429"/>
    <w:rsid w:val="008B49EB"/>
    <w:rsid w:val="008C1217"/>
    <w:rsid w:val="00900F14"/>
    <w:rsid w:val="00915FFB"/>
    <w:rsid w:val="009160AB"/>
    <w:rsid w:val="0091704D"/>
    <w:rsid w:val="00917F65"/>
    <w:rsid w:val="009260DC"/>
    <w:rsid w:val="00947AC2"/>
    <w:rsid w:val="00955095"/>
    <w:rsid w:val="00967F5A"/>
    <w:rsid w:val="0097321E"/>
    <w:rsid w:val="00976A16"/>
    <w:rsid w:val="00995A37"/>
    <w:rsid w:val="009B0174"/>
    <w:rsid w:val="009E532E"/>
    <w:rsid w:val="009F72F5"/>
    <w:rsid w:val="00A07068"/>
    <w:rsid w:val="00A07348"/>
    <w:rsid w:val="00A166DE"/>
    <w:rsid w:val="00A22F82"/>
    <w:rsid w:val="00A44609"/>
    <w:rsid w:val="00A47D0D"/>
    <w:rsid w:val="00A517D8"/>
    <w:rsid w:val="00A53A66"/>
    <w:rsid w:val="00A70747"/>
    <w:rsid w:val="00A71049"/>
    <w:rsid w:val="00A858D7"/>
    <w:rsid w:val="00AD4351"/>
    <w:rsid w:val="00AE1A16"/>
    <w:rsid w:val="00B076D5"/>
    <w:rsid w:val="00B22256"/>
    <w:rsid w:val="00B406D5"/>
    <w:rsid w:val="00B55323"/>
    <w:rsid w:val="00B63CB8"/>
    <w:rsid w:val="00B84690"/>
    <w:rsid w:val="00B85D46"/>
    <w:rsid w:val="00B900B0"/>
    <w:rsid w:val="00BD2218"/>
    <w:rsid w:val="00BD7E0B"/>
    <w:rsid w:val="00C02127"/>
    <w:rsid w:val="00C10F1E"/>
    <w:rsid w:val="00C27E67"/>
    <w:rsid w:val="00C31BC5"/>
    <w:rsid w:val="00C575AE"/>
    <w:rsid w:val="00C75AB3"/>
    <w:rsid w:val="00C923ED"/>
    <w:rsid w:val="00CB2FFC"/>
    <w:rsid w:val="00CC00DC"/>
    <w:rsid w:val="00CE2B96"/>
    <w:rsid w:val="00CE6274"/>
    <w:rsid w:val="00CE6A5A"/>
    <w:rsid w:val="00CF0FA4"/>
    <w:rsid w:val="00D058C9"/>
    <w:rsid w:val="00D07333"/>
    <w:rsid w:val="00D11322"/>
    <w:rsid w:val="00D4473A"/>
    <w:rsid w:val="00D46BC3"/>
    <w:rsid w:val="00D52D93"/>
    <w:rsid w:val="00D641FB"/>
    <w:rsid w:val="00D87291"/>
    <w:rsid w:val="00DB6A6F"/>
    <w:rsid w:val="00DD5129"/>
    <w:rsid w:val="00DE6ED5"/>
    <w:rsid w:val="00E04EB5"/>
    <w:rsid w:val="00E15D9F"/>
    <w:rsid w:val="00E302A4"/>
    <w:rsid w:val="00E33825"/>
    <w:rsid w:val="00E47D85"/>
    <w:rsid w:val="00E50774"/>
    <w:rsid w:val="00E75EDD"/>
    <w:rsid w:val="00E83835"/>
    <w:rsid w:val="00EB0613"/>
    <w:rsid w:val="00ED20AC"/>
    <w:rsid w:val="00ED4E8C"/>
    <w:rsid w:val="00EE5A53"/>
    <w:rsid w:val="00EE6DDC"/>
    <w:rsid w:val="00EF7847"/>
    <w:rsid w:val="00F11034"/>
    <w:rsid w:val="00F22C28"/>
    <w:rsid w:val="00F35F29"/>
    <w:rsid w:val="00F44653"/>
    <w:rsid w:val="00F47B34"/>
    <w:rsid w:val="00F53357"/>
    <w:rsid w:val="00F63F58"/>
    <w:rsid w:val="00F8718F"/>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05315"/>
  <w15:chartTrackingRefBased/>
  <w15:docId w15:val="{C47F5EC4-E974-4218-BE5E-EB1689C6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E0"/>
    <w:pPr>
      <w:spacing w:after="200" w:line="360" w:lineRule="auto"/>
    </w:pPr>
    <w:rPr>
      <w:szCs w:val="20"/>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kern w:val="0"/>
      <w:sz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paragraph" w:styleId="ListNumber">
    <w:name w:val="List Number"/>
    <w:basedOn w:val="BodyText"/>
    <w:uiPriority w:val="1"/>
    <w:qFormat/>
    <w:rsid w:val="00746BE0"/>
    <w:pPr>
      <w:numPr>
        <w:numId w:val="2"/>
      </w:numPr>
      <w:tabs>
        <w:tab w:val="num" w:pos="360"/>
      </w:tabs>
      <w:spacing w:after="200"/>
      <w:ind w:left="0" w:firstLine="0"/>
      <w:contextualSpacing/>
    </w:pPr>
    <w:rPr>
      <w:rFonts w:ascii="Verdana" w:eastAsia="MS Mincho" w:hAnsi="Verdana" w:cs="Times New Roman"/>
      <w:color w:val="000000"/>
      <w:kern w:val="0"/>
      <w:szCs w:val="22"/>
      <w14:ligatures w14:val="none"/>
    </w:rPr>
  </w:style>
  <w:style w:type="character" w:styleId="CommentReference">
    <w:name w:val="annotation reference"/>
    <w:basedOn w:val="DefaultParagraphFont"/>
    <w:uiPriority w:val="99"/>
    <w:semiHidden/>
    <w:unhideWhenUsed/>
    <w:rsid w:val="00746BE0"/>
    <w:rPr>
      <w:sz w:val="16"/>
      <w:szCs w:val="16"/>
    </w:rPr>
  </w:style>
  <w:style w:type="paragraph" w:styleId="CommentText">
    <w:name w:val="annotation text"/>
    <w:basedOn w:val="Normal"/>
    <w:link w:val="CommentTextChar"/>
    <w:uiPriority w:val="99"/>
    <w:unhideWhenUsed/>
    <w:rsid w:val="00746BE0"/>
    <w:pPr>
      <w:spacing w:line="240" w:lineRule="auto"/>
    </w:pPr>
    <w:rPr>
      <w:sz w:val="20"/>
    </w:rPr>
  </w:style>
  <w:style w:type="character" w:customStyle="1" w:styleId="CommentTextChar">
    <w:name w:val="Comment Text Char"/>
    <w:basedOn w:val="DefaultParagraphFont"/>
    <w:link w:val="CommentText"/>
    <w:uiPriority w:val="99"/>
    <w:rsid w:val="00746BE0"/>
    <w:rPr>
      <w:sz w:val="20"/>
      <w:szCs w:val="20"/>
    </w:rPr>
  </w:style>
  <w:style w:type="paragraph" w:styleId="BodyText">
    <w:name w:val="Body Text"/>
    <w:basedOn w:val="Normal"/>
    <w:link w:val="BodyTextChar"/>
    <w:uiPriority w:val="99"/>
    <w:semiHidden/>
    <w:unhideWhenUsed/>
    <w:rsid w:val="00746BE0"/>
    <w:pPr>
      <w:spacing w:after="120"/>
    </w:pPr>
  </w:style>
  <w:style w:type="character" w:customStyle="1" w:styleId="BodyTextChar">
    <w:name w:val="Body Text Char"/>
    <w:basedOn w:val="DefaultParagraphFont"/>
    <w:link w:val="BodyText"/>
    <w:uiPriority w:val="99"/>
    <w:semiHidden/>
    <w:rsid w:val="00746BE0"/>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cfr/text/40/112.6" TargetMode="External"/><Relationship Id="rId18" Type="http://schemas.openxmlformats.org/officeDocument/2006/relationships/hyperlink" Target="https://www.epa.gov/oil-spills-prevention-and-preparedness-regulations/spcc-rule-amendments-streamlined-require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aw.cornell.edu/cfr/text/40/112.3" TargetMode="External"/><Relationship Id="rId17" Type="http://schemas.openxmlformats.org/officeDocument/2006/relationships/hyperlink" Target="https://www.phmsa.dot.gov/sites/phmsa.dot.gov/files/docs/1971_DOT_EPA.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tp.dot.state.tx.us/pub/txdot-info/cmd/cserve/specs/2024/standard/s007.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gov/sites/default/files/2015-10/documents/myerguide.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0/chapter-I/subchapter-D/part-112?toc=1"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word-accessibility-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2238030A-1151-48DB-8A23-26F7EDCC7F4A}">
  <ds:schemaRefs>
    <ds:schemaRef ds:uri="7fef7c20-eb6f-4e1b-9e04-31bde27da1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f546ee9-1892-45b9-9ba2-985592e03772"/>
    <ds:schemaRef ds:uri="http://www.w3.org/XML/1998/namespace"/>
    <ds:schemaRef ds:uri="http://purl.org/dc/dcmitype/"/>
  </ds:schemaRefs>
</ds:datastoreItem>
</file>

<file path=customXml/itemProps4.xml><?xml version="1.0" encoding="utf-8"?>
<ds:datastoreItem xmlns:ds="http://schemas.openxmlformats.org/officeDocument/2006/customXml" ds:itemID="{0CAAD408-5151-44B2-A632-DCB0AF98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env-word-accessibility-template.dotx</Template>
  <TotalTime>4</TotalTime>
  <Pages>3</Pages>
  <Words>555</Words>
  <Characters>3168</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Guidance:  Onsite Fueling and Petroleum Storage - Spill Prevention Control and Countermeasure Plan</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Onsite Fueling and Petroleum Storage - Spill Prevention Control and Countermeasure Plan</dc:title>
  <dc:subject>This document is intended to serve as ENV guidance for the applicability of 40 CFR Part 112: Oil Pollution Prevention at TxDOT Construction Projects.</dc:subject>
  <dc:creator>TxDOT</dc:creator>
  <cp:keywords>085-03-gui; ENV; guidance, onsite fueling, petroleum storage</cp:keywords>
  <dc:description/>
  <cp:lastModifiedBy>Elisa Garcia</cp:lastModifiedBy>
  <cp:revision>5</cp:revision>
  <dcterms:created xsi:type="dcterms:W3CDTF">2026-04-06T14:35:00Z</dcterms:created>
  <dcterms:modified xsi:type="dcterms:W3CDTF">2026-04-06T14:41:00Z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