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BA7E" w14:textId="0049BC96" w:rsidR="004F697B" w:rsidRPr="00917F65" w:rsidRDefault="004F697B" w:rsidP="00771021">
      <w:pPr>
        <w:pStyle w:val="Heading1"/>
        <w:rPr>
          <w:szCs w:val="48"/>
        </w:rPr>
      </w:pPr>
      <w:r w:rsidRPr="00917F65">
        <w:rPr>
          <w:szCs w:val="48"/>
        </w:rPr>
        <w:t>Buy America and the National Environmental Policy Act Frequently Ask</w:t>
      </w:r>
      <w:r w:rsidR="00771021" w:rsidRPr="00917F65">
        <w:rPr>
          <w:szCs w:val="48"/>
        </w:rPr>
        <w:t>ed Questions</w:t>
      </w:r>
    </w:p>
    <w:p w14:paraId="64556EA7" w14:textId="087D2B72" w:rsidR="005456F3" w:rsidRDefault="005456F3" w:rsidP="005456F3">
      <w:pPr>
        <w:rPr>
          <w:b/>
        </w:rPr>
      </w:pPr>
      <w:r w:rsidRPr="005456F3">
        <w:t>The purpose of this guidance is to clarify how the scope of a N</w:t>
      </w:r>
      <w:r w:rsidR="001A69C9">
        <w:t xml:space="preserve">ational </w:t>
      </w:r>
      <w:r w:rsidRPr="005456F3">
        <w:t>E</w:t>
      </w:r>
      <w:r w:rsidR="001A69C9">
        <w:t xml:space="preserve">nvironmental </w:t>
      </w:r>
      <w:r w:rsidRPr="005456F3">
        <w:t>P</w:t>
      </w:r>
      <w:r w:rsidR="001A69C9">
        <w:t xml:space="preserve">olicy </w:t>
      </w:r>
      <w:r w:rsidRPr="005456F3">
        <w:t>A</w:t>
      </w:r>
      <w:r w:rsidR="001A69C9">
        <w:t>ct (NEPA)</w:t>
      </w:r>
      <w:r w:rsidRPr="005456F3">
        <w:t xml:space="preserve"> document affects the applicability of Buy America requirements to a project</w:t>
      </w:r>
      <w:r w:rsidR="00BD1042" w:rsidRPr="005456F3">
        <w:t xml:space="preserve">. </w:t>
      </w:r>
      <w:r w:rsidRPr="005456F3">
        <w:t>This is not intended to be comprehensive guidance regarding Buy America requirements</w:t>
      </w:r>
      <w:r w:rsidR="00BD1042" w:rsidRPr="005456F3">
        <w:t xml:space="preserve">. </w:t>
      </w:r>
    </w:p>
    <w:p w14:paraId="03AB13D4" w14:textId="77777777" w:rsidR="005456F3" w:rsidRPr="005456F3" w:rsidRDefault="005456F3" w:rsidP="00067493">
      <w:pPr>
        <w:pStyle w:val="Heading2"/>
      </w:pPr>
      <w:r w:rsidRPr="005456F3">
        <w:t>Q1:</w:t>
      </w:r>
      <w:r w:rsidRPr="005456F3">
        <w:tab/>
        <w:t>What is Buy America?</w:t>
      </w:r>
    </w:p>
    <w:p w14:paraId="0E9F0646" w14:textId="1407AECE" w:rsidR="005456F3" w:rsidRDefault="005456F3" w:rsidP="005456F3">
      <w:pPr>
        <w:rPr>
          <w:szCs w:val="20"/>
        </w:rPr>
      </w:pPr>
      <w:r>
        <w:t xml:space="preserve">Buy America refers to the statutory requirement that all </w:t>
      </w:r>
      <w:r w:rsidR="00B55323" w:rsidRPr="00B47514">
        <w:t>F</w:t>
      </w:r>
      <w:r w:rsidR="00B55323">
        <w:t xml:space="preserve">ederal </w:t>
      </w:r>
      <w:r w:rsidR="00B55323" w:rsidRPr="00B47514">
        <w:t>H</w:t>
      </w:r>
      <w:r w:rsidR="00B55323">
        <w:t xml:space="preserve">ighway </w:t>
      </w:r>
      <w:r w:rsidR="00B55323" w:rsidRPr="00B47514">
        <w:t>A</w:t>
      </w:r>
      <w:r w:rsidR="00B55323">
        <w:t>dministration (FHWA)</w:t>
      </w:r>
      <w:r w:rsidR="00B55323" w:rsidRPr="00B47514">
        <w:t>-</w:t>
      </w:r>
      <w:r>
        <w:t>funded projects only use steel, iron, construction materials, and manufactured products that are produced in the United States</w:t>
      </w:r>
      <w:r w:rsidR="00FB2FFC">
        <w:t xml:space="preserve"> (U</w:t>
      </w:r>
      <w:r w:rsidR="00190DCD">
        <w:t>.</w:t>
      </w:r>
      <w:r w:rsidR="00FB2FFC">
        <w:t>S</w:t>
      </w:r>
      <w:r w:rsidR="00190DCD">
        <w:t>.</w:t>
      </w:r>
      <w:r w:rsidR="00FB2FFC">
        <w:t>)</w:t>
      </w:r>
      <w:r w:rsidR="00BD1042">
        <w:t xml:space="preserve">. </w:t>
      </w:r>
      <w:r>
        <w:t>Buy America is codified in</w:t>
      </w:r>
      <w:r w:rsidR="001E5E7E">
        <w:t xml:space="preserve"> the United States Code (U.S.C.) and </w:t>
      </w:r>
      <w:r w:rsidR="005D35F1">
        <w:t>in the Code of Federal Regulations (CFR), specifically</w:t>
      </w:r>
      <w:r>
        <w:t xml:space="preserve"> statute </w:t>
      </w:r>
      <w:r w:rsidRPr="00EB452C">
        <w:rPr>
          <w:i/>
          <w:iCs/>
        </w:rPr>
        <w:t>23 U</w:t>
      </w:r>
      <w:r w:rsidR="00190DCD" w:rsidRPr="00EB452C">
        <w:rPr>
          <w:i/>
          <w:iCs/>
        </w:rPr>
        <w:t>.</w:t>
      </w:r>
      <w:r w:rsidRPr="00EB452C">
        <w:rPr>
          <w:i/>
          <w:iCs/>
        </w:rPr>
        <w:t>S</w:t>
      </w:r>
      <w:r w:rsidR="00190DCD" w:rsidRPr="00EB452C">
        <w:rPr>
          <w:i/>
          <w:iCs/>
        </w:rPr>
        <w:t>.</w:t>
      </w:r>
      <w:r w:rsidRPr="00EB452C">
        <w:rPr>
          <w:i/>
          <w:iCs/>
        </w:rPr>
        <w:t>C</w:t>
      </w:r>
      <w:r w:rsidR="00190DCD" w:rsidRPr="00EB452C">
        <w:rPr>
          <w:i/>
          <w:iCs/>
        </w:rPr>
        <w:t>.</w:t>
      </w:r>
      <w:r w:rsidRPr="00EB452C">
        <w:rPr>
          <w:i/>
          <w:iCs/>
        </w:rPr>
        <w:t xml:space="preserve"> 313</w:t>
      </w:r>
      <w:r>
        <w:t xml:space="preserve"> and in regulation</w:t>
      </w:r>
      <w:r w:rsidRPr="00BA51AA">
        <w:rPr>
          <w:szCs w:val="20"/>
        </w:rPr>
        <w:t xml:space="preserve"> </w:t>
      </w:r>
      <w:r w:rsidRPr="00EB452C">
        <w:rPr>
          <w:i/>
          <w:iCs/>
          <w:szCs w:val="20"/>
        </w:rPr>
        <w:t>23 CFR 635.410</w:t>
      </w:r>
      <w:r>
        <w:rPr>
          <w:szCs w:val="20"/>
        </w:rPr>
        <w:t xml:space="preserve">, </w:t>
      </w:r>
      <w:r w:rsidRPr="00EB452C">
        <w:rPr>
          <w:i/>
          <w:iCs/>
          <w:szCs w:val="20"/>
        </w:rPr>
        <w:t>2 CFR Part 184</w:t>
      </w:r>
      <w:r>
        <w:rPr>
          <w:szCs w:val="20"/>
        </w:rPr>
        <w:t xml:space="preserve">, and </w:t>
      </w:r>
      <w:r w:rsidRPr="00EB452C">
        <w:rPr>
          <w:i/>
          <w:iCs/>
          <w:szCs w:val="20"/>
        </w:rPr>
        <w:t>2 CFR 200.322</w:t>
      </w:r>
      <w:r w:rsidRPr="00BA51AA">
        <w:rPr>
          <w:szCs w:val="20"/>
        </w:rPr>
        <w:t xml:space="preserve">.  FHWA also has issued </w:t>
      </w:r>
      <w:r>
        <w:rPr>
          <w:szCs w:val="20"/>
        </w:rPr>
        <w:t>various guidance documents regarding Buy America.</w:t>
      </w:r>
      <w:r>
        <w:rPr>
          <w:rStyle w:val="FootnoteReference"/>
          <w:szCs w:val="20"/>
        </w:rPr>
        <w:footnoteReference w:id="2"/>
      </w:r>
      <w:r>
        <w:rPr>
          <w:szCs w:val="20"/>
        </w:rPr>
        <w:t xml:space="preserve"> </w:t>
      </w:r>
    </w:p>
    <w:p w14:paraId="05C05FE2" w14:textId="77777777" w:rsidR="005456F3" w:rsidRPr="00BA51AA" w:rsidRDefault="005456F3" w:rsidP="005456F3">
      <w:pPr>
        <w:rPr>
          <w:szCs w:val="20"/>
        </w:rPr>
      </w:pPr>
      <w:r>
        <w:rPr>
          <w:szCs w:val="20"/>
        </w:rPr>
        <w:t xml:space="preserve">Note that the iron and steel requirements of Buy America are also included in </w:t>
      </w:r>
      <w:r w:rsidRPr="00317383">
        <w:rPr>
          <w:i/>
          <w:iCs/>
          <w:szCs w:val="20"/>
        </w:rPr>
        <w:t xml:space="preserve">Texas Transportation Code §223.045 </w:t>
      </w:r>
      <w:r>
        <w:rPr>
          <w:szCs w:val="20"/>
        </w:rPr>
        <w:t xml:space="preserve">and therefore apply even when there are no federal funds associated with a project. </w:t>
      </w:r>
    </w:p>
    <w:p w14:paraId="46F2A8A1" w14:textId="3172B531" w:rsidR="005456F3" w:rsidRDefault="005456F3" w:rsidP="00067493">
      <w:pPr>
        <w:pStyle w:val="Heading2"/>
      </w:pPr>
      <w:r w:rsidRPr="005456F3">
        <w:t>Q2:</w:t>
      </w:r>
      <w:r w:rsidRPr="005456F3">
        <w:tab/>
        <w:t xml:space="preserve">Is Buy America the same as </w:t>
      </w:r>
      <w:r w:rsidR="00F4768D">
        <w:t>Build America, Buy America</w:t>
      </w:r>
      <w:r w:rsidR="00063CA5">
        <w:t xml:space="preserve"> Act (BABA)?</w:t>
      </w:r>
    </w:p>
    <w:p w14:paraId="21F695EC" w14:textId="07D26433" w:rsidR="005456F3" w:rsidRDefault="00BD1042" w:rsidP="005456F3">
      <w:r>
        <w:t xml:space="preserve">No. </w:t>
      </w:r>
      <w:r w:rsidR="005456F3">
        <w:t>Buy America is U</w:t>
      </w:r>
      <w:r w:rsidR="007B00A8">
        <w:t xml:space="preserve">nited </w:t>
      </w:r>
      <w:r w:rsidR="005456F3">
        <w:t>S</w:t>
      </w:r>
      <w:r w:rsidR="007B00A8">
        <w:t xml:space="preserve">tates </w:t>
      </w:r>
      <w:r w:rsidR="005456F3">
        <w:t>D</w:t>
      </w:r>
      <w:r w:rsidR="007B00A8">
        <w:t>epartment of Transportation (USDOT)</w:t>
      </w:r>
      <w:r w:rsidR="005456F3">
        <w:t>-specific and has been in existence for over 40 years</w:t>
      </w:r>
      <w:r>
        <w:t xml:space="preserve">. </w:t>
      </w:r>
      <w:r w:rsidR="005456F3">
        <w:t>“BABA” stands for the “</w:t>
      </w:r>
      <w:r w:rsidR="005456F3" w:rsidRPr="00AA0483">
        <w:rPr>
          <w:i/>
          <w:iCs/>
        </w:rPr>
        <w:t>Build America, Buy America Act</w:t>
      </w:r>
      <w:r w:rsidR="005456F3">
        <w:t>.”  It was part of the Infrastructure Investment and Jobs Act passed in 2021 and expands the requirements of domestic materials beyond just iron and steel products</w:t>
      </w:r>
      <w:r>
        <w:t xml:space="preserve">. </w:t>
      </w:r>
      <w:r w:rsidR="005456F3">
        <w:t xml:space="preserve">Although </w:t>
      </w:r>
      <w:r w:rsidR="005456F3" w:rsidRPr="009E75F9">
        <w:rPr>
          <w:i/>
          <w:iCs/>
        </w:rPr>
        <w:t>BABA</w:t>
      </w:r>
      <w:r w:rsidR="005456F3">
        <w:t xml:space="preserve"> does not directly apply to FHWA projects, FHWA interprets it </w:t>
      </w:r>
      <w:r w:rsidR="0066499B">
        <w:t>a</w:t>
      </w:r>
      <w:r w:rsidR="005456F3">
        <w:t xml:space="preserve">s </w:t>
      </w:r>
      <w:r w:rsidR="005456F3">
        <w:lastRenderedPageBreak/>
        <w:t xml:space="preserve">requiring FHWA’s Buy America program to be </w:t>
      </w:r>
      <w:r>
        <w:t>consistent</w:t>
      </w:r>
      <w:r w:rsidR="005456F3">
        <w:t xml:space="preserve"> with a certain part of </w:t>
      </w:r>
      <w:r w:rsidR="005456F3" w:rsidRPr="002323CB">
        <w:rPr>
          <w:i/>
          <w:iCs/>
        </w:rPr>
        <w:t>BABA</w:t>
      </w:r>
      <w:r w:rsidR="005456F3">
        <w:t>, Section 70914.</w:t>
      </w:r>
      <w:r w:rsidR="005456F3">
        <w:rPr>
          <w:rStyle w:val="FootnoteReference"/>
        </w:rPr>
        <w:footnoteReference w:id="3"/>
      </w:r>
      <w:r w:rsidR="005456F3">
        <w:t xml:space="preserve">  </w:t>
      </w:r>
    </w:p>
    <w:p w14:paraId="0BE239B5" w14:textId="14F78525" w:rsidR="005456F3" w:rsidRDefault="005456F3" w:rsidP="005456F3">
      <w:r>
        <w:t>So, for FHWA projects we follow Buy America (</w:t>
      </w:r>
      <w:r w:rsidRPr="00DE6576">
        <w:rPr>
          <w:i/>
          <w:iCs/>
        </w:rPr>
        <w:t>23 U</w:t>
      </w:r>
      <w:r w:rsidR="00DE6576" w:rsidRPr="00DE6576">
        <w:rPr>
          <w:i/>
          <w:iCs/>
        </w:rPr>
        <w:t>.</w:t>
      </w:r>
      <w:r w:rsidRPr="00DE6576">
        <w:rPr>
          <w:i/>
          <w:iCs/>
        </w:rPr>
        <w:t>S</w:t>
      </w:r>
      <w:r w:rsidR="00DE6576" w:rsidRPr="00DE6576">
        <w:rPr>
          <w:i/>
          <w:iCs/>
        </w:rPr>
        <w:t>.</w:t>
      </w:r>
      <w:r w:rsidRPr="00DE6576">
        <w:rPr>
          <w:i/>
          <w:iCs/>
        </w:rPr>
        <w:t>C</w:t>
      </w:r>
      <w:r w:rsidR="00DE6576" w:rsidRPr="00DE6576">
        <w:rPr>
          <w:i/>
          <w:iCs/>
        </w:rPr>
        <w:t>.</w:t>
      </w:r>
      <w:r w:rsidRPr="00DE6576">
        <w:rPr>
          <w:i/>
          <w:iCs/>
        </w:rPr>
        <w:t xml:space="preserve"> 313</w:t>
      </w:r>
      <w:r>
        <w:t xml:space="preserve">) and Section 70914 of </w:t>
      </w:r>
      <w:r w:rsidRPr="002323CB">
        <w:rPr>
          <w:i/>
          <w:iCs/>
        </w:rPr>
        <w:t>BABA</w:t>
      </w:r>
      <w:r>
        <w:t>.</w:t>
      </w:r>
    </w:p>
    <w:p w14:paraId="7D760C78" w14:textId="77777777" w:rsidR="005456F3" w:rsidRDefault="005456F3" w:rsidP="00067493">
      <w:pPr>
        <w:pStyle w:val="Heading2"/>
      </w:pPr>
      <w:r>
        <w:t>Q3:</w:t>
      </w:r>
      <w:r>
        <w:tab/>
        <w:t>What does NEPA have to do with Buy America?</w:t>
      </w:r>
    </w:p>
    <w:p w14:paraId="19DC1CC9" w14:textId="2C48FB20" w:rsidR="005456F3" w:rsidRDefault="005456F3" w:rsidP="005456F3">
      <w:r>
        <w:t>The Buy America statute refers to the scope of the NEPA document to determine the scope of “the project” that is subject to Buy America requirements:</w:t>
      </w:r>
    </w:p>
    <w:p w14:paraId="7189572B" w14:textId="08CA20ED" w:rsidR="005456F3" w:rsidRDefault="005456F3" w:rsidP="005456F3">
      <w:pPr>
        <w:pStyle w:val="ListParagraph"/>
      </w:pPr>
      <w:r w:rsidRPr="00820021">
        <w:t xml:space="preserve">“The requirements under this section shall apply to all contracts eligible for assistance under this chapter for a project carried out </w:t>
      </w:r>
      <w:r w:rsidRPr="00F84B4F">
        <w:rPr>
          <w:u w:val="single"/>
        </w:rPr>
        <w:t xml:space="preserve">within the scope of the applicable finding, determination, or decision under the </w:t>
      </w:r>
      <w:r w:rsidRPr="001D1AA3">
        <w:rPr>
          <w:i/>
          <w:iCs/>
          <w:u w:val="single"/>
        </w:rPr>
        <w:t>National Environmental Policy Act of 1969</w:t>
      </w:r>
      <w:r w:rsidRPr="00820021">
        <w:t xml:space="preserve"> (</w:t>
      </w:r>
      <w:r w:rsidRPr="00DE6576">
        <w:rPr>
          <w:i/>
          <w:iCs/>
        </w:rPr>
        <w:t xml:space="preserve">42 U.S.C. 4321 </w:t>
      </w:r>
      <w:r w:rsidRPr="00B63BC7">
        <w:rPr>
          <w:i/>
          <w:iCs/>
          <w:noProof/>
          <w:lang w:val="la-Latn"/>
        </w:rPr>
        <w:t>et seq</w:t>
      </w:r>
      <w:r w:rsidR="00BB6DE4" w:rsidRPr="00B63BC7">
        <w:rPr>
          <w:i/>
          <w:iCs/>
          <w:noProof/>
          <w:lang w:val="la-Latn"/>
        </w:rPr>
        <w:t>uentes</w:t>
      </w:r>
      <w:r w:rsidRPr="00820021">
        <w:t>), regardless of the funding source of such contracts, if at least 1 contract for the project is funded with amounts made available to carry out this title.”</w:t>
      </w:r>
      <w:r>
        <w:rPr>
          <w:rStyle w:val="FootnoteReference"/>
          <w:i/>
          <w:iCs/>
        </w:rPr>
        <w:footnoteReference w:id="4"/>
      </w:r>
    </w:p>
    <w:p w14:paraId="30FC28B7" w14:textId="77777777" w:rsidR="005456F3" w:rsidRDefault="005456F3" w:rsidP="005456F3">
      <w:r>
        <w:t>In other words, you look at the project as described in the NEPA document, and if any part of that project is funded with FHWA money, then all of the steel, iron, and manufactured products needed to complete the whole project as described in the NEPA document are subject to Buy</w:t>
      </w:r>
      <w:r w:rsidRPr="002D490F">
        <w:t xml:space="preserve"> America, even if parts of the project will be funded using only state or local funds.  </w:t>
      </w:r>
      <w:r>
        <w:t xml:space="preserve">FHWA has expanded this requirement to include construction materials with the passage of </w:t>
      </w:r>
      <w:r w:rsidRPr="001D1AA3">
        <w:rPr>
          <w:i/>
          <w:iCs/>
        </w:rPr>
        <w:t>BABA</w:t>
      </w:r>
      <w:r>
        <w:t>.</w:t>
      </w:r>
    </w:p>
    <w:p w14:paraId="54AF6FAD" w14:textId="77777777" w:rsidR="0003040F" w:rsidRDefault="0003040F" w:rsidP="00067493">
      <w:pPr>
        <w:pStyle w:val="Heading2"/>
      </w:pPr>
      <w:r>
        <w:lastRenderedPageBreak/>
        <w:t>Q4:</w:t>
      </w:r>
      <w:r>
        <w:tab/>
        <w:t>Why did Congress focus on the scope of the NEPA document to define “the project” for purposes of Buy America?</w:t>
      </w:r>
    </w:p>
    <w:p w14:paraId="695C3436" w14:textId="35D9965C" w:rsidR="0003040F" w:rsidRDefault="0003040F" w:rsidP="0003040F">
      <w:r>
        <w:t xml:space="preserve">Maybe because the project as described in the NEPA document is supposed to have independent utility, </w:t>
      </w:r>
      <w:r w:rsidR="008F6068">
        <w:t>in other word</w:t>
      </w:r>
      <w:r w:rsidR="000C1F3E">
        <w:t>s</w:t>
      </w:r>
      <w:r w:rsidRPr="00E302A4">
        <w:t>,</w:t>
      </w:r>
      <w:r>
        <w:t xml:space="preserve"> be usable and a reasonable expenditure even if no additional transportation improvements in the area are made.</w:t>
      </w:r>
      <w:r>
        <w:rPr>
          <w:rStyle w:val="FootnoteReference"/>
        </w:rPr>
        <w:footnoteReference w:id="5"/>
      </w:r>
      <w:r>
        <w:t xml:space="preserve">  The NEPA document, therefore, provides a convenient definition of all the work that will be needed to implement a complete standalone project.</w:t>
      </w:r>
    </w:p>
    <w:p w14:paraId="76917B58" w14:textId="77777777" w:rsidR="00FB3F6D" w:rsidRDefault="00FB3F6D" w:rsidP="00067493">
      <w:pPr>
        <w:pStyle w:val="Heading2"/>
      </w:pPr>
      <w:r>
        <w:t>Q5:</w:t>
      </w:r>
      <w:r>
        <w:tab/>
        <w:t>If the NEPA or contract document does not specifically mention iron or steel or a specific construction material or manufactured product, can it still be subject to Buy America?</w:t>
      </w:r>
    </w:p>
    <w:p w14:paraId="4635DBF3" w14:textId="13A90497" w:rsidR="00FB3F6D" w:rsidRDefault="00FB3F6D" w:rsidP="00FB3F6D">
      <w:r>
        <w:t>Yes</w:t>
      </w:r>
      <w:r w:rsidR="00BD1042">
        <w:t xml:space="preserve">. </w:t>
      </w:r>
      <w:r>
        <w:t xml:space="preserve">NEPA documents do not typically mention specific products that would be needed to complete the project, so whether the product is mentioned in the NEPA document is not the relevant question. </w:t>
      </w:r>
    </w:p>
    <w:p w14:paraId="1B43D238" w14:textId="2AA99C13" w:rsidR="00FB3F6D" w:rsidRPr="008A3C15" w:rsidRDefault="00FB3F6D" w:rsidP="00067493">
      <w:pPr>
        <w:pStyle w:val="Heading2"/>
      </w:pPr>
      <w:r w:rsidRPr="008A3C15">
        <w:t>Q</w:t>
      </w:r>
      <w:r>
        <w:t>6</w:t>
      </w:r>
      <w:r w:rsidRPr="008A3C15">
        <w:t>:</w:t>
      </w:r>
      <w:r w:rsidRPr="008A3C15">
        <w:tab/>
        <w:t>Can T</w:t>
      </w:r>
      <w:r w:rsidR="00BB4357">
        <w:t>exas Department of Transportation (T</w:t>
      </w:r>
      <w:r w:rsidRPr="008A3C15">
        <w:t>xDOT</w:t>
      </w:r>
      <w:r w:rsidR="00BB4357">
        <w:t>)</w:t>
      </w:r>
      <w:r w:rsidRPr="008A3C15">
        <w:t xml:space="preserve"> avoid Buy America </w:t>
      </w:r>
      <w:r>
        <w:t xml:space="preserve">on a project </w:t>
      </w:r>
      <w:r w:rsidRPr="008A3C15">
        <w:t>by issuing two different environmental clearances</w:t>
      </w:r>
      <w:r>
        <w:t xml:space="preserve"> for two separate projects</w:t>
      </w:r>
      <w:r w:rsidRPr="008A3C15">
        <w:t>, one for an FHWA project under NEPA</w:t>
      </w:r>
      <w:r w:rsidR="00BB4357">
        <w:t>,</w:t>
      </w:r>
      <w:r w:rsidRPr="008A3C15">
        <w:t xml:space="preserve"> and another for a state</w:t>
      </w:r>
      <w:r w:rsidR="00BB4357">
        <w:t xml:space="preserve"> </w:t>
      </w:r>
      <w:r w:rsidRPr="008A3C15">
        <w:t>local-funded project under TxDOT’s environmental review rules?</w:t>
      </w:r>
    </w:p>
    <w:p w14:paraId="13E47920" w14:textId="6806C272" w:rsidR="00FB3F6D" w:rsidRDefault="00FB3F6D" w:rsidP="00FB3F6D">
      <w:r>
        <w:t>Only if the FHWA project would have logical termini and meet the independent utility criterion mentioned above and the two projects really are standalone separate projects</w:t>
      </w:r>
      <w:r w:rsidR="00BD1042">
        <w:t xml:space="preserve">. </w:t>
      </w:r>
      <w:r>
        <w:lastRenderedPageBreak/>
        <w:t>If the FHWA project would require completion of the state</w:t>
      </w:r>
      <w:r w:rsidR="005A0BEE">
        <w:t xml:space="preserve"> </w:t>
      </w:r>
      <w:r>
        <w:t xml:space="preserve">local-funded project </w:t>
      </w:r>
      <w:r w:rsidR="00D11322">
        <w:t>to</w:t>
      </w:r>
      <w:r>
        <w:t xml:space="preserve"> have logical termini or be usable and a reasonable expenditure, then it cannot be evaluated on its own in a NEPA document separate from the state</w:t>
      </w:r>
      <w:r w:rsidR="005A0BEE">
        <w:t xml:space="preserve"> </w:t>
      </w:r>
      <w:r>
        <w:t>local-funded project.</w:t>
      </w:r>
    </w:p>
    <w:p w14:paraId="3F077EBE" w14:textId="7F751D9E" w:rsidR="00FB3F6D" w:rsidRPr="00196511" w:rsidRDefault="00FB3F6D" w:rsidP="00FB3F6D">
      <w:r>
        <w:t>(Note that even if the two projects could stand on their own, the state</w:t>
      </w:r>
      <w:r w:rsidR="005A0BEE">
        <w:t xml:space="preserve"> </w:t>
      </w:r>
      <w:r>
        <w:t xml:space="preserve">local-funded project would still be subject to the iron and steel Buy America requirements incorporated in state statutes at </w:t>
      </w:r>
      <w:r w:rsidRPr="00935000">
        <w:rPr>
          <w:i/>
          <w:iCs/>
        </w:rPr>
        <w:t>Texas Transportation Code §223.045</w:t>
      </w:r>
      <w:r>
        <w:t>.)</w:t>
      </w:r>
    </w:p>
    <w:p w14:paraId="29D40BC0" w14:textId="1464F06C" w:rsidR="00791127" w:rsidRDefault="00791127" w:rsidP="00067493">
      <w:pPr>
        <w:pStyle w:val="Heading2"/>
      </w:pPr>
      <w:r w:rsidRPr="00DA67FA">
        <w:t>Q7:</w:t>
      </w:r>
      <w:r>
        <w:tab/>
        <w:t>Can TxDOT avoid Buy America by creating a CSJ with only state</w:t>
      </w:r>
      <w:r w:rsidR="005A0BEE">
        <w:t xml:space="preserve"> </w:t>
      </w:r>
      <w:r>
        <w:t xml:space="preserve">local funding that is separate from the other FHWA-funded CSJs that are needed for the project? </w:t>
      </w:r>
    </w:p>
    <w:p w14:paraId="46D39CCA" w14:textId="66E09EDA" w:rsidR="00791127" w:rsidRDefault="00791127" w:rsidP="00791127">
      <w:r>
        <w:t xml:space="preserve">No, if the materials are needed for construction of the project as described in the NEPA document, then they are subject to Buy America regardless of which </w:t>
      </w:r>
      <w:r w:rsidR="005A0BEE">
        <w:t>C</w:t>
      </w:r>
      <w:r w:rsidR="004A1071">
        <w:t>ontrol-</w:t>
      </w:r>
      <w:r w:rsidR="005A0BEE">
        <w:t>S</w:t>
      </w:r>
      <w:r w:rsidR="004A1071">
        <w:t>ection-</w:t>
      </w:r>
      <w:r w:rsidR="005A0BEE">
        <w:t>J</w:t>
      </w:r>
      <w:r w:rsidR="004A1071">
        <w:t>ob (</w:t>
      </w:r>
      <w:r w:rsidR="004A1071" w:rsidRPr="00B47514">
        <w:t>CSJ</w:t>
      </w:r>
      <w:r w:rsidR="004A1071">
        <w:t>)</w:t>
      </w:r>
      <w:r w:rsidR="004A1071" w:rsidRPr="00B47514">
        <w:t xml:space="preserve"> </w:t>
      </w:r>
      <w:r>
        <w:t xml:space="preserve">they fall under. </w:t>
      </w:r>
    </w:p>
    <w:p w14:paraId="3F32DBA2" w14:textId="77777777" w:rsidR="00791127" w:rsidRDefault="00791127" w:rsidP="00067493">
      <w:pPr>
        <w:pStyle w:val="Heading2"/>
      </w:pPr>
      <w:r>
        <w:t>Q8:</w:t>
      </w:r>
      <w:r>
        <w:tab/>
        <w:t>What if a NEPA document is prepared for a project because it was assumed to have federal funding, but then the whole project ends up using only state funding?</w:t>
      </w:r>
    </w:p>
    <w:p w14:paraId="1D209F0F" w14:textId="23C6CC4E" w:rsidR="00791127" w:rsidRPr="0095241B" w:rsidRDefault="00791127" w:rsidP="00791127">
      <w:r w:rsidRPr="00791127">
        <w:t>If no FHWA money is used on any part of the project, then none of it is subject to FHWA’s Buy America requirements, even if it was previously assumed to have federal funding and therefore was federally cleared under NEPA</w:t>
      </w:r>
      <w:r w:rsidR="00BD1042" w:rsidRPr="00791127">
        <w:t xml:space="preserve">. </w:t>
      </w:r>
      <w:r w:rsidRPr="00791127">
        <w:t>The key consideration is</w:t>
      </w:r>
      <w:r>
        <w:t xml:space="preserve"> </w:t>
      </w:r>
      <w:r w:rsidRPr="00791127">
        <w:t>whether at least “1 contract for the project is funded with amounts made available to carry out this title [</w:t>
      </w:r>
      <w:r w:rsidRPr="005A60F2">
        <w:rPr>
          <w:i/>
          <w:iCs/>
        </w:rPr>
        <w:t>23 of the U.S.</w:t>
      </w:r>
      <w:r w:rsidR="004A1071" w:rsidRPr="005A60F2">
        <w:rPr>
          <w:i/>
          <w:iCs/>
        </w:rPr>
        <w:t>C.</w:t>
      </w:r>
      <w:r w:rsidRPr="00791127">
        <w:t>].”  If so, then the whole project must comply with the FHWA’s Buy America requirements</w:t>
      </w:r>
      <w:r w:rsidR="00BD1042" w:rsidRPr="00791127">
        <w:t xml:space="preserve">. </w:t>
      </w:r>
      <w:r w:rsidRPr="00791127">
        <w:t xml:space="preserve">But if no contract for the project is </w:t>
      </w:r>
      <w:r w:rsidR="004A1071" w:rsidRPr="00791127">
        <w:t>funded</w:t>
      </w:r>
      <w:r w:rsidRPr="00791127">
        <w:t xml:space="preserve"> with FHWA money, then FHWA’s Buy America requirements relating to construction material and manufactured products do not apply, regardless of what the funding assumption was at the time of NEPA clearance.</w:t>
      </w:r>
    </w:p>
    <w:p w14:paraId="10E9B8CE" w14:textId="2565B274" w:rsidR="008905E4" w:rsidRPr="005B4EE8" w:rsidRDefault="008905E4" w:rsidP="00067493">
      <w:pPr>
        <w:pStyle w:val="Heading2"/>
      </w:pPr>
      <w:r>
        <w:lastRenderedPageBreak/>
        <w:t>Q9:</w:t>
      </w:r>
      <w:r>
        <w:tab/>
        <w:t>Impacts from re-installation of displaced utilities outside the highway right-of-way are not evaluated in a TxDOT E</w:t>
      </w:r>
      <w:r w:rsidR="00AB7E4F">
        <w:t xml:space="preserve">nvironmental </w:t>
      </w:r>
      <w:r>
        <w:t>A</w:t>
      </w:r>
      <w:r w:rsidR="00AB7E4F">
        <w:t>ssessment</w:t>
      </w:r>
      <w:r>
        <w:t xml:space="preserve"> or E</w:t>
      </w:r>
      <w:r w:rsidR="00AB7E4F">
        <w:t xml:space="preserve">nvironmental </w:t>
      </w:r>
      <w:r>
        <w:t>I</w:t>
      </w:r>
      <w:r w:rsidR="00AB7E4F">
        <w:t xml:space="preserve">mpact </w:t>
      </w:r>
      <w:r>
        <w:t>S</w:t>
      </w:r>
      <w:r w:rsidR="00AB7E4F">
        <w:t>tatement</w:t>
      </w:r>
      <w:r w:rsidR="00BD1042">
        <w:t xml:space="preserve">. </w:t>
      </w:r>
      <w:r w:rsidR="00277718">
        <w:t>So,</w:t>
      </w:r>
      <w:r>
        <w:t xml:space="preserve"> does that mean off-right-of-way utility relocations are excluded from Buy America requirements?</w:t>
      </w:r>
    </w:p>
    <w:p w14:paraId="716382E3" w14:textId="30F92271" w:rsidR="008905E4" w:rsidRDefault="00BD1042" w:rsidP="008905E4">
      <w:r>
        <w:t xml:space="preserve">No. </w:t>
      </w:r>
      <w:r w:rsidR="008905E4">
        <w:t>According to FHWA guidance, all utility relocations are subject to Buy America requirements (unless State law prohibits the State from reimbursing the utility).</w:t>
      </w:r>
      <w:r w:rsidR="008905E4">
        <w:rPr>
          <w:rStyle w:val="FootnoteReference"/>
        </w:rPr>
        <w:footnoteReference w:id="6"/>
      </w:r>
      <w:r w:rsidR="008905E4">
        <w:t xml:space="preserve">  </w:t>
      </w:r>
    </w:p>
    <w:p w14:paraId="7E073F64" w14:textId="212F8D73" w:rsidR="00067493" w:rsidRDefault="008905E4" w:rsidP="0015069F">
      <w:r>
        <w:t xml:space="preserve">TxDOT has previously offered that because we do not evaluate off-right-way utility relocations in our NEPA documents they are not “within the scope of the applicable finding, determination, or decision under the </w:t>
      </w:r>
      <w:r w:rsidRPr="00BE72CE">
        <w:rPr>
          <w:i/>
          <w:iCs/>
        </w:rPr>
        <w:t>National Environmental Policy Act of 1969</w:t>
      </w:r>
      <w:r>
        <w:t>,”</w:t>
      </w:r>
      <w:r>
        <w:rPr>
          <w:rStyle w:val="FootnoteReference"/>
        </w:rPr>
        <w:footnoteReference w:id="7"/>
      </w:r>
      <w:r>
        <w:t xml:space="preserve"> and therefore should be excluded from Buy America</w:t>
      </w:r>
      <w:r w:rsidR="00BD1042">
        <w:t xml:space="preserve">. </w:t>
      </w:r>
      <w:r>
        <w:t>However, FHWA has taken the position that the utility relocations are nevertheless subject to Buy America per FHWA guidance.</w:t>
      </w:r>
    </w:p>
    <w:p w14:paraId="7863C67E" w14:textId="77777777" w:rsidR="00067493" w:rsidRDefault="00067493">
      <w:pPr>
        <w:spacing w:after="0" w:line="240" w:lineRule="auto"/>
      </w:pPr>
      <w:r>
        <w:br w:type="page"/>
      </w:r>
    </w:p>
    <w:p w14:paraId="7C6CB195" w14:textId="460AEF6A" w:rsidR="004E0520" w:rsidRPr="004E0520" w:rsidRDefault="005D638D" w:rsidP="004E0520">
      <w:pPr>
        <w:pStyle w:val="Heading2"/>
      </w:pPr>
      <w:r w:rsidRPr="00067493">
        <w:lastRenderedPageBreak/>
        <w:t>Revision History</w:t>
      </w:r>
      <w:r w:rsidR="004E0520">
        <w:t>: Buy America and NEPA Act F</w:t>
      </w:r>
      <w:r w:rsidR="00461A3A">
        <w:t>requently Asked Questions</w:t>
      </w:r>
    </w:p>
    <w:p w14:paraId="148685B4" w14:textId="755C2BA2" w:rsidR="00277718" w:rsidRPr="00541C3C" w:rsidRDefault="00277718" w:rsidP="00277718">
      <w:pPr>
        <w:pStyle w:val="Caption"/>
        <w:keepNext/>
        <w:rPr>
          <w:b/>
          <w:bCs/>
          <w:sz w:val="24"/>
          <w:szCs w:val="24"/>
        </w:rPr>
      </w:pPr>
      <w:r w:rsidRPr="00541C3C">
        <w:rPr>
          <w:b/>
          <w:bCs/>
          <w:sz w:val="24"/>
          <w:szCs w:val="24"/>
        </w:rPr>
        <w:t xml:space="preserve">Table </w:t>
      </w:r>
      <w:r w:rsidRPr="00541C3C">
        <w:rPr>
          <w:b/>
          <w:bCs/>
          <w:sz w:val="24"/>
          <w:szCs w:val="24"/>
        </w:rPr>
        <w:fldChar w:fldCharType="begin"/>
      </w:r>
      <w:r w:rsidRPr="00541C3C">
        <w:rPr>
          <w:b/>
          <w:bCs/>
          <w:sz w:val="24"/>
          <w:szCs w:val="24"/>
        </w:rPr>
        <w:instrText xml:space="preserve"> SEQ Table \* ARABIC </w:instrText>
      </w:r>
      <w:r w:rsidRPr="00541C3C">
        <w:rPr>
          <w:b/>
          <w:bCs/>
          <w:sz w:val="24"/>
          <w:szCs w:val="24"/>
        </w:rPr>
        <w:fldChar w:fldCharType="separate"/>
      </w:r>
      <w:r w:rsidRPr="00541C3C">
        <w:rPr>
          <w:b/>
          <w:bCs/>
          <w:noProof/>
          <w:sz w:val="24"/>
          <w:szCs w:val="24"/>
        </w:rPr>
        <w:t>1</w:t>
      </w:r>
      <w:r w:rsidRPr="00541C3C">
        <w:rPr>
          <w:b/>
          <w:bCs/>
          <w:sz w:val="24"/>
          <w:szCs w:val="24"/>
        </w:rPr>
        <w:fldChar w:fldCharType="end"/>
      </w:r>
      <w:r w:rsidRPr="00541C3C">
        <w:rPr>
          <w:b/>
          <w:bCs/>
          <w:sz w:val="24"/>
          <w:szCs w:val="24"/>
        </w:rPr>
        <w:t xml:space="preserve"> Document Revision History</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8365"/>
      </w:tblGrid>
      <w:tr w:rsidR="003F3CC1" w14:paraId="455DCE5F" w14:textId="77777777" w:rsidTr="00B212C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425" w:type="dxa"/>
            <w:tcBorders>
              <w:bottom w:val="none" w:sz="0" w:space="0" w:color="auto"/>
              <w:right w:val="none" w:sz="0" w:space="0" w:color="auto"/>
            </w:tcBorders>
          </w:tcPr>
          <w:p w14:paraId="21BDD3C3" w14:textId="168AB130" w:rsidR="003F3CC1" w:rsidRPr="00A07348" w:rsidRDefault="003F3CC1" w:rsidP="005D638D">
            <w:pPr>
              <w:rPr>
                <w:color w:val="FFFFFF" w:themeColor="background1"/>
              </w:rPr>
            </w:pPr>
            <w:r w:rsidRPr="00A07348">
              <w:rPr>
                <w:color w:val="FFFFFF" w:themeColor="background1"/>
              </w:rPr>
              <w:t xml:space="preserve">Effective </w:t>
            </w:r>
            <w:r w:rsidR="002A12D5" w:rsidRPr="00A07348">
              <w:rPr>
                <w:color w:val="FFFFFF" w:themeColor="background1"/>
              </w:rPr>
              <w:t>d</w:t>
            </w:r>
            <w:r w:rsidRPr="00A07348">
              <w:rPr>
                <w:color w:val="FFFFFF" w:themeColor="background1"/>
              </w:rPr>
              <w:t>ate</w:t>
            </w:r>
            <w:r w:rsidR="002A12D5" w:rsidRPr="00A07348">
              <w:rPr>
                <w:color w:val="FFFFFF" w:themeColor="background1"/>
              </w:rPr>
              <w:t xml:space="preserve"> (month year)</w:t>
            </w:r>
          </w:p>
        </w:tc>
        <w:tc>
          <w:tcPr>
            <w:tcW w:w="8365" w:type="dxa"/>
          </w:tcPr>
          <w:p w14:paraId="0A71A89A" w14:textId="2E903A17" w:rsidR="003F3CC1" w:rsidRPr="00A07348" w:rsidRDefault="002A12D5" w:rsidP="005D638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07348">
              <w:rPr>
                <w:color w:val="FFFFFF" w:themeColor="background1"/>
              </w:rPr>
              <w:t>Reason for and description of change</w:t>
            </w:r>
          </w:p>
        </w:tc>
      </w:tr>
      <w:tr w:rsidR="003F3CC1" w14:paraId="52E645DF" w14:textId="77777777" w:rsidTr="00B212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25" w:type="dxa"/>
            <w:tcBorders>
              <w:top w:val="none" w:sz="0" w:space="0" w:color="auto"/>
              <w:bottom w:val="none" w:sz="0" w:space="0" w:color="auto"/>
              <w:right w:val="none" w:sz="0" w:space="0" w:color="auto"/>
            </w:tcBorders>
          </w:tcPr>
          <w:p w14:paraId="3AC2F5B8" w14:textId="3E218FF9" w:rsidR="003F3CC1" w:rsidRPr="00A07348" w:rsidRDefault="00277718" w:rsidP="005D638D">
            <w:pPr>
              <w:rPr>
                <w:b w:val="0"/>
                <w:bCs w:val="0"/>
              </w:rPr>
            </w:pPr>
            <w:r>
              <w:rPr>
                <w:b w:val="0"/>
                <w:bCs w:val="0"/>
              </w:rPr>
              <w:t>January 2026</w:t>
            </w:r>
          </w:p>
        </w:tc>
        <w:tc>
          <w:tcPr>
            <w:tcW w:w="8365" w:type="dxa"/>
            <w:tcBorders>
              <w:top w:val="none" w:sz="0" w:space="0" w:color="auto"/>
              <w:bottom w:val="none" w:sz="0" w:space="0" w:color="auto"/>
            </w:tcBorders>
          </w:tcPr>
          <w:p w14:paraId="79261F73" w14:textId="34882942" w:rsidR="003F3CC1" w:rsidRDefault="002A12D5" w:rsidP="005D638D">
            <w:pPr>
              <w:cnfStyle w:val="000000100000" w:firstRow="0" w:lastRow="0" w:firstColumn="0" w:lastColumn="0" w:oddVBand="0" w:evenVBand="0" w:oddHBand="1" w:evenHBand="0" w:firstRowFirstColumn="0" w:firstRowLastColumn="0" w:lastRowFirstColumn="0" w:lastRowLastColumn="0"/>
            </w:pPr>
            <w:r>
              <w:t>Version 1</w:t>
            </w:r>
          </w:p>
          <w:p w14:paraId="64595A33" w14:textId="3C885807" w:rsidR="00256169" w:rsidRDefault="00CA115B" w:rsidP="00256169">
            <w:pPr>
              <w:pStyle w:val="ListBullet"/>
              <w:cnfStyle w:val="000000100000" w:firstRow="0" w:lastRow="0" w:firstColumn="0" w:lastColumn="0" w:oddVBand="0" w:evenVBand="0" w:oddHBand="1" w:evenHBand="0" w:firstRowFirstColumn="0" w:firstRowLastColumn="0" w:lastRowFirstColumn="0" w:lastRowLastColumn="0"/>
            </w:pPr>
            <w:r>
              <w:t>Created FAQ to address questions regarding Buy America and NEPA applicability on transportation projects.</w:t>
            </w:r>
          </w:p>
        </w:tc>
      </w:tr>
    </w:tbl>
    <w:p w14:paraId="673249EA" w14:textId="77777777" w:rsidR="003F3CC1" w:rsidRPr="005D638D" w:rsidRDefault="003F3CC1" w:rsidP="00781A58"/>
    <w:sectPr w:rsidR="003F3CC1" w:rsidRPr="005D638D" w:rsidSect="0010454F">
      <w:headerReference w:type="default" r:id="rId11"/>
      <w:foot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C8BC" w14:textId="77777777" w:rsidR="009753F6" w:rsidRDefault="009753F6" w:rsidP="00CE2B96">
      <w:pPr>
        <w:spacing w:after="0"/>
      </w:pPr>
      <w:r>
        <w:separator/>
      </w:r>
    </w:p>
  </w:endnote>
  <w:endnote w:type="continuationSeparator" w:id="0">
    <w:p w14:paraId="486552BF" w14:textId="77777777" w:rsidR="009753F6" w:rsidRDefault="009753F6" w:rsidP="00CE2B96">
      <w:pPr>
        <w:spacing w:after="0"/>
      </w:pPr>
      <w:r>
        <w:continuationSeparator/>
      </w:r>
    </w:p>
  </w:endnote>
  <w:endnote w:type="continuationNotice" w:id="1">
    <w:p w14:paraId="733F84BB" w14:textId="77777777" w:rsidR="009753F6" w:rsidRDefault="00975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4EB2" w14:textId="5AE36BD8" w:rsidR="00E15D9F" w:rsidRPr="00A07068" w:rsidRDefault="00C02127" w:rsidP="0010454F">
    <w:pPr>
      <w:pStyle w:val="Footer"/>
      <w:spacing w:before="360" w:line="360" w:lineRule="auto"/>
      <w:jc w:val="right"/>
      <w:rPr>
        <w:b/>
        <w:bCs/>
        <w:color w:val="0056A9"/>
      </w:rPr>
    </w:pPr>
    <w:r w:rsidRPr="00781A58">
      <w:rPr>
        <w:noProof/>
      </w:rPr>
      <mc:AlternateContent>
        <mc:Choice Requires="wps">
          <w:drawing>
            <wp:anchor distT="0" distB="0" distL="114300" distR="114300" simplePos="0" relativeHeight="251658240" behindDoc="0" locked="0" layoutInCell="1" allowOverlap="1" wp14:anchorId="1A02EBE3" wp14:editId="676FA486">
              <wp:simplePos x="0" y="0"/>
              <wp:positionH relativeFrom="margin">
                <wp:align>right</wp:align>
              </wp:positionH>
              <wp:positionV relativeFrom="paragraph">
                <wp:posOffset>12065</wp:posOffset>
              </wp:positionV>
              <wp:extent cx="5971032" cy="0"/>
              <wp:effectExtent l="0" t="0" r="0" b="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539F0C" id="_x0000_t32" coordsize="21600,21600" o:spt="32" o:oned="t" path="m,l21600,21600e" filled="f">
              <v:path arrowok="t" fillok="f" o:connecttype="none"/>
              <o:lock v:ext="edit" shapetype="t"/>
            </v:shapetype>
            <v:shape id="AutoShape 12" o:spid="_x0000_s1026" type="#_x0000_t32" alt="&quot;&quot;" style="position:absolute;margin-left:418.95pt;margin-top:.95pt;width:470.15pt;height:0;flip:x;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" strokecolor="#d81f26">
              <w10:wrap anchorx="margin"/>
            </v:shape>
          </w:pict>
        </mc:Fallback>
      </mc:AlternateContent>
    </w:r>
    <w:r w:rsidR="00191AFD" w:rsidRPr="00781A58">
      <w:rPr>
        <w:color w:val="0056A9"/>
      </w:rPr>
      <w:t xml:space="preserve">Buy America and </w:t>
    </w:r>
    <w:r w:rsidR="00760B89">
      <w:rPr>
        <w:color w:val="0056A9"/>
      </w:rPr>
      <w:t xml:space="preserve">the </w:t>
    </w:r>
    <w:r w:rsidR="00191AFD" w:rsidRPr="00781A58">
      <w:rPr>
        <w:color w:val="0056A9"/>
      </w:rPr>
      <w:t>National Environmental Policy Act Frequently Asked Questions</w:t>
    </w:r>
    <w:r w:rsidR="00C10F1E" w:rsidRPr="00C10F1E">
      <w:rPr>
        <w:b/>
        <w:bCs/>
        <w:color w:val="0056A9"/>
      </w:rPr>
      <w:t xml:space="preserve"> </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43EE65E6" w14:textId="403C4FF5"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C58F" w14:textId="77777777" w:rsidR="009753F6" w:rsidRDefault="009753F6" w:rsidP="00CE2B96">
      <w:pPr>
        <w:spacing w:after="0"/>
      </w:pPr>
      <w:r>
        <w:separator/>
      </w:r>
    </w:p>
  </w:footnote>
  <w:footnote w:type="continuationSeparator" w:id="0">
    <w:p w14:paraId="33102EAB" w14:textId="77777777" w:rsidR="009753F6" w:rsidRDefault="009753F6" w:rsidP="00CE2B96">
      <w:pPr>
        <w:spacing w:after="0"/>
      </w:pPr>
      <w:r>
        <w:continuationSeparator/>
      </w:r>
    </w:p>
  </w:footnote>
  <w:footnote w:type="continuationNotice" w:id="1">
    <w:p w14:paraId="07E03828" w14:textId="77777777" w:rsidR="009753F6" w:rsidRDefault="009753F6">
      <w:pPr>
        <w:spacing w:after="0" w:line="240" w:lineRule="auto"/>
      </w:pPr>
    </w:p>
  </w:footnote>
  <w:footnote w:id="2">
    <w:p w14:paraId="402B1A46" w14:textId="3A75C032" w:rsidR="005456F3" w:rsidRPr="00090309" w:rsidRDefault="00D641FB" w:rsidP="00760B89">
      <w:pPr>
        <w:pStyle w:val="FootnoteText"/>
        <w:spacing w:line="360" w:lineRule="auto"/>
        <w:rPr>
          <w:rFonts w:ascii="Verdana" w:hAnsi="Verdana"/>
          <w:sz w:val="24"/>
          <w:szCs w:val="24"/>
        </w:rPr>
      </w:pPr>
      <w:r w:rsidRPr="00090309">
        <w:rPr>
          <w:rStyle w:val="FootnoteReference"/>
          <w:rFonts w:ascii="Verdana" w:hAnsi="Verdana"/>
          <w:sz w:val="24"/>
          <w:szCs w:val="24"/>
        </w:rPr>
        <w:footnoteRef/>
      </w:r>
      <w:r w:rsidRPr="00090309">
        <w:rPr>
          <w:rFonts w:ascii="Verdana" w:hAnsi="Verdana"/>
          <w:sz w:val="24"/>
          <w:szCs w:val="24"/>
        </w:rPr>
        <w:t xml:space="preserve"> </w:t>
      </w:r>
      <w:hyperlink r:id="rId1" w:history="1">
        <w:r w:rsidRPr="00090309">
          <w:rPr>
            <w:rStyle w:val="Hyperlink"/>
            <w:rFonts w:ascii="Verdana" w:hAnsi="Verdana"/>
            <w:sz w:val="24"/>
            <w:szCs w:val="24"/>
          </w:rPr>
          <w:t>Federal Highway Administration Construction Program Guide Buy America</w:t>
        </w:r>
      </w:hyperlink>
      <w:r w:rsidR="00E33825" w:rsidRPr="00090309">
        <w:rPr>
          <w:rFonts w:ascii="Verdana" w:hAnsi="Verdana"/>
          <w:sz w:val="24"/>
          <w:szCs w:val="24"/>
        </w:rPr>
        <w:t xml:space="preserve"> website</w:t>
      </w:r>
      <w:r w:rsidR="002805FC" w:rsidRPr="00090309">
        <w:rPr>
          <w:rFonts w:ascii="Verdana" w:hAnsi="Verdana"/>
          <w:sz w:val="24"/>
          <w:szCs w:val="24"/>
        </w:rPr>
        <w:t>.</w:t>
      </w:r>
    </w:p>
  </w:footnote>
  <w:footnote w:id="3">
    <w:p w14:paraId="00CC865C" w14:textId="198E7962" w:rsidR="005456F3" w:rsidRPr="00A166DE" w:rsidRDefault="00E47D85" w:rsidP="00760B89">
      <w:pPr>
        <w:pStyle w:val="FootnoteText"/>
        <w:spacing w:line="360" w:lineRule="auto"/>
        <w:rPr>
          <w:rFonts w:asciiTheme="minorHAnsi" w:hAnsiTheme="minorHAnsi"/>
        </w:rPr>
      </w:pPr>
      <w:r w:rsidRPr="00760B89">
        <w:rPr>
          <w:rStyle w:val="FootnoteReference"/>
          <w:rFonts w:ascii="Verdana" w:hAnsi="Verdana"/>
          <w:sz w:val="24"/>
          <w:szCs w:val="24"/>
        </w:rPr>
        <w:footnoteRef/>
      </w:r>
      <w:r w:rsidRPr="00760B89">
        <w:rPr>
          <w:rFonts w:ascii="Verdana" w:hAnsi="Verdana"/>
          <w:sz w:val="24"/>
          <w:szCs w:val="24"/>
        </w:rPr>
        <w:t xml:space="preserve"> FHWA’s notice of proposed rulemaking, “</w:t>
      </w:r>
      <w:r w:rsidRPr="00E5633C">
        <w:rPr>
          <w:rFonts w:ascii="Verdana" w:hAnsi="Verdana"/>
          <w:i/>
          <w:iCs/>
          <w:sz w:val="24"/>
          <w:szCs w:val="24"/>
        </w:rPr>
        <w:t>Buy America Requirements for Manufactured Products</w:t>
      </w:r>
      <w:r w:rsidRPr="00760B89">
        <w:rPr>
          <w:rFonts w:ascii="Verdana" w:hAnsi="Verdana"/>
          <w:sz w:val="24"/>
          <w:szCs w:val="24"/>
        </w:rPr>
        <w:t xml:space="preserve">,” </w:t>
      </w:r>
      <w:r w:rsidRPr="00935000">
        <w:rPr>
          <w:rFonts w:ascii="Verdana" w:hAnsi="Verdana"/>
          <w:i/>
          <w:iCs/>
          <w:sz w:val="24"/>
          <w:szCs w:val="24"/>
        </w:rPr>
        <w:t>89 Federal Register 17789</w:t>
      </w:r>
      <w:r w:rsidRPr="00760B89">
        <w:rPr>
          <w:rFonts w:ascii="Verdana" w:hAnsi="Verdana"/>
          <w:sz w:val="24"/>
          <w:szCs w:val="24"/>
        </w:rPr>
        <w:t xml:space="preserve"> (March 12, 2024) at 17790, left-hand column</w:t>
      </w:r>
      <w:r w:rsidR="002805FC" w:rsidRPr="00760B89">
        <w:rPr>
          <w:rFonts w:ascii="Verdana" w:hAnsi="Verdana"/>
          <w:sz w:val="24"/>
          <w:szCs w:val="24"/>
        </w:rPr>
        <w:t>.</w:t>
      </w:r>
    </w:p>
  </w:footnote>
  <w:footnote w:id="4">
    <w:p w14:paraId="3CE203AF" w14:textId="09D35276" w:rsidR="005456F3" w:rsidRPr="00760B89" w:rsidRDefault="005456F3" w:rsidP="00760B89">
      <w:pPr>
        <w:pStyle w:val="FootnoteText"/>
        <w:spacing w:line="360" w:lineRule="auto"/>
        <w:rPr>
          <w:rFonts w:asciiTheme="minorHAnsi" w:hAnsiTheme="minorHAnsi"/>
          <w:sz w:val="24"/>
          <w:szCs w:val="24"/>
        </w:rPr>
      </w:pPr>
      <w:r w:rsidRPr="00760B89">
        <w:rPr>
          <w:rStyle w:val="FootnoteReference"/>
          <w:rFonts w:asciiTheme="minorHAnsi" w:hAnsiTheme="minorHAnsi"/>
          <w:sz w:val="24"/>
          <w:szCs w:val="24"/>
        </w:rPr>
        <w:footnoteRef/>
      </w:r>
      <w:r w:rsidRPr="00760B89">
        <w:rPr>
          <w:rFonts w:asciiTheme="minorHAnsi" w:hAnsiTheme="minorHAnsi"/>
          <w:sz w:val="24"/>
          <w:szCs w:val="24"/>
        </w:rPr>
        <w:t xml:space="preserve"> </w:t>
      </w:r>
      <w:r w:rsidRPr="00935000">
        <w:rPr>
          <w:rFonts w:asciiTheme="minorHAnsi" w:hAnsiTheme="minorHAnsi"/>
          <w:i/>
          <w:iCs/>
          <w:sz w:val="24"/>
          <w:szCs w:val="24"/>
        </w:rPr>
        <w:t>23 USC 313(h)</w:t>
      </w:r>
      <w:r w:rsidR="002805FC" w:rsidRPr="00760B89">
        <w:rPr>
          <w:rFonts w:asciiTheme="minorHAnsi" w:hAnsiTheme="minorHAnsi"/>
          <w:sz w:val="24"/>
          <w:szCs w:val="24"/>
        </w:rPr>
        <w:t>.</w:t>
      </w:r>
    </w:p>
  </w:footnote>
  <w:footnote w:id="5">
    <w:p w14:paraId="114BD8D5" w14:textId="2F42E3D5" w:rsidR="0003040F" w:rsidRPr="0066499B" w:rsidRDefault="0003040F" w:rsidP="0066499B">
      <w:pPr>
        <w:pStyle w:val="FootnoteText"/>
        <w:spacing w:line="360" w:lineRule="auto"/>
        <w:rPr>
          <w:rFonts w:ascii="Verdana" w:hAnsi="Verdana"/>
        </w:rPr>
      </w:pPr>
      <w:r w:rsidRPr="0066499B">
        <w:rPr>
          <w:rStyle w:val="FootnoteReference"/>
          <w:rFonts w:ascii="Verdana" w:hAnsi="Verdana"/>
          <w:sz w:val="24"/>
          <w:szCs w:val="24"/>
        </w:rPr>
        <w:footnoteRef/>
      </w:r>
      <w:r w:rsidRPr="0066499B">
        <w:rPr>
          <w:rFonts w:ascii="Verdana" w:hAnsi="Verdana"/>
          <w:sz w:val="24"/>
          <w:szCs w:val="24"/>
        </w:rPr>
        <w:t xml:space="preserve"> </w:t>
      </w:r>
      <w:r w:rsidRPr="00E21DD9">
        <w:rPr>
          <w:rFonts w:ascii="Verdana" w:hAnsi="Verdana"/>
          <w:i/>
          <w:iCs/>
          <w:sz w:val="24"/>
          <w:szCs w:val="24"/>
        </w:rPr>
        <w:t>23 CFR 771.111(f)(2)</w:t>
      </w:r>
      <w:r w:rsidR="002805FC" w:rsidRPr="0066499B">
        <w:rPr>
          <w:rFonts w:ascii="Verdana" w:hAnsi="Verdana"/>
          <w:sz w:val="24"/>
          <w:szCs w:val="24"/>
        </w:rPr>
        <w:t>.</w:t>
      </w:r>
    </w:p>
  </w:footnote>
  <w:footnote w:id="6">
    <w:p w14:paraId="51E95169" w14:textId="26A8D7B5" w:rsidR="008905E4" w:rsidRPr="0015069F" w:rsidRDefault="008905E4" w:rsidP="00760B89">
      <w:pPr>
        <w:pStyle w:val="FootnoteText"/>
        <w:spacing w:line="360" w:lineRule="auto"/>
        <w:rPr>
          <w:rFonts w:ascii="Verdana" w:hAnsi="Verdana"/>
          <w:sz w:val="24"/>
          <w:szCs w:val="24"/>
        </w:rPr>
      </w:pPr>
      <w:r w:rsidRPr="0015069F">
        <w:rPr>
          <w:rStyle w:val="FootnoteReference"/>
          <w:rFonts w:ascii="Verdana" w:hAnsi="Verdana"/>
          <w:sz w:val="24"/>
          <w:szCs w:val="24"/>
        </w:rPr>
        <w:footnoteRef/>
      </w:r>
      <w:r w:rsidRPr="0015069F">
        <w:rPr>
          <w:rFonts w:ascii="Verdana" w:hAnsi="Verdana"/>
          <w:sz w:val="24"/>
          <w:szCs w:val="24"/>
        </w:rPr>
        <w:t xml:space="preserve"> </w:t>
      </w:r>
      <w:r w:rsidR="00B85D46" w:rsidRPr="0015069F">
        <w:rPr>
          <w:rFonts w:ascii="Verdana" w:hAnsi="Verdana"/>
          <w:sz w:val="24"/>
          <w:szCs w:val="24"/>
        </w:rPr>
        <w:t>“</w:t>
      </w:r>
      <w:hyperlink r:id="rId2" w:history="1">
        <w:r w:rsidR="00B85D46" w:rsidRPr="00914FA8">
          <w:rPr>
            <w:rStyle w:val="Hyperlink"/>
            <w:rFonts w:ascii="Verdana" w:hAnsi="Verdana"/>
            <w:i/>
            <w:iCs/>
            <w:sz w:val="24"/>
            <w:szCs w:val="24"/>
          </w:rPr>
          <w:t>FHWA’s Buy America Q and A for Federal-aid Program</w:t>
        </w:r>
      </w:hyperlink>
      <w:r w:rsidR="00B85D46" w:rsidRPr="0015069F">
        <w:rPr>
          <w:rFonts w:ascii="Verdana" w:hAnsi="Verdana"/>
          <w:sz w:val="24"/>
          <w:szCs w:val="24"/>
        </w:rPr>
        <w:t>” at questions 44 and 45.</w:t>
      </w:r>
    </w:p>
  </w:footnote>
  <w:footnote w:id="7">
    <w:p w14:paraId="7EE50EF8" w14:textId="36680E4D" w:rsidR="008905E4" w:rsidRDefault="008905E4" w:rsidP="00760B89">
      <w:pPr>
        <w:pStyle w:val="FootnoteText"/>
        <w:spacing w:line="360" w:lineRule="auto"/>
      </w:pPr>
      <w:r w:rsidRPr="00760B89">
        <w:rPr>
          <w:rStyle w:val="FootnoteReference"/>
          <w:rFonts w:ascii="Verdana" w:hAnsi="Verdana"/>
          <w:sz w:val="24"/>
          <w:szCs w:val="24"/>
        </w:rPr>
        <w:footnoteRef/>
      </w:r>
      <w:r w:rsidRPr="00760B89">
        <w:rPr>
          <w:rFonts w:ascii="Verdana" w:hAnsi="Verdana"/>
          <w:sz w:val="24"/>
          <w:szCs w:val="24"/>
        </w:rPr>
        <w:t xml:space="preserve"> </w:t>
      </w:r>
      <w:r w:rsidRPr="005A60F2">
        <w:rPr>
          <w:rFonts w:ascii="Verdana" w:hAnsi="Verdana"/>
          <w:i/>
          <w:iCs/>
          <w:sz w:val="24"/>
          <w:szCs w:val="24"/>
        </w:rPr>
        <w:t>23 USC 313(h)</w:t>
      </w:r>
      <w:r w:rsidRPr="00760B89">
        <w:rPr>
          <w:rFonts w:ascii="Verdana" w:hAnsi="Verdana"/>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8760" w14:textId="77777777" w:rsidR="001705BC" w:rsidRDefault="001705BC" w:rsidP="001705BC">
    <w:pPr>
      <w:pStyle w:val="Header"/>
      <w:spacing w:after="400"/>
      <w:jc w:val="right"/>
    </w:pPr>
    <w:r>
      <w:rPr>
        <w:noProof/>
      </w:rPr>
      <w:drawing>
        <wp:inline distT="0" distB="0" distL="0" distR="0" wp14:anchorId="4980F6FB" wp14:editId="738FD120">
          <wp:extent cx="2020824" cy="347472"/>
          <wp:effectExtent l="0" t="0" r="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C8F3"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tShhtr6bsdfSfF+GEXqFF9PPHEXNfp2ybtzDnQDMIhFPWEisVsDCrJyHh3pR5ki9fvgrCb2jUw4tbslR7TTr0g==" w:salt="u5AnHGNLXM2SdpdbkOnv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F3"/>
    <w:rsid w:val="0003040F"/>
    <w:rsid w:val="0005583F"/>
    <w:rsid w:val="00063CA5"/>
    <w:rsid w:val="00067493"/>
    <w:rsid w:val="00075AE3"/>
    <w:rsid w:val="00090309"/>
    <w:rsid w:val="000940FB"/>
    <w:rsid w:val="000B2119"/>
    <w:rsid w:val="000B2945"/>
    <w:rsid w:val="000B5A5C"/>
    <w:rsid w:val="000C1F3E"/>
    <w:rsid w:val="000C7AD7"/>
    <w:rsid w:val="000E0386"/>
    <w:rsid w:val="000E1AC7"/>
    <w:rsid w:val="000E5CB1"/>
    <w:rsid w:val="0010454F"/>
    <w:rsid w:val="00105532"/>
    <w:rsid w:val="00146BE0"/>
    <w:rsid w:val="0015069F"/>
    <w:rsid w:val="001705BC"/>
    <w:rsid w:val="001761D7"/>
    <w:rsid w:val="00181735"/>
    <w:rsid w:val="0018694B"/>
    <w:rsid w:val="00190DCD"/>
    <w:rsid w:val="00191AFD"/>
    <w:rsid w:val="001A69C9"/>
    <w:rsid w:val="001B5185"/>
    <w:rsid w:val="001B6C26"/>
    <w:rsid w:val="001C3E75"/>
    <w:rsid w:val="001D1AA3"/>
    <w:rsid w:val="001E5E7E"/>
    <w:rsid w:val="001F4FAC"/>
    <w:rsid w:val="002323CB"/>
    <w:rsid w:val="002340C7"/>
    <w:rsid w:val="002376C2"/>
    <w:rsid w:val="0024600A"/>
    <w:rsid w:val="002531E4"/>
    <w:rsid w:val="00256169"/>
    <w:rsid w:val="00273031"/>
    <w:rsid w:val="00275154"/>
    <w:rsid w:val="00277718"/>
    <w:rsid w:val="002805FC"/>
    <w:rsid w:val="00284504"/>
    <w:rsid w:val="00290571"/>
    <w:rsid w:val="00290A05"/>
    <w:rsid w:val="002934DC"/>
    <w:rsid w:val="002A12D5"/>
    <w:rsid w:val="002A75F2"/>
    <w:rsid w:val="002B4337"/>
    <w:rsid w:val="002D0309"/>
    <w:rsid w:val="00317383"/>
    <w:rsid w:val="00360813"/>
    <w:rsid w:val="003A504F"/>
    <w:rsid w:val="003B7E6A"/>
    <w:rsid w:val="003D41C5"/>
    <w:rsid w:val="003E1328"/>
    <w:rsid w:val="003F3CC1"/>
    <w:rsid w:val="004112F8"/>
    <w:rsid w:val="0042061E"/>
    <w:rsid w:val="00427DBB"/>
    <w:rsid w:val="00437A34"/>
    <w:rsid w:val="0045551B"/>
    <w:rsid w:val="00461A3A"/>
    <w:rsid w:val="00487276"/>
    <w:rsid w:val="004A1071"/>
    <w:rsid w:val="004B325C"/>
    <w:rsid w:val="004B6BD7"/>
    <w:rsid w:val="004E0520"/>
    <w:rsid w:val="004E496F"/>
    <w:rsid w:val="004E7403"/>
    <w:rsid w:val="004E7B23"/>
    <w:rsid w:val="004F5625"/>
    <w:rsid w:val="004F697B"/>
    <w:rsid w:val="00501A04"/>
    <w:rsid w:val="00520182"/>
    <w:rsid w:val="00534C39"/>
    <w:rsid w:val="00541C3C"/>
    <w:rsid w:val="005456F3"/>
    <w:rsid w:val="005555C5"/>
    <w:rsid w:val="0056318A"/>
    <w:rsid w:val="005A0BEE"/>
    <w:rsid w:val="005A60F2"/>
    <w:rsid w:val="005D35F1"/>
    <w:rsid w:val="005D638D"/>
    <w:rsid w:val="0060277D"/>
    <w:rsid w:val="006125F2"/>
    <w:rsid w:val="00617CEB"/>
    <w:rsid w:val="006258E9"/>
    <w:rsid w:val="00626A92"/>
    <w:rsid w:val="00640ADD"/>
    <w:rsid w:val="00651CB0"/>
    <w:rsid w:val="0066499B"/>
    <w:rsid w:val="00687A4D"/>
    <w:rsid w:val="006B34EF"/>
    <w:rsid w:val="0070413E"/>
    <w:rsid w:val="00710F40"/>
    <w:rsid w:val="0072002A"/>
    <w:rsid w:val="007414D4"/>
    <w:rsid w:val="00744F32"/>
    <w:rsid w:val="007524CB"/>
    <w:rsid w:val="00760B89"/>
    <w:rsid w:val="00763838"/>
    <w:rsid w:val="00771021"/>
    <w:rsid w:val="0077287B"/>
    <w:rsid w:val="00776B0E"/>
    <w:rsid w:val="00781A58"/>
    <w:rsid w:val="00791127"/>
    <w:rsid w:val="007A3B26"/>
    <w:rsid w:val="007B00A8"/>
    <w:rsid w:val="007C57A5"/>
    <w:rsid w:val="007D4C8D"/>
    <w:rsid w:val="007E4B7F"/>
    <w:rsid w:val="00806332"/>
    <w:rsid w:val="00862FE2"/>
    <w:rsid w:val="0086528F"/>
    <w:rsid w:val="0087110F"/>
    <w:rsid w:val="00885A03"/>
    <w:rsid w:val="008905E4"/>
    <w:rsid w:val="00892751"/>
    <w:rsid w:val="00893375"/>
    <w:rsid w:val="008B3F27"/>
    <w:rsid w:val="008B7336"/>
    <w:rsid w:val="008F6068"/>
    <w:rsid w:val="00900F14"/>
    <w:rsid w:val="00912B3A"/>
    <w:rsid w:val="00914FA8"/>
    <w:rsid w:val="00915FFB"/>
    <w:rsid w:val="009160AB"/>
    <w:rsid w:val="0091704D"/>
    <w:rsid w:val="00917F65"/>
    <w:rsid w:val="00935000"/>
    <w:rsid w:val="009447E4"/>
    <w:rsid w:val="00967F5A"/>
    <w:rsid w:val="009753F6"/>
    <w:rsid w:val="00976A16"/>
    <w:rsid w:val="00995A37"/>
    <w:rsid w:val="009A2512"/>
    <w:rsid w:val="009E75F9"/>
    <w:rsid w:val="009F0B76"/>
    <w:rsid w:val="009F72F5"/>
    <w:rsid w:val="00A03C64"/>
    <w:rsid w:val="00A07068"/>
    <w:rsid w:val="00A07348"/>
    <w:rsid w:val="00A166DE"/>
    <w:rsid w:val="00A22F82"/>
    <w:rsid w:val="00A44609"/>
    <w:rsid w:val="00A47D0D"/>
    <w:rsid w:val="00A517D8"/>
    <w:rsid w:val="00A674EB"/>
    <w:rsid w:val="00A71049"/>
    <w:rsid w:val="00AA0483"/>
    <w:rsid w:val="00AB7E4F"/>
    <w:rsid w:val="00AD4351"/>
    <w:rsid w:val="00AE1A16"/>
    <w:rsid w:val="00B13411"/>
    <w:rsid w:val="00B212C4"/>
    <w:rsid w:val="00B4004F"/>
    <w:rsid w:val="00B406D5"/>
    <w:rsid w:val="00B55323"/>
    <w:rsid w:val="00B6014D"/>
    <w:rsid w:val="00B63BC7"/>
    <w:rsid w:val="00B63CB8"/>
    <w:rsid w:val="00B731C7"/>
    <w:rsid w:val="00B84690"/>
    <w:rsid w:val="00B85D46"/>
    <w:rsid w:val="00BA2F09"/>
    <w:rsid w:val="00BB4357"/>
    <w:rsid w:val="00BB6DE4"/>
    <w:rsid w:val="00BD1042"/>
    <w:rsid w:val="00BD2218"/>
    <w:rsid w:val="00BD7E0B"/>
    <w:rsid w:val="00BE72CE"/>
    <w:rsid w:val="00C02127"/>
    <w:rsid w:val="00C10F0F"/>
    <w:rsid w:val="00C10F1E"/>
    <w:rsid w:val="00C27E67"/>
    <w:rsid w:val="00C31BC5"/>
    <w:rsid w:val="00C32528"/>
    <w:rsid w:val="00C923ED"/>
    <w:rsid w:val="00C972FD"/>
    <w:rsid w:val="00CA115B"/>
    <w:rsid w:val="00CB2FFC"/>
    <w:rsid w:val="00CC00DC"/>
    <w:rsid w:val="00CC2A53"/>
    <w:rsid w:val="00CE2B96"/>
    <w:rsid w:val="00CE6A5A"/>
    <w:rsid w:val="00CF0FA4"/>
    <w:rsid w:val="00D058C9"/>
    <w:rsid w:val="00D07333"/>
    <w:rsid w:val="00D11322"/>
    <w:rsid w:val="00D13B90"/>
    <w:rsid w:val="00D325F0"/>
    <w:rsid w:val="00D4473A"/>
    <w:rsid w:val="00D46BC3"/>
    <w:rsid w:val="00D52D93"/>
    <w:rsid w:val="00D53690"/>
    <w:rsid w:val="00D641FB"/>
    <w:rsid w:val="00D746BB"/>
    <w:rsid w:val="00DB6A6F"/>
    <w:rsid w:val="00DC4615"/>
    <w:rsid w:val="00DD5129"/>
    <w:rsid w:val="00DE6576"/>
    <w:rsid w:val="00E04EB5"/>
    <w:rsid w:val="00E15D9F"/>
    <w:rsid w:val="00E21DD9"/>
    <w:rsid w:val="00E302A4"/>
    <w:rsid w:val="00E30B55"/>
    <w:rsid w:val="00E33825"/>
    <w:rsid w:val="00E47D85"/>
    <w:rsid w:val="00E50774"/>
    <w:rsid w:val="00E54FBB"/>
    <w:rsid w:val="00E5633C"/>
    <w:rsid w:val="00E75EDD"/>
    <w:rsid w:val="00E84F54"/>
    <w:rsid w:val="00EB0613"/>
    <w:rsid w:val="00EB452C"/>
    <w:rsid w:val="00ED3E53"/>
    <w:rsid w:val="00EF26ED"/>
    <w:rsid w:val="00EF7847"/>
    <w:rsid w:val="00F11034"/>
    <w:rsid w:val="00F14795"/>
    <w:rsid w:val="00F22C28"/>
    <w:rsid w:val="00F35F29"/>
    <w:rsid w:val="00F44653"/>
    <w:rsid w:val="00F4768D"/>
    <w:rsid w:val="00F53357"/>
    <w:rsid w:val="00F63F58"/>
    <w:rsid w:val="00FB2FFC"/>
    <w:rsid w:val="00FB3F6D"/>
    <w:rsid w:val="00FC4A49"/>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4BA6B"/>
  <w15:chartTrackingRefBased/>
  <w15:docId w15:val="{86223E6C-A5B7-4990-B2C0-F0DA4B6F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BA2F09"/>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D746BB"/>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BA2F09"/>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D746BB"/>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styleId="Caption">
    <w:name w:val="caption"/>
    <w:basedOn w:val="Normal"/>
    <w:next w:val="Normal"/>
    <w:uiPriority w:val="35"/>
    <w:semiHidden/>
    <w:unhideWhenUsed/>
    <w:qFormat/>
    <w:rsid w:val="00277718"/>
    <w:pPr>
      <w:spacing w:line="240" w:lineRule="auto"/>
    </w:pPr>
    <w:rPr>
      <w:i/>
      <w:iCs/>
      <w:color w:val="000000" w:themeColor="text2"/>
      <w:sz w:val="18"/>
      <w:szCs w:val="18"/>
    </w:rPr>
  </w:style>
  <w:style w:type="character" w:styleId="CommentReference">
    <w:name w:val="annotation reference"/>
    <w:basedOn w:val="DefaultParagraphFont"/>
    <w:uiPriority w:val="99"/>
    <w:semiHidden/>
    <w:unhideWhenUsed/>
    <w:rsid w:val="004B6BD7"/>
    <w:rPr>
      <w:sz w:val="16"/>
      <w:szCs w:val="16"/>
    </w:rPr>
  </w:style>
  <w:style w:type="paragraph" w:styleId="CommentText">
    <w:name w:val="annotation text"/>
    <w:basedOn w:val="Normal"/>
    <w:link w:val="CommentTextChar"/>
    <w:uiPriority w:val="99"/>
    <w:unhideWhenUsed/>
    <w:rsid w:val="004B6BD7"/>
    <w:pPr>
      <w:spacing w:line="240" w:lineRule="auto"/>
    </w:pPr>
    <w:rPr>
      <w:sz w:val="20"/>
      <w:szCs w:val="20"/>
    </w:rPr>
  </w:style>
  <w:style w:type="character" w:customStyle="1" w:styleId="CommentTextChar">
    <w:name w:val="Comment Text Char"/>
    <w:basedOn w:val="DefaultParagraphFont"/>
    <w:link w:val="CommentText"/>
    <w:uiPriority w:val="99"/>
    <w:rsid w:val="004B6BD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B6BD7"/>
    <w:rPr>
      <w:b/>
      <w:bCs/>
    </w:rPr>
  </w:style>
  <w:style w:type="character" w:customStyle="1" w:styleId="CommentSubjectChar">
    <w:name w:val="Comment Subject Char"/>
    <w:basedOn w:val="CommentTextChar"/>
    <w:link w:val="CommentSubject"/>
    <w:uiPriority w:val="99"/>
    <w:semiHidden/>
    <w:rsid w:val="004B6BD7"/>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hwa.dot.gov/construction/contracts/buyam_qageneral.cfm" TargetMode="External"/><Relationship Id="rId1" Type="http://schemas.openxmlformats.org/officeDocument/2006/relationships/hyperlink" Target="https://www.fhwa.dot.gov/construction/cqit/buyam.cf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3" ma:contentTypeDescription="Create a new document." ma:contentTypeScope="" ma:versionID="c1473919cf65aba6893498456c5f4975">
  <xsd:schema xmlns:xsd="http://www.w3.org/2001/XMLSchema" xmlns:xs="http://www.w3.org/2001/XMLSchema" xmlns:p="http://schemas.microsoft.com/office/2006/metadata/properties" xmlns:ns2="7fef7c20-eb6f-4e1b-9e04-31bde27da1d8" targetNamespace="http://schemas.microsoft.com/office/2006/metadata/properties" ma:root="true" ma:fieldsID="e0d9e7d8da83b2a1324fe031cb6528b6"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6056B0A4-3DA9-41F2-9D0B-48E150F1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1061</Words>
  <Characters>6052</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Buy America and the National Environmental Policy Act Frequently Asked Questions</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 America and the National Environmental Policy Act Frequently Asked Questions</dc:title>
  <dc:subject>This document clarifies how the scope of a National Environmental Policy Act (NEPA) document affects the applicability of Buy America requirements to a project.</dc:subject>
  <dc:creator>TxDOT</dc:creator>
  <cp:keywords>020-04-faq; Buy America; NEPA; FAQ</cp:keywords>
  <dc:description/>
  <cp:lastModifiedBy>Lauren Miller</cp:lastModifiedBy>
  <cp:revision>113</cp:revision>
  <dcterms:created xsi:type="dcterms:W3CDTF">2025-12-01T20:09:00Z</dcterms:created>
  <dcterms:modified xsi:type="dcterms:W3CDTF">2026-01-22T14:54:00Z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Order">
    <vt:r8>18494800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