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9E97" w14:textId="3FC5AF14" w:rsidR="004F697B" w:rsidRPr="00047122" w:rsidRDefault="00047122" w:rsidP="00047122">
      <w:pPr>
        <w:pStyle w:val="Heading1"/>
      </w:pPr>
      <w:r w:rsidRPr="00047122">
        <w:t>Frequently Asked Questions</w:t>
      </w:r>
      <w:r>
        <w:t xml:space="preserve">: </w:t>
      </w:r>
      <w:r w:rsidR="00903473" w:rsidRPr="00047122">
        <w:t>Environmental Review and Utility Relocation</w:t>
      </w:r>
      <w:r w:rsidR="00E42F48" w:rsidRPr="00047122">
        <w:t xml:space="preserve"> </w:t>
      </w:r>
    </w:p>
    <w:p w14:paraId="404979ED" w14:textId="59A39355" w:rsidR="00E758F8" w:rsidRPr="00B96E16" w:rsidRDefault="00E758F8" w:rsidP="00F32C0A">
      <w:pPr>
        <w:pStyle w:val="Heading2"/>
        <w:rPr>
          <w:b w:val="0"/>
          <w:bCs/>
        </w:rPr>
      </w:pPr>
      <w:r w:rsidRPr="00B96E16">
        <w:rPr>
          <w:b w:val="0"/>
          <w:bCs/>
        </w:rPr>
        <w:t>Q</w:t>
      </w:r>
      <w:r w:rsidR="002C1458" w:rsidRPr="00B96E16">
        <w:rPr>
          <w:b w:val="0"/>
          <w:bCs/>
        </w:rPr>
        <w:t>uestion</w:t>
      </w:r>
      <w:r w:rsidR="00F32C0A" w:rsidRPr="00B96E16">
        <w:rPr>
          <w:b w:val="0"/>
          <w:bCs/>
        </w:rPr>
        <w:t xml:space="preserve"> 1: </w:t>
      </w:r>
      <w:r w:rsidRPr="00B96E16">
        <w:rPr>
          <w:b w:val="0"/>
          <w:bCs/>
        </w:rPr>
        <w:t>Can a utility relocate to accommodate a highway project prior to completion of environmental review of the highway project?</w:t>
      </w:r>
    </w:p>
    <w:p w14:paraId="5DD748D2" w14:textId="2CFBC9D7" w:rsidR="00E758F8" w:rsidRPr="00B96E16" w:rsidRDefault="00E758F8" w:rsidP="00B96E16">
      <w:pPr>
        <w:ind w:left="1350" w:hanging="1350"/>
        <w:rPr>
          <w:bCs/>
        </w:rPr>
      </w:pPr>
      <w:r w:rsidRPr="00B96E16">
        <w:rPr>
          <w:bCs/>
        </w:rPr>
        <w:t>A</w:t>
      </w:r>
      <w:r w:rsidR="002C1458" w:rsidRPr="00B96E16">
        <w:rPr>
          <w:bCs/>
        </w:rPr>
        <w:t>nswer</w:t>
      </w:r>
      <w:r w:rsidR="003A4674" w:rsidRPr="00B96E16">
        <w:rPr>
          <w:bCs/>
        </w:rPr>
        <w:t xml:space="preserve"> 1: </w:t>
      </w:r>
      <w:r w:rsidRPr="00B96E16">
        <w:rPr>
          <w:bCs/>
        </w:rPr>
        <w:t>Yes, but only if it is a non-reimbursable relocation. A reimbursable relocation, which requires a utility agreement between</w:t>
      </w:r>
      <w:r w:rsidR="00F754B6">
        <w:rPr>
          <w:bCs/>
        </w:rPr>
        <w:t xml:space="preserve"> Texas Department of Transportation (</w:t>
      </w:r>
      <w:r w:rsidRPr="00B96E16">
        <w:rPr>
          <w:bCs/>
        </w:rPr>
        <w:t>TxDOT</w:t>
      </w:r>
      <w:r w:rsidR="00F754B6">
        <w:rPr>
          <w:bCs/>
        </w:rPr>
        <w:t>)</w:t>
      </w:r>
      <w:r w:rsidRPr="00B96E16">
        <w:rPr>
          <w:bCs/>
        </w:rPr>
        <w:t xml:space="preserve"> and the utility, cannot occur until after environmental review of the highway project.</w:t>
      </w:r>
      <w:r w:rsidRPr="00B96E16">
        <w:rPr>
          <w:bCs/>
          <w:vertAlign w:val="superscript"/>
        </w:rPr>
        <w:footnoteReference w:id="1"/>
      </w:r>
      <w:r w:rsidRPr="00B96E16">
        <w:rPr>
          <w:bCs/>
          <w:vertAlign w:val="superscript"/>
        </w:rPr>
        <w:t xml:space="preserve"> </w:t>
      </w:r>
    </w:p>
    <w:p w14:paraId="27118452" w14:textId="24021209" w:rsidR="00E758F8" w:rsidRPr="00B96E16" w:rsidRDefault="00E758F8" w:rsidP="00B96E16">
      <w:pPr>
        <w:pStyle w:val="Heading2"/>
        <w:ind w:left="1350" w:hanging="1350"/>
        <w:rPr>
          <w:b w:val="0"/>
          <w:bCs/>
        </w:rPr>
      </w:pPr>
      <w:r w:rsidRPr="00B96E16">
        <w:rPr>
          <w:b w:val="0"/>
          <w:bCs/>
        </w:rPr>
        <w:t>Q</w:t>
      </w:r>
      <w:r w:rsidR="00540BBF" w:rsidRPr="00B96E16">
        <w:rPr>
          <w:b w:val="0"/>
          <w:bCs/>
        </w:rPr>
        <w:t>uestion</w:t>
      </w:r>
      <w:r w:rsidR="003A4674" w:rsidRPr="00B96E16">
        <w:rPr>
          <w:b w:val="0"/>
          <w:bCs/>
        </w:rPr>
        <w:t xml:space="preserve"> 2: </w:t>
      </w:r>
      <w:r w:rsidRPr="00B96E16">
        <w:rPr>
          <w:b w:val="0"/>
          <w:bCs/>
        </w:rPr>
        <w:t>What if the district is concerned about take of endangered species or some other environmental issue within TxDOT right-of-way associated with the utility relocation?</w:t>
      </w:r>
    </w:p>
    <w:p w14:paraId="660E0412" w14:textId="2471E73D" w:rsidR="00E758F8" w:rsidRPr="00B96E16" w:rsidRDefault="00E758F8" w:rsidP="00B96E16">
      <w:pPr>
        <w:ind w:left="1350" w:hanging="1350"/>
        <w:rPr>
          <w:bCs/>
        </w:rPr>
      </w:pPr>
      <w:r w:rsidRPr="00B96E16">
        <w:rPr>
          <w:bCs/>
        </w:rPr>
        <w:t>A</w:t>
      </w:r>
      <w:r w:rsidR="00540BBF" w:rsidRPr="00B96E16">
        <w:rPr>
          <w:bCs/>
        </w:rPr>
        <w:t>nswer</w:t>
      </w:r>
      <w:r w:rsidR="003A4674" w:rsidRPr="00B96E16">
        <w:rPr>
          <w:bCs/>
        </w:rPr>
        <w:t xml:space="preserve"> 2: </w:t>
      </w:r>
      <w:r w:rsidRPr="00B96E16">
        <w:rPr>
          <w:bCs/>
        </w:rPr>
        <w:t xml:space="preserve">The utility is responsible for ensuring that the design of the utility installation complies with applicable environmental regulations, including those related to </w:t>
      </w:r>
      <w:r w:rsidRPr="00B96E16">
        <w:rPr>
          <w:bCs/>
        </w:rPr>
        <w:lastRenderedPageBreak/>
        <w:t>storm water pollution prevention, endangered species, and wetlands.</w:t>
      </w:r>
      <w:r w:rsidRPr="00B96E16">
        <w:rPr>
          <w:bCs/>
          <w:vertAlign w:val="superscript"/>
        </w:rPr>
        <w:footnoteReference w:id="2"/>
      </w:r>
      <w:r w:rsidRPr="00B96E16">
        <w:rPr>
          <w:bCs/>
        </w:rPr>
        <w:t xml:space="preserve">  However, if the district has concerns about a possible endangered species issue for example, then the district could instruct the utility to wait to relocate until completion of the environmental review of the highway project.  Environmental issues associated with utility relocation within the TxDOT right-of-way will be evaluated as part of the environmental review of the highway project.</w:t>
      </w:r>
    </w:p>
    <w:p w14:paraId="42BF0EEA" w14:textId="7C2F8855" w:rsidR="00E758F8" w:rsidRPr="00B96E16" w:rsidRDefault="00E758F8" w:rsidP="00B96E16">
      <w:pPr>
        <w:pStyle w:val="Heading2"/>
        <w:rPr>
          <w:b w:val="0"/>
          <w:bCs/>
        </w:rPr>
      </w:pPr>
      <w:r w:rsidRPr="00B96E16">
        <w:rPr>
          <w:b w:val="0"/>
          <w:bCs/>
        </w:rPr>
        <w:t>Q</w:t>
      </w:r>
      <w:r w:rsidR="00540BBF" w:rsidRPr="00B96E16">
        <w:rPr>
          <w:b w:val="0"/>
          <w:bCs/>
        </w:rPr>
        <w:t>uestion</w:t>
      </w:r>
      <w:r w:rsidR="00B96E16" w:rsidRPr="00B96E16">
        <w:rPr>
          <w:b w:val="0"/>
          <w:bCs/>
        </w:rPr>
        <w:t xml:space="preserve"> 3: </w:t>
      </w:r>
      <w:r w:rsidRPr="00B96E16">
        <w:rPr>
          <w:b w:val="0"/>
          <w:bCs/>
        </w:rPr>
        <w:t>If utility relocation has not occurred prior to completion of the environmental review, are the impacts associated with the utility relocation included as part of the project for purposes of the environmental review?</w:t>
      </w:r>
    </w:p>
    <w:p w14:paraId="36AC01D2" w14:textId="640CD4E0" w:rsidR="00E758F8" w:rsidRPr="00B96E16" w:rsidRDefault="00E758F8" w:rsidP="00B96E16">
      <w:pPr>
        <w:ind w:left="1350" w:hanging="1350"/>
        <w:rPr>
          <w:bCs/>
        </w:rPr>
      </w:pPr>
      <w:r w:rsidRPr="00B96E16">
        <w:rPr>
          <w:bCs/>
        </w:rPr>
        <w:t>A</w:t>
      </w:r>
      <w:r w:rsidR="00540BBF" w:rsidRPr="00B96E16">
        <w:rPr>
          <w:bCs/>
        </w:rPr>
        <w:t>nswer</w:t>
      </w:r>
      <w:r w:rsidR="00B96E16" w:rsidRPr="00B96E16">
        <w:rPr>
          <w:bCs/>
        </w:rPr>
        <w:t xml:space="preserve"> 3:</w:t>
      </w:r>
      <w:r w:rsidR="00063361">
        <w:rPr>
          <w:bCs/>
        </w:rPr>
        <w:t xml:space="preserve"> </w:t>
      </w:r>
      <w:r w:rsidRPr="00B96E16">
        <w:rPr>
          <w:bCs/>
        </w:rPr>
        <w:t>Only if the relocation will occur within TxDOT right-of-way</w:t>
      </w:r>
      <w:r w:rsidR="009F59C2" w:rsidRPr="00B96E16">
        <w:rPr>
          <w:bCs/>
        </w:rPr>
        <w:t xml:space="preserve">. </w:t>
      </w:r>
      <w:r w:rsidRPr="00B96E16">
        <w:rPr>
          <w:bCs/>
        </w:rPr>
        <w:t>Relocation of utilities to a location outside of the right-of-way, like re-establishment of other displaced infrastructure or structures, is not part of the highway project.</w:t>
      </w:r>
      <w:r w:rsidRPr="00B96E16">
        <w:rPr>
          <w:bCs/>
          <w:vertAlign w:val="superscript"/>
        </w:rPr>
        <w:footnoteReference w:id="3"/>
      </w:r>
    </w:p>
    <w:p w14:paraId="7FCEB4D2" w14:textId="16DC0A76" w:rsidR="00E758F8" w:rsidRPr="00B96E16" w:rsidRDefault="00B157C5" w:rsidP="00B96E16">
      <w:pPr>
        <w:pStyle w:val="Heading2"/>
        <w:rPr>
          <w:b w:val="0"/>
          <w:bCs/>
        </w:rPr>
      </w:pPr>
      <w:r w:rsidRPr="00B96E16">
        <w:rPr>
          <w:b w:val="0"/>
          <w:bCs/>
        </w:rPr>
        <w:t>Question</w:t>
      </w:r>
      <w:r w:rsidR="00B96E16" w:rsidRPr="00B96E16">
        <w:rPr>
          <w:b w:val="0"/>
          <w:bCs/>
        </w:rPr>
        <w:t xml:space="preserve"> 4: </w:t>
      </w:r>
      <w:r w:rsidR="00E758F8" w:rsidRPr="00B96E16">
        <w:rPr>
          <w:b w:val="0"/>
          <w:bCs/>
        </w:rPr>
        <w:t>What about a “joint bid” situation, where TxDOT’s construction contractor moves the line for the utility as part of the highway project?</w:t>
      </w:r>
    </w:p>
    <w:p w14:paraId="37FBCCD5" w14:textId="5803F54B" w:rsidR="00E758F8" w:rsidRPr="00B96E16" w:rsidRDefault="00E758F8" w:rsidP="00B96E16">
      <w:pPr>
        <w:ind w:left="1350" w:hanging="1350"/>
        <w:rPr>
          <w:bCs/>
        </w:rPr>
      </w:pPr>
      <w:r w:rsidRPr="00B96E16">
        <w:rPr>
          <w:bCs/>
        </w:rPr>
        <w:t>A</w:t>
      </w:r>
      <w:r w:rsidR="00B157C5" w:rsidRPr="00B96E16">
        <w:rPr>
          <w:bCs/>
        </w:rPr>
        <w:t>nswer</w:t>
      </w:r>
      <w:r w:rsidR="00B96E16" w:rsidRPr="00B96E16">
        <w:rPr>
          <w:bCs/>
        </w:rPr>
        <w:t xml:space="preserve"> 4:</w:t>
      </w:r>
      <w:r w:rsidR="00063361">
        <w:rPr>
          <w:bCs/>
        </w:rPr>
        <w:t xml:space="preserve"> </w:t>
      </w:r>
      <w:r w:rsidRPr="00B96E16">
        <w:rPr>
          <w:bCs/>
        </w:rPr>
        <w:t>The answer is the same – if the relocation will be within TxDOT right-of-way, then it is part of the project for purposes of environmental review</w:t>
      </w:r>
      <w:r w:rsidR="009F59C2" w:rsidRPr="00B96E16">
        <w:rPr>
          <w:bCs/>
        </w:rPr>
        <w:t xml:space="preserve">. </w:t>
      </w:r>
      <w:r w:rsidRPr="00B96E16">
        <w:rPr>
          <w:bCs/>
        </w:rPr>
        <w:t>If the relocation will be to a location outside of TxDOT right-of-way, then it is still not part of the highway project, even if TxDOT’s construction contractor will be doing the relocation</w:t>
      </w:r>
      <w:r w:rsidR="009F59C2" w:rsidRPr="00B96E16">
        <w:rPr>
          <w:bCs/>
        </w:rPr>
        <w:t xml:space="preserve">. </w:t>
      </w:r>
      <w:r w:rsidRPr="00B96E16">
        <w:rPr>
          <w:bCs/>
        </w:rPr>
        <w:t xml:space="preserve">This is because the utility, not TxDOT, is still </w:t>
      </w:r>
      <w:r w:rsidRPr="00B96E16">
        <w:rPr>
          <w:bCs/>
        </w:rPr>
        <w:lastRenderedPageBreak/>
        <w:t>responsible for ensuring that the design and construction meet all regulatory and environmental compliance requirements.</w:t>
      </w:r>
      <w:r w:rsidRPr="00B96E16">
        <w:rPr>
          <w:bCs/>
          <w:vertAlign w:val="superscript"/>
        </w:rPr>
        <w:footnoteReference w:id="4"/>
      </w:r>
      <w:r w:rsidRPr="00B96E16">
        <w:rPr>
          <w:bCs/>
        </w:rPr>
        <w:t xml:space="preserve">  The utility is also responsible for acquiring any easements outside the TxDOT right-of-way needed for the utility installation.</w:t>
      </w:r>
    </w:p>
    <w:p w14:paraId="51EDDAA0" w14:textId="3F5A0912" w:rsidR="00E758F8" w:rsidRPr="00B96E16" w:rsidRDefault="00E758F8" w:rsidP="00B96E16">
      <w:pPr>
        <w:pStyle w:val="Heading2"/>
        <w:rPr>
          <w:b w:val="0"/>
          <w:bCs/>
        </w:rPr>
      </w:pPr>
      <w:r w:rsidRPr="00B96E16">
        <w:rPr>
          <w:b w:val="0"/>
          <w:bCs/>
        </w:rPr>
        <w:t>Q</w:t>
      </w:r>
      <w:r w:rsidR="00B157C5" w:rsidRPr="00B96E16">
        <w:rPr>
          <w:b w:val="0"/>
          <w:bCs/>
        </w:rPr>
        <w:t>uestion</w:t>
      </w:r>
      <w:r w:rsidR="00B96E16" w:rsidRPr="00B96E16">
        <w:rPr>
          <w:b w:val="0"/>
          <w:bCs/>
        </w:rPr>
        <w:t xml:space="preserve"> 5: </w:t>
      </w:r>
      <w:r w:rsidRPr="00B96E16">
        <w:rPr>
          <w:b w:val="0"/>
          <w:bCs/>
        </w:rPr>
        <w:t>Is consultation with the United States Fish and Wildlife Service under Section 7 of the Endangered Species Act</w:t>
      </w:r>
      <w:r w:rsidRPr="00B96E16">
        <w:rPr>
          <w:b w:val="0"/>
          <w:bCs/>
          <w:vertAlign w:val="superscript"/>
        </w:rPr>
        <w:footnoteReference w:id="5"/>
      </w:r>
      <w:r w:rsidRPr="00B96E16">
        <w:rPr>
          <w:b w:val="0"/>
          <w:bCs/>
        </w:rPr>
        <w:t xml:space="preserve"> or with the Texas State Historic Preservation Officer under Section 106 of the National Historic Preservation Act</w:t>
      </w:r>
      <w:r w:rsidRPr="00B96E16">
        <w:rPr>
          <w:b w:val="0"/>
          <w:bCs/>
          <w:vertAlign w:val="superscript"/>
        </w:rPr>
        <w:footnoteReference w:id="6"/>
      </w:r>
      <w:r w:rsidRPr="00B96E16">
        <w:rPr>
          <w:b w:val="0"/>
          <w:bCs/>
        </w:rPr>
        <w:t xml:space="preserve"> required for utility relocations?</w:t>
      </w:r>
    </w:p>
    <w:p w14:paraId="25044020" w14:textId="03DB031E" w:rsidR="003D0A12" w:rsidRDefault="00E758F8" w:rsidP="00B96E16">
      <w:pPr>
        <w:ind w:left="1350" w:hanging="1350"/>
        <w:rPr>
          <w:bCs/>
        </w:rPr>
      </w:pPr>
      <w:r w:rsidRPr="00B96E16">
        <w:rPr>
          <w:bCs/>
        </w:rPr>
        <w:t>A</w:t>
      </w:r>
      <w:r w:rsidR="00B157C5" w:rsidRPr="00B96E16">
        <w:rPr>
          <w:bCs/>
        </w:rPr>
        <w:t>nswer</w:t>
      </w:r>
      <w:r w:rsidR="00B96E16" w:rsidRPr="00B96E16">
        <w:rPr>
          <w:bCs/>
        </w:rPr>
        <w:t xml:space="preserve"> 5: </w:t>
      </w:r>
      <w:r w:rsidRPr="00B96E16">
        <w:rPr>
          <w:bCs/>
        </w:rPr>
        <w:t>Not typically, although we may discuss the relocation in the consultation for the project if the relocation specifics are known at the time of project consultation</w:t>
      </w:r>
      <w:r w:rsidR="009F59C2" w:rsidRPr="00B96E16">
        <w:rPr>
          <w:bCs/>
        </w:rPr>
        <w:t xml:space="preserve">. </w:t>
      </w:r>
      <w:r w:rsidRPr="00B96E16">
        <w:rPr>
          <w:bCs/>
        </w:rPr>
        <w:t>TxDOT’s Section 106 Programmatic Agreement requires consultation regarding utility relocations only when TxDOT designates the relocation, which TxDOT almost never does.</w:t>
      </w:r>
    </w:p>
    <w:p w14:paraId="1C5EDF17" w14:textId="77777777" w:rsidR="003D0A12" w:rsidRDefault="003D0A12">
      <w:pPr>
        <w:spacing w:after="0" w:line="240" w:lineRule="auto"/>
        <w:rPr>
          <w:bCs/>
        </w:rPr>
      </w:pPr>
      <w:r>
        <w:rPr>
          <w:bCs/>
        </w:rPr>
        <w:br w:type="page"/>
      </w:r>
    </w:p>
    <w:p w14:paraId="524095CB" w14:textId="7B4712FF" w:rsidR="00341949" w:rsidRDefault="00341949" w:rsidP="00341949">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t>. Document revision history</w:t>
      </w:r>
    </w:p>
    <w:tbl>
      <w:tblPr>
        <w:tblStyle w:val="ATFTxDOTTable"/>
        <w:tblW w:w="0" w:type="auto"/>
        <w:tblInd w:w="0" w:type="dxa"/>
        <w:tblLook w:val="04A0" w:firstRow="1" w:lastRow="0" w:firstColumn="1" w:lastColumn="0" w:noHBand="0" w:noVBand="1"/>
      </w:tblPr>
      <w:tblGrid>
        <w:gridCol w:w="2425"/>
        <w:gridCol w:w="8365"/>
      </w:tblGrid>
      <w:tr w:rsidR="00341949" w14:paraId="4201F5F5" w14:textId="77777777" w:rsidTr="00A816E3">
        <w:trPr>
          <w:cnfStyle w:val="100000000000" w:firstRow="1" w:lastRow="0" w:firstColumn="0" w:lastColumn="0" w:oddVBand="0" w:evenVBand="0" w:oddHBand="0" w:evenHBand="0" w:firstRowFirstColumn="0" w:firstRowLastColumn="0" w:lastRowFirstColumn="0" w:lastRowLastColumn="0"/>
          <w:tblHeader/>
        </w:trPr>
        <w:tc>
          <w:tcPr>
            <w:tcW w:w="2425" w:type="dxa"/>
          </w:tcPr>
          <w:p w14:paraId="4777B4CE" w14:textId="77777777" w:rsidR="00341949" w:rsidRPr="00A07348" w:rsidRDefault="00341949" w:rsidP="00A816E3">
            <w:pPr>
              <w:spacing w:after="0"/>
              <w:rPr>
                <w:color w:val="FFFFFF" w:themeColor="background1"/>
              </w:rPr>
            </w:pPr>
            <w:r w:rsidRPr="00A07348">
              <w:rPr>
                <w:color w:val="FFFFFF" w:themeColor="background1"/>
              </w:rPr>
              <w:t>Effective date (month year)</w:t>
            </w:r>
          </w:p>
        </w:tc>
        <w:tc>
          <w:tcPr>
            <w:tcW w:w="8365" w:type="dxa"/>
          </w:tcPr>
          <w:p w14:paraId="56602896" w14:textId="77777777" w:rsidR="00341949" w:rsidRPr="00A07348" w:rsidRDefault="00341949" w:rsidP="00A816E3">
            <w:pPr>
              <w:spacing w:after="0"/>
              <w:rPr>
                <w:color w:val="FFFFFF" w:themeColor="background1"/>
              </w:rPr>
            </w:pPr>
            <w:r w:rsidRPr="00A07348">
              <w:rPr>
                <w:color w:val="FFFFFF" w:themeColor="background1"/>
              </w:rPr>
              <w:t>Reason for and description of change</w:t>
            </w:r>
          </w:p>
        </w:tc>
      </w:tr>
      <w:tr w:rsidR="00341949" w14:paraId="6646BDB2" w14:textId="77777777" w:rsidTr="00A816E3">
        <w:trPr>
          <w:cnfStyle w:val="000000100000" w:firstRow="0" w:lastRow="0" w:firstColumn="0" w:lastColumn="0" w:oddVBand="0" w:evenVBand="0" w:oddHBand="1" w:evenHBand="0" w:firstRowFirstColumn="0" w:firstRowLastColumn="0" w:lastRowFirstColumn="0" w:lastRowLastColumn="0"/>
        </w:trPr>
        <w:tc>
          <w:tcPr>
            <w:tcW w:w="2425" w:type="dxa"/>
          </w:tcPr>
          <w:p w14:paraId="60458E52" w14:textId="77777777" w:rsidR="00341949" w:rsidRPr="002B6B86" w:rsidRDefault="00341949" w:rsidP="00A816E3">
            <w:pPr>
              <w:spacing w:after="0"/>
            </w:pPr>
            <w:r>
              <w:t>February</w:t>
            </w:r>
            <w:r w:rsidRPr="002B6B86">
              <w:t xml:space="preserve"> 2026</w:t>
            </w:r>
          </w:p>
        </w:tc>
        <w:tc>
          <w:tcPr>
            <w:tcW w:w="8365" w:type="dxa"/>
          </w:tcPr>
          <w:p w14:paraId="6771C338" w14:textId="77777777" w:rsidR="00341949" w:rsidRDefault="00341949" w:rsidP="00A816E3">
            <w:pPr>
              <w:spacing w:after="0"/>
            </w:pPr>
            <w:r>
              <w:t>Version 2</w:t>
            </w:r>
          </w:p>
          <w:p w14:paraId="125B169C" w14:textId="77777777" w:rsidR="00341949" w:rsidRDefault="00341949" w:rsidP="00A816E3">
            <w:pPr>
              <w:pStyle w:val="ListBullet"/>
            </w:pPr>
            <w:r>
              <w:t>Update to comply with accessibility and TxDOT branding</w:t>
            </w:r>
          </w:p>
          <w:p w14:paraId="4B7F1B4A" w14:textId="11EF7649" w:rsidR="00341949" w:rsidRDefault="00DA180B" w:rsidP="00A816E3">
            <w:pPr>
              <w:pStyle w:val="ListBullet"/>
            </w:pPr>
            <w:r w:rsidRPr="00DA180B">
              <w:t>Changed document number from 020-</w:t>
            </w:r>
            <w:r w:rsidR="00A816E3">
              <w:t>1</w:t>
            </w:r>
            <w:r w:rsidRPr="00DA180B">
              <w:t>4-gui to 020-0</w:t>
            </w:r>
            <w:r>
              <w:t>6</w:t>
            </w:r>
            <w:r w:rsidRPr="00DA180B">
              <w:t>-faq</w:t>
            </w:r>
          </w:p>
        </w:tc>
      </w:tr>
      <w:tr w:rsidR="00341949" w14:paraId="0FE38CC6" w14:textId="77777777" w:rsidTr="00A816E3">
        <w:trPr>
          <w:cnfStyle w:val="000000010000" w:firstRow="0" w:lastRow="0" w:firstColumn="0" w:lastColumn="0" w:oddVBand="0" w:evenVBand="0" w:oddHBand="0" w:evenHBand="1" w:firstRowFirstColumn="0" w:firstRowLastColumn="0" w:lastRowFirstColumn="0" w:lastRowLastColumn="0"/>
        </w:trPr>
        <w:tc>
          <w:tcPr>
            <w:tcW w:w="2425" w:type="dxa"/>
          </w:tcPr>
          <w:p w14:paraId="42E8515F" w14:textId="77777777" w:rsidR="00341949" w:rsidRPr="002B6B86" w:rsidRDefault="00341949" w:rsidP="00A816E3">
            <w:pPr>
              <w:spacing w:after="0"/>
            </w:pPr>
            <w:r w:rsidRPr="002B6B86">
              <w:t>September 2020</w:t>
            </w:r>
          </w:p>
        </w:tc>
        <w:tc>
          <w:tcPr>
            <w:tcW w:w="8365" w:type="dxa"/>
          </w:tcPr>
          <w:p w14:paraId="65867F14" w14:textId="77777777" w:rsidR="00341949" w:rsidRDefault="00341949" w:rsidP="00A816E3">
            <w:pPr>
              <w:spacing w:after="0"/>
            </w:pPr>
            <w:r>
              <w:t>Version 1</w:t>
            </w:r>
          </w:p>
          <w:p w14:paraId="73C60CBC" w14:textId="77777777" w:rsidR="00341949" w:rsidRPr="009D2276" w:rsidRDefault="00341949" w:rsidP="00A816E3">
            <w:pPr>
              <w:pStyle w:val="ListBullet"/>
            </w:pPr>
            <w:r>
              <w:t>Created to a</w:t>
            </w:r>
            <w:r w:rsidRPr="00DD4906">
              <w:t xml:space="preserve">ddresses </w:t>
            </w:r>
            <w:r>
              <w:t>potential</w:t>
            </w:r>
            <w:r w:rsidRPr="005D72A4">
              <w:t xml:space="preserve"> questions re</w:t>
            </w:r>
            <w:r>
              <w:t>garding</w:t>
            </w:r>
            <w:r w:rsidRPr="005D72A4">
              <w:t xml:space="preserve"> </w:t>
            </w:r>
            <w:r>
              <w:t>e</w:t>
            </w:r>
            <w:r w:rsidRPr="005D72A4">
              <w:t>nvironmental review and utility relocation</w:t>
            </w:r>
            <w:r w:rsidRPr="00DD4906">
              <w:t>.</w:t>
            </w:r>
          </w:p>
        </w:tc>
      </w:tr>
    </w:tbl>
    <w:p w14:paraId="265E1039" w14:textId="77777777" w:rsidR="009260DC" w:rsidRPr="00B96E16" w:rsidRDefault="009260DC" w:rsidP="00B96E16">
      <w:pPr>
        <w:ind w:left="1350" w:hanging="1350"/>
        <w:rPr>
          <w:bCs/>
        </w:rPr>
      </w:pPr>
    </w:p>
    <w:sectPr w:rsidR="009260DC" w:rsidRPr="00B96E16"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7CDE" w14:textId="77777777" w:rsidR="00520154" w:rsidRDefault="00520154" w:rsidP="00CE2B96">
      <w:pPr>
        <w:spacing w:after="0"/>
      </w:pPr>
      <w:r>
        <w:separator/>
      </w:r>
    </w:p>
  </w:endnote>
  <w:endnote w:type="continuationSeparator" w:id="0">
    <w:p w14:paraId="7BBF4570" w14:textId="77777777" w:rsidR="00520154" w:rsidRDefault="00520154"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EDA3" w14:textId="0ED55865" w:rsidR="00E15D9F" w:rsidRPr="00A07068" w:rsidRDefault="00047122" w:rsidP="0010454F">
    <w:pPr>
      <w:pStyle w:val="Footer"/>
      <w:spacing w:before="360" w:line="360" w:lineRule="auto"/>
      <w:jc w:val="right"/>
      <w:rPr>
        <w:b/>
        <w:bCs/>
        <w:color w:val="0056A9"/>
      </w:rPr>
    </w:pPr>
    <w:r w:rsidRPr="00E55C9E">
      <w:rPr>
        <w:noProof/>
        <w:color w:val="0056A9" w:themeColor="accent1"/>
      </w:rPr>
      <w:t>Frequently Asked Questions</w:t>
    </w:r>
    <w:r w:rsidR="00C02127" w:rsidRPr="00781A58">
      <w:rPr>
        <w:noProof/>
      </w:rPr>
      <mc:AlternateContent>
        <mc:Choice Requires="wps">
          <w:drawing>
            <wp:anchor distT="0" distB="0" distL="114300" distR="114300" simplePos="0" relativeHeight="251658240" behindDoc="0" locked="0" layoutInCell="1" allowOverlap="1" wp14:anchorId="35A2908D" wp14:editId="6742AA57">
              <wp:simplePos x="0" y="0"/>
              <wp:positionH relativeFrom="margin">
                <wp:posOffset>0</wp:posOffset>
              </wp:positionH>
              <wp:positionV relativeFrom="paragraph">
                <wp:posOffset>-9691</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B5818" id="_x0000_t32" coordsize="21600,21600" o:spt="32" o:oned="t" path="m,l21600,21600e" filled="f">
              <v:path arrowok="t" fillok="f" o:connecttype="none"/>
              <o:lock v:ext="edit" shapetype="t"/>
            </v:shapetype>
            <v:shape id="AutoShape 12" o:spid="_x0000_s1026" type="#_x0000_t32" alt="&quot;&quot;" style="position:absolute;margin-left:0;margin-top:-.75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" strokecolor="#d81f26">
              <w10:wrap anchorx="margin"/>
            </v:shape>
          </w:pict>
        </mc:Fallback>
      </mc:AlternateContent>
    </w:r>
    <w:r>
      <w:rPr>
        <w:color w:val="0056A9"/>
      </w:rPr>
      <w:t xml:space="preserve">: </w:t>
    </w:r>
    <w:r w:rsidR="00E55C9E" w:rsidRPr="00E55C9E">
      <w:rPr>
        <w:noProof/>
        <w:color w:val="0056A9" w:themeColor="accent1"/>
      </w:rPr>
      <w:t xml:space="preserve">Environmental Review and Utility Relocation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5A0C5650"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5847" w14:textId="77777777" w:rsidR="00520154" w:rsidRDefault="00520154" w:rsidP="00CE2B96">
      <w:pPr>
        <w:spacing w:after="0"/>
      </w:pPr>
      <w:r>
        <w:separator/>
      </w:r>
    </w:p>
  </w:footnote>
  <w:footnote w:type="continuationSeparator" w:id="0">
    <w:p w14:paraId="01C2921E" w14:textId="77777777" w:rsidR="00520154" w:rsidRDefault="00520154" w:rsidP="00CE2B96">
      <w:pPr>
        <w:spacing w:after="0"/>
      </w:pPr>
      <w:r>
        <w:continuationSeparator/>
      </w:r>
    </w:p>
  </w:footnote>
  <w:footnote w:id="1">
    <w:p w14:paraId="50E3A18C" w14:textId="5FAA8BF4" w:rsidR="00E758F8" w:rsidRPr="00407DA3" w:rsidRDefault="00E758F8" w:rsidP="00047122">
      <w:r w:rsidRPr="009273A3">
        <w:rPr>
          <w:rStyle w:val="FootnoteReference"/>
        </w:rPr>
        <w:footnoteRef/>
      </w:r>
      <w:r w:rsidR="00820318">
        <w:rPr>
          <w:rStyle w:val="FootnoteReference"/>
          <w:vertAlign w:val="baseline"/>
        </w:rPr>
        <w:t xml:space="preserve"> </w:t>
      </w:r>
      <w:r w:rsidR="009713FC" w:rsidRPr="009713FC">
        <w:t>Under</w:t>
      </w:r>
      <w:r w:rsidR="00820318">
        <w:t xml:space="preserve"> </w:t>
      </w:r>
      <w:r w:rsidR="009713FC" w:rsidRPr="009713FC">
        <w:t>the</w:t>
      </w:r>
      <w:r w:rsidR="00820318">
        <w:t xml:space="preserve"> </w:t>
      </w:r>
      <w:r w:rsidR="009713FC" w:rsidRPr="009713FC">
        <w:t>Federal</w:t>
      </w:r>
      <w:r w:rsidR="00820318">
        <w:t xml:space="preserve"> </w:t>
      </w:r>
      <w:r w:rsidR="009713FC" w:rsidRPr="009713FC">
        <w:t>Highway</w:t>
      </w:r>
      <w:r w:rsidR="00820318">
        <w:t xml:space="preserve"> </w:t>
      </w:r>
      <w:r w:rsidR="009713FC" w:rsidRPr="009713FC">
        <w:t>Administration’s</w:t>
      </w:r>
      <w:r w:rsidR="00820318">
        <w:t xml:space="preserve"> </w:t>
      </w:r>
      <w:r w:rsidR="009713FC" w:rsidRPr="009713FC">
        <w:t>(FHWA’s)</w:t>
      </w:r>
      <w:r w:rsidR="00820318">
        <w:t xml:space="preserve"> </w:t>
      </w:r>
      <w:r w:rsidR="009713FC" w:rsidRPr="009713FC">
        <w:t>rules,</w:t>
      </w:r>
      <w:r w:rsidR="00820318">
        <w:t xml:space="preserve"> </w:t>
      </w:r>
      <w:r w:rsidR="009713FC" w:rsidRPr="009713FC">
        <w:t>FHWA</w:t>
      </w:r>
      <w:r w:rsidR="00820318">
        <w:t xml:space="preserve"> </w:t>
      </w:r>
      <w:r w:rsidR="009713FC" w:rsidRPr="009713FC">
        <w:t>must</w:t>
      </w:r>
      <w:r w:rsidR="00820318">
        <w:t xml:space="preserve"> </w:t>
      </w:r>
      <w:r w:rsidR="009713FC" w:rsidRPr="009713FC">
        <w:t>give</w:t>
      </w:r>
      <w:r w:rsidR="00820318">
        <w:t xml:space="preserve"> </w:t>
      </w:r>
      <w:r w:rsidR="009713FC" w:rsidRPr="009713FC">
        <w:t>an</w:t>
      </w:r>
      <w:r w:rsidR="00820318">
        <w:t xml:space="preserve"> </w:t>
      </w:r>
      <w:r w:rsidR="009713FC" w:rsidRPr="009713FC">
        <w:t>“authorization”</w:t>
      </w:r>
      <w:r w:rsidR="00820318">
        <w:t xml:space="preserve"> </w:t>
      </w:r>
      <w:r w:rsidR="009713FC" w:rsidRPr="009713FC">
        <w:t>to</w:t>
      </w:r>
      <w:r w:rsidR="00820318">
        <w:t xml:space="preserve"> </w:t>
      </w:r>
      <w:r w:rsidR="009713FC" w:rsidRPr="009713FC">
        <w:t>establish</w:t>
      </w:r>
      <w:r w:rsidR="00820318">
        <w:t xml:space="preserve"> </w:t>
      </w:r>
      <w:r w:rsidR="009713FC" w:rsidRPr="009713FC">
        <w:t>the</w:t>
      </w:r>
      <w:r w:rsidR="00820318">
        <w:t xml:space="preserve"> </w:t>
      </w:r>
      <w:r w:rsidR="009713FC" w:rsidRPr="009713FC">
        <w:t>date</w:t>
      </w:r>
      <w:r w:rsidR="00820318">
        <w:t xml:space="preserve"> </w:t>
      </w:r>
      <w:r w:rsidR="009713FC" w:rsidRPr="009713FC">
        <w:t>of</w:t>
      </w:r>
      <w:r w:rsidR="00820318">
        <w:t xml:space="preserve"> </w:t>
      </w:r>
      <w:r w:rsidR="009713FC" w:rsidRPr="009713FC">
        <w:t>eligibility</w:t>
      </w:r>
      <w:r w:rsidR="00820318">
        <w:t xml:space="preserve"> </w:t>
      </w:r>
      <w:r w:rsidR="009713FC" w:rsidRPr="009713FC">
        <w:t>for</w:t>
      </w:r>
      <w:r w:rsidR="00820318">
        <w:t xml:space="preserve"> </w:t>
      </w:r>
      <w:r w:rsidR="009713FC" w:rsidRPr="009713FC">
        <w:t>Federal</w:t>
      </w:r>
      <w:r w:rsidR="00820318">
        <w:t xml:space="preserve"> </w:t>
      </w:r>
      <w:r w:rsidR="009713FC" w:rsidRPr="009713FC">
        <w:t>funds</w:t>
      </w:r>
      <w:r w:rsidR="00820318">
        <w:t xml:space="preserve"> </w:t>
      </w:r>
      <w:r w:rsidR="009713FC" w:rsidRPr="009713FC">
        <w:t>to</w:t>
      </w:r>
      <w:r w:rsidR="00820318">
        <w:t xml:space="preserve"> </w:t>
      </w:r>
      <w:r w:rsidR="009713FC" w:rsidRPr="009713FC">
        <w:t>participate</w:t>
      </w:r>
      <w:r w:rsidR="00820318">
        <w:t xml:space="preserve"> </w:t>
      </w:r>
      <w:r w:rsidR="009713FC" w:rsidRPr="009713FC">
        <w:t>in</w:t>
      </w:r>
      <w:r w:rsidR="00820318">
        <w:t xml:space="preserve"> </w:t>
      </w:r>
      <w:r w:rsidR="009713FC" w:rsidRPr="009713FC">
        <w:t>the</w:t>
      </w:r>
      <w:r w:rsidR="00820318">
        <w:t xml:space="preserve"> </w:t>
      </w:r>
      <w:r w:rsidR="009713FC" w:rsidRPr="009713FC">
        <w:t>costs</w:t>
      </w:r>
      <w:r w:rsidR="00820318">
        <w:t xml:space="preserve"> </w:t>
      </w:r>
      <w:r w:rsidR="009713FC" w:rsidRPr="009713FC">
        <w:t>incurred</w:t>
      </w:r>
      <w:r w:rsidR="00820318">
        <w:t xml:space="preserve"> </w:t>
      </w:r>
      <w:r w:rsidR="009713FC" w:rsidRPr="009713FC">
        <w:t>on</w:t>
      </w:r>
      <w:r w:rsidR="00820318">
        <w:t xml:space="preserve"> </w:t>
      </w:r>
      <w:r w:rsidR="009713FC" w:rsidRPr="009713FC">
        <w:t>a</w:t>
      </w:r>
      <w:r w:rsidR="00820318">
        <w:t xml:space="preserve"> </w:t>
      </w:r>
      <w:r w:rsidR="009713FC" w:rsidRPr="009713FC">
        <w:t>particular</w:t>
      </w:r>
      <w:r w:rsidR="00820318">
        <w:t xml:space="preserve"> </w:t>
      </w:r>
      <w:r w:rsidR="009713FC" w:rsidRPr="009713FC">
        <w:t>phase</w:t>
      </w:r>
      <w:r w:rsidR="00820318">
        <w:t xml:space="preserve"> </w:t>
      </w:r>
      <w:r w:rsidR="009713FC" w:rsidRPr="009713FC">
        <w:t>of</w:t>
      </w:r>
      <w:r w:rsidR="00820318">
        <w:t xml:space="preserve"> </w:t>
      </w:r>
      <w:r w:rsidR="009713FC" w:rsidRPr="009713FC">
        <w:t>work.</w:t>
      </w:r>
      <w:r w:rsidR="00047122">
        <w:t xml:space="preserve"> </w:t>
      </w:r>
      <w:r w:rsidR="009713FC" w:rsidRPr="009713FC">
        <w:t>23</w:t>
      </w:r>
      <w:r w:rsidR="00820318">
        <w:t xml:space="preserve"> </w:t>
      </w:r>
      <w:r w:rsidR="009713FC" w:rsidRPr="009713FC">
        <w:t>C</w:t>
      </w:r>
      <w:r w:rsidR="00F754B6">
        <w:t>ode of Federal Regulation</w:t>
      </w:r>
      <w:r w:rsidR="00D6504C">
        <w:t>s</w:t>
      </w:r>
      <w:r w:rsidR="00F754B6">
        <w:t xml:space="preserve"> (C</w:t>
      </w:r>
      <w:r w:rsidR="009713FC" w:rsidRPr="009713FC">
        <w:t>FR</w:t>
      </w:r>
      <w:r w:rsidR="00F754B6">
        <w:t>)</w:t>
      </w:r>
      <w:r w:rsidR="00820318">
        <w:t xml:space="preserve"> </w:t>
      </w:r>
      <w:r w:rsidR="009713FC" w:rsidRPr="009713FC">
        <w:t>645.105.</w:t>
      </w:r>
      <w:r w:rsidR="00820318">
        <w:t xml:space="preserve"> </w:t>
      </w:r>
      <w:r w:rsidR="009713FC" w:rsidRPr="009713FC">
        <w:t>FHWA’s</w:t>
      </w:r>
      <w:r w:rsidR="00820318">
        <w:t xml:space="preserve"> </w:t>
      </w:r>
      <w:r w:rsidR="009713FC" w:rsidRPr="009713FC">
        <w:t>rules</w:t>
      </w:r>
      <w:r w:rsidR="00820318">
        <w:t xml:space="preserve"> </w:t>
      </w:r>
      <w:r w:rsidR="009713FC" w:rsidRPr="009713FC">
        <w:t>further</w:t>
      </w:r>
      <w:r w:rsidR="00820318">
        <w:t xml:space="preserve"> </w:t>
      </w:r>
      <w:r w:rsidR="009713FC" w:rsidRPr="009713FC">
        <w:t>specify</w:t>
      </w:r>
      <w:r w:rsidR="00820318">
        <w:t xml:space="preserve"> </w:t>
      </w:r>
      <w:r w:rsidR="009713FC" w:rsidRPr="009713FC">
        <w:t>that</w:t>
      </w:r>
      <w:r w:rsidR="00820318">
        <w:t xml:space="preserve"> </w:t>
      </w:r>
      <w:r w:rsidR="009713FC" w:rsidRPr="009713FC">
        <w:t>for</w:t>
      </w:r>
      <w:r w:rsidR="00820318">
        <w:t xml:space="preserve"> </w:t>
      </w:r>
      <w:r w:rsidR="009713FC" w:rsidRPr="009713FC">
        <w:t>utility</w:t>
      </w:r>
      <w:r w:rsidR="00820318">
        <w:t xml:space="preserve"> </w:t>
      </w:r>
      <w:r w:rsidR="009713FC" w:rsidRPr="009713FC">
        <w:t>relocation,</w:t>
      </w:r>
      <w:r w:rsidR="00820318">
        <w:t xml:space="preserve"> </w:t>
      </w:r>
      <w:r w:rsidR="009713FC" w:rsidRPr="009713FC">
        <w:t>FHWA</w:t>
      </w:r>
      <w:r w:rsidR="00820318">
        <w:t xml:space="preserve"> </w:t>
      </w:r>
      <w:r w:rsidR="009713FC" w:rsidRPr="009713FC">
        <w:t>can</w:t>
      </w:r>
      <w:r w:rsidR="00820318">
        <w:t xml:space="preserve"> </w:t>
      </w:r>
      <w:r w:rsidR="009713FC" w:rsidRPr="009713FC">
        <w:t>give</w:t>
      </w:r>
      <w:r w:rsidR="00820318">
        <w:t xml:space="preserve"> </w:t>
      </w:r>
      <w:r w:rsidR="009713FC" w:rsidRPr="009713FC">
        <w:t>authorization</w:t>
      </w:r>
      <w:r w:rsidR="00820318">
        <w:t xml:space="preserve"> </w:t>
      </w:r>
      <w:r w:rsidR="009713FC" w:rsidRPr="009713FC">
        <w:t>to</w:t>
      </w:r>
      <w:r w:rsidR="00820318">
        <w:t xml:space="preserve"> </w:t>
      </w:r>
      <w:r w:rsidR="009713FC" w:rsidRPr="009713FC">
        <w:t>a</w:t>
      </w:r>
      <w:r w:rsidR="00820318">
        <w:t xml:space="preserve"> </w:t>
      </w:r>
      <w:r w:rsidR="009713FC" w:rsidRPr="009713FC">
        <w:t>state</w:t>
      </w:r>
      <w:r w:rsidR="00820318">
        <w:t xml:space="preserve"> </w:t>
      </w:r>
      <w:r w:rsidR="009713FC" w:rsidRPr="009713FC">
        <w:t>department</w:t>
      </w:r>
      <w:r w:rsidR="00820318">
        <w:t xml:space="preserve"> </w:t>
      </w:r>
      <w:r w:rsidR="009713FC" w:rsidRPr="009713FC">
        <w:t>of</w:t>
      </w:r>
      <w:r w:rsidR="00820318">
        <w:t xml:space="preserve"> </w:t>
      </w:r>
      <w:r w:rsidR="009713FC" w:rsidRPr="009713FC">
        <w:t>transportation</w:t>
      </w:r>
      <w:r w:rsidR="00820318">
        <w:t xml:space="preserve"> </w:t>
      </w:r>
      <w:r w:rsidR="009713FC" w:rsidRPr="009713FC">
        <w:t>to</w:t>
      </w:r>
      <w:r w:rsidR="00820318">
        <w:t xml:space="preserve"> </w:t>
      </w:r>
      <w:r w:rsidR="009713FC" w:rsidRPr="009713FC">
        <w:t>proceed</w:t>
      </w:r>
      <w:r w:rsidR="00820318">
        <w:t xml:space="preserve"> </w:t>
      </w:r>
      <w:r w:rsidR="009713FC" w:rsidRPr="009713FC">
        <w:t>with</w:t>
      </w:r>
      <w:r w:rsidR="00820318">
        <w:t xml:space="preserve"> </w:t>
      </w:r>
      <w:r w:rsidR="009713FC" w:rsidRPr="009713FC">
        <w:t>the</w:t>
      </w:r>
      <w:r w:rsidR="00820318">
        <w:t xml:space="preserve"> </w:t>
      </w:r>
      <w:r w:rsidR="009713FC" w:rsidRPr="009713FC">
        <w:t>physical</w:t>
      </w:r>
      <w:r w:rsidR="00820318">
        <w:t xml:space="preserve"> </w:t>
      </w:r>
      <w:r w:rsidR="009713FC" w:rsidRPr="009713FC">
        <w:t>relocation</w:t>
      </w:r>
      <w:r w:rsidR="00820318">
        <w:t xml:space="preserve"> </w:t>
      </w:r>
      <w:r w:rsidR="009713FC" w:rsidRPr="009713FC">
        <w:t>of</w:t>
      </w:r>
      <w:r w:rsidR="00820318">
        <w:t xml:space="preserve"> </w:t>
      </w:r>
      <w:r w:rsidR="009713FC" w:rsidRPr="009713FC">
        <w:t>a</w:t>
      </w:r>
      <w:r w:rsidR="00820318">
        <w:t xml:space="preserve"> </w:t>
      </w:r>
      <w:r w:rsidR="009713FC" w:rsidRPr="009713FC">
        <w:t>utility’s</w:t>
      </w:r>
      <w:r w:rsidR="00820318">
        <w:t xml:space="preserve"> </w:t>
      </w:r>
      <w:r w:rsidR="009713FC" w:rsidRPr="009713FC">
        <w:t>facilities</w:t>
      </w:r>
      <w:r w:rsidR="00820318">
        <w:t xml:space="preserve"> </w:t>
      </w:r>
      <w:r w:rsidR="009713FC" w:rsidRPr="009713FC">
        <w:rPr>
          <w:i/>
          <w:iCs/>
        </w:rPr>
        <w:t>after</w:t>
      </w:r>
      <w:r w:rsidR="00820318">
        <w:rPr>
          <w:i/>
          <w:iCs/>
        </w:rPr>
        <w:t xml:space="preserve"> </w:t>
      </w:r>
      <w:r w:rsidR="009713FC" w:rsidRPr="009713FC">
        <w:t>the</w:t>
      </w:r>
      <w:r w:rsidR="00820318">
        <w:t xml:space="preserve"> </w:t>
      </w:r>
      <w:r w:rsidR="009713FC" w:rsidRPr="009713FC">
        <w:t>appropriate</w:t>
      </w:r>
      <w:r w:rsidR="00820318">
        <w:t xml:space="preserve"> </w:t>
      </w:r>
      <w:r w:rsidR="009713FC" w:rsidRPr="009713FC">
        <w:t>environmental</w:t>
      </w:r>
      <w:r w:rsidR="00820318">
        <w:t xml:space="preserve"> </w:t>
      </w:r>
      <w:r w:rsidR="009713FC" w:rsidRPr="009713FC">
        <w:t>evaluation</w:t>
      </w:r>
      <w:r w:rsidR="00820318">
        <w:t xml:space="preserve"> </w:t>
      </w:r>
      <w:r w:rsidR="009713FC" w:rsidRPr="009713FC">
        <w:t>and</w:t>
      </w:r>
      <w:r w:rsidR="00820318">
        <w:t xml:space="preserve"> </w:t>
      </w:r>
      <w:r w:rsidR="009713FC" w:rsidRPr="009713FC">
        <w:t>public</w:t>
      </w:r>
      <w:r w:rsidR="00820318">
        <w:t xml:space="preserve"> </w:t>
      </w:r>
      <w:r w:rsidR="009713FC" w:rsidRPr="009713FC">
        <w:t>hearing</w:t>
      </w:r>
      <w:r w:rsidR="00820318">
        <w:t xml:space="preserve"> </w:t>
      </w:r>
      <w:r w:rsidR="009713FC" w:rsidRPr="009713FC">
        <w:t>procedures</w:t>
      </w:r>
      <w:r w:rsidR="00820318">
        <w:t xml:space="preserve"> </w:t>
      </w:r>
      <w:r w:rsidR="009713FC" w:rsidRPr="009713FC">
        <w:t>have</w:t>
      </w:r>
      <w:r w:rsidR="00820318">
        <w:t xml:space="preserve"> </w:t>
      </w:r>
      <w:r w:rsidR="009713FC" w:rsidRPr="009713FC">
        <w:t>been</w:t>
      </w:r>
      <w:r w:rsidR="00820318">
        <w:t xml:space="preserve"> </w:t>
      </w:r>
      <w:r w:rsidR="009713FC" w:rsidRPr="009713FC">
        <w:t>satisfied</w:t>
      </w:r>
      <w:r w:rsidR="009F59C2" w:rsidRPr="009713FC">
        <w:t>.</w:t>
      </w:r>
      <w:r w:rsidR="00047122">
        <w:t xml:space="preserve"> </w:t>
      </w:r>
      <w:r w:rsidR="009713FC" w:rsidRPr="009713FC">
        <w:t>23</w:t>
      </w:r>
      <w:r w:rsidR="00820318">
        <w:t xml:space="preserve"> </w:t>
      </w:r>
      <w:r w:rsidR="009713FC" w:rsidRPr="009713FC">
        <w:t>CFR</w:t>
      </w:r>
      <w:r w:rsidR="00820318">
        <w:t xml:space="preserve"> </w:t>
      </w:r>
      <w:r w:rsidR="009713FC" w:rsidRPr="009713FC">
        <w:t>645.113(g).</w:t>
      </w:r>
    </w:p>
  </w:footnote>
  <w:footnote w:id="2">
    <w:p w14:paraId="29A8A6E9" w14:textId="7B6B4546" w:rsidR="00E758F8" w:rsidRPr="00474F3C" w:rsidRDefault="00E758F8" w:rsidP="00047122">
      <w:pPr>
        <w:rPr>
          <w:rStyle w:val="FootnoteReference"/>
          <w:vertAlign w:val="baseline"/>
        </w:rPr>
      </w:pPr>
      <w:r w:rsidRPr="009273A3">
        <w:rPr>
          <w:rStyle w:val="FootnoteReference"/>
        </w:rPr>
        <w:footnoteRef/>
      </w:r>
      <w:r w:rsidR="00820318">
        <w:rPr>
          <w:rStyle w:val="FootnoteReference"/>
          <w:vertAlign w:val="baseline"/>
        </w:rPr>
        <w:t xml:space="preserve"> </w:t>
      </w:r>
      <w:r w:rsidRPr="00474F3C">
        <w:rPr>
          <w:rStyle w:val="FootnoteReference"/>
          <w:vertAlign w:val="baseline"/>
        </w:rPr>
        <w:t>43</w:t>
      </w:r>
      <w:r w:rsidR="00820318">
        <w:rPr>
          <w:rStyle w:val="FootnoteReference"/>
          <w:vertAlign w:val="baseline"/>
        </w:rPr>
        <w:t xml:space="preserve"> </w:t>
      </w:r>
      <w:r w:rsidRPr="00474F3C">
        <w:rPr>
          <w:rStyle w:val="FootnoteReference"/>
          <w:vertAlign w:val="baseline"/>
        </w:rPr>
        <w:t>TAC</w:t>
      </w:r>
      <w:r w:rsidR="00820318">
        <w:rPr>
          <w:rStyle w:val="FootnoteReference"/>
          <w:vertAlign w:val="baseline"/>
        </w:rPr>
        <w:t xml:space="preserve"> </w:t>
      </w:r>
      <w:r w:rsidRPr="00474F3C">
        <w:rPr>
          <w:rStyle w:val="FootnoteReference"/>
          <w:vertAlign w:val="baseline"/>
        </w:rPr>
        <w:t>21.37(a)(9)</w:t>
      </w:r>
      <w:r w:rsidR="00820318">
        <w:rPr>
          <w:rStyle w:val="FootnoteReference"/>
          <w:vertAlign w:val="baseline"/>
        </w:rPr>
        <w:t xml:space="preserve"> </w:t>
      </w:r>
      <w:r w:rsidRPr="00474F3C">
        <w:rPr>
          <w:rStyle w:val="FootnoteReference"/>
          <w:vertAlign w:val="baseline"/>
        </w:rPr>
        <w:t>and</w:t>
      </w:r>
      <w:r w:rsidR="00820318">
        <w:rPr>
          <w:rStyle w:val="FootnoteReference"/>
          <w:vertAlign w:val="baseline"/>
        </w:rPr>
        <w:t xml:space="preserve"> </w:t>
      </w:r>
      <w:r w:rsidRPr="00474F3C">
        <w:rPr>
          <w:rStyle w:val="FootnoteReference"/>
          <w:vertAlign w:val="baseline"/>
        </w:rPr>
        <w:t>(g)(1).</w:t>
      </w:r>
    </w:p>
  </w:footnote>
  <w:footnote w:id="3">
    <w:p w14:paraId="46180359" w14:textId="68989688" w:rsidR="00E758F8" w:rsidRPr="00474F3C" w:rsidRDefault="00E758F8" w:rsidP="00047122">
      <w:pPr>
        <w:rPr>
          <w:rStyle w:val="FootnoteReference"/>
          <w:vertAlign w:val="baseline"/>
        </w:rPr>
      </w:pPr>
      <w:r w:rsidRPr="009273A3">
        <w:rPr>
          <w:rStyle w:val="FootnoteReference"/>
        </w:rPr>
        <w:footnoteRef/>
      </w:r>
      <w:r w:rsidR="00820318">
        <w:rPr>
          <w:rStyle w:val="FootnoteReference"/>
          <w:vertAlign w:val="baseline"/>
        </w:rPr>
        <w:t xml:space="preserve"> </w:t>
      </w:r>
      <w:r w:rsidRPr="00474F3C">
        <w:rPr>
          <w:rStyle w:val="FootnoteReference"/>
          <w:vertAlign w:val="baseline"/>
        </w:rPr>
        <w:t>43</w:t>
      </w:r>
      <w:r w:rsidR="00820318">
        <w:rPr>
          <w:rStyle w:val="FootnoteReference"/>
          <w:vertAlign w:val="baseline"/>
        </w:rPr>
        <w:t xml:space="preserve"> </w:t>
      </w:r>
      <w:r w:rsidRPr="00474F3C">
        <w:rPr>
          <w:rStyle w:val="FootnoteReference"/>
          <w:vertAlign w:val="baseline"/>
        </w:rPr>
        <w:t>TAC</w:t>
      </w:r>
      <w:r w:rsidR="00820318">
        <w:rPr>
          <w:rStyle w:val="FootnoteReference"/>
          <w:vertAlign w:val="baseline"/>
        </w:rPr>
        <w:t xml:space="preserve"> </w:t>
      </w:r>
      <w:r w:rsidRPr="00474F3C">
        <w:rPr>
          <w:rStyle w:val="FootnoteReference"/>
          <w:vertAlign w:val="baseline"/>
        </w:rPr>
        <w:t>2.3(c)(2).</w:t>
      </w:r>
    </w:p>
  </w:footnote>
  <w:footnote w:id="4">
    <w:p w14:paraId="57550E51" w14:textId="1DD15B28" w:rsidR="00E758F8" w:rsidRPr="005B2001" w:rsidRDefault="00E758F8" w:rsidP="003A30AE">
      <w:r w:rsidRPr="009273A3">
        <w:rPr>
          <w:rStyle w:val="FootnoteReference"/>
        </w:rPr>
        <w:footnoteRef/>
      </w:r>
      <w:r w:rsidR="00820318">
        <w:rPr>
          <w:rStyle w:val="FootnoteReference"/>
          <w:vertAlign w:val="baseline"/>
        </w:rPr>
        <w:t xml:space="preserve"> </w:t>
      </w:r>
      <w:r w:rsidRPr="00474F3C">
        <w:rPr>
          <w:rStyle w:val="FootnoteReference"/>
          <w:vertAlign w:val="baseline"/>
        </w:rPr>
        <w:t>43</w:t>
      </w:r>
      <w:r w:rsidR="00820318">
        <w:rPr>
          <w:rStyle w:val="FootnoteReference"/>
          <w:vertAlign w:val="baseline"/>
        </w:rPr>
        <w:t xml:space="preserve"> </w:t>
      </w:r>
      <w:r w:rsidRPr="00474F3C">
        <w:rPr>
          <w:rStyle w:val="FootnoteReference"/>
          <w:vertAlign w:val="baseline"/>
        </w:rPr>
        <w:t>TAC</w:t>
      </w:r>
      <w:r w:rsidR="00820318">
        <w:rPr>
          <w:rStyle w:val="FootnoteReference"/>
          <w:vertAlign w:val="baseline"/>
        </w:rPr>
        <w:t xml:space="preserve"> </w:t>
      </w:r>
      <w:r w:rsidRPr="00474F3C">
        <w:rPr>
          <w:rStyle w:val="FootnoteReference"/>
          <w:vertAlign w:val="baseline"/>
        </w:rPr>
        <w:t>21.37(g)(4)</w:t>
      </w:r>
      <w:r w:rsidR="00820318">
        <w:rPr>
          <w:rStyle w:val="FootnoteReference"/>
          <w:vertAlign w:val="baseline"/>
        </w:rPr>
        <w:t xml:space="preserve"> </w:t>
      </w:r>
      <w:r w:rsidRPr="00474F3C">
        <w:rPr>
          <w:rStyle w:val="FootnoteReference"/>
          <w:vertAlign w:val="baseline"/>
        </w:rPr>
        <w:t>and</w:t>
      </w:r>
      <w:r w:rsidR="00820318">
        <w:rPr>
          <w:rStyle w:val="FootnoteReference"/>
          <w:vertAlign w:val="baseline"/>
        </w:rPr>
        <w:t xml:space="preserve"> </w:t>
      </w:r>
      <w:r w:rsidRPr="00474F3C">
        <w:rPr>
          <w:rStyle w:val="FootnoteReference"/>
          <w:vertAlign w:val="baseline"/>
        </w:rPr>
        <w:t>21.38(e)(2).</w:t>
      </w:r>
    </w:p>
  </w:footnote>
  <w:footnote w:id="5">
    <w:p w14:paraId="7C015964" w14:textId="2EF0049B" w:rsidR="00E758F8" w:rsidRDefault="00E758F8" w:rsidP="003A30AE">
      <w:r w:rsidRPr="00C056A4">
        <w:rPr>
          <w:rStyle w:val="FootnoteReference"/>
          <w:b/>
        </w:rPr>
        <w:footnoteRef/>
      </w:r>
      <w:r w:rsidR="00820318">
        <w:t xml:space="preserve"> </w:t>
      </w:r>
      <w:r>
        <w:t>16</w:t>
      </w:r>
      <w:r w:rsidR="00820318">
        <w:t xml:space="preserve"> </w:t>
      </w:r>
      <w:r>
        <w:t>USC</w:t>
      </w:r>
      <w:r w:rsidR="00820318">
        <w:t xml:space="preserve"> </w:t>
      </w:r>
      <w:r>
        <w:t>1536.</w:t>
      </w:r>
    </w:p>
  </w:footnote>
  <w:footnote w:id="6">
    <w:p w14:paraId="5ACF56C6" w14:textId="06BB342E" w:rsidR="00E758F8" w:rsidRDefault="00E758F8" w:rsidP="003A30AE">
      <w:r w:rsidRPr="00C056A4">
        <w:rPr>
          <w:rStyle w:val="FootnoteReference"/>
          <w:b/>
        </w:rPr>
        <w:footnoteRef/>
      </w:r>
      <w:r w:rsidR="00820318">
        <w:t xml:space="preserve"> </w:t>
      </w:r>
      <w:r>
        <w:t>54</w:t>
      </w:r>
      <w:r w:rsidR="00820318">
        <w:t xml:space="preserve"> </w:t>
      </w:r>
      <w:r>
        <w:t>USC</w:t>
      </w:r>
      <w:r w:rsidR="00820318">
        <w:t xml:space="preserve"> </w:t>
      </w:r>
      <w:r>
        <w:t>306108.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50B6" w14:textId="77777777" w:rsidR="001705BC" w:rsidRDefault="001705BC" w:rsidP="001705BC">
    <w:pPr>
      <w:pStyle w:val="Header"/>
      <w:spacing w:after="400"/>
      <w:jc w:val="right"/>
    </w:pPr>
    <w:r>
      <w:rPr>
        <w:noProof/>
      </w:rPr>
      <w:drawing>
        <wp:inline distT="0" distB="0" distL="0" distR="0" wp14:anchorId="64F13020" wp14:editId="13D03589">
          <wp:extent cx="2020824" cy="347472"/>
          <wp:effectExtent l="0" t="0" r="0" b="0"/>
          <wp:docPr id="235125639"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8815"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k+Qyzxz2MgiKShhBoBoyPFhL9hLfd9sLKamZsxaOfqael0s/JbFm7tJyd0TeU4KEWWh98/LLZ4+hFw2rbqzOZw==" w:salt="c8T5Tt4MkgETjkW8I7qq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FF"/>
    <w:rsid w:val="0000259F"/>
    <w:rsid w:val="0003040F"/>
    <w:rsid w:val="00042206"/>
    <w:rsid w:val="000422D5"/>
    <w:rsid w:val="00047122"/>
    <w:rsid w:val="00051E7A"/>
    <w:rsid w:val="0005583F"/>
    <w:rsid w:val="00063361"/>
    <w:rsid w:val="00073C60"/>
    <w:rsid w:val="00074844"/>
    <w:rsid w:val="00075AE3"/>
    <w:rsid w:val="00091C65"/>
    <w:rsid w:val="000940FB"/>
    <w:rsid w:val="00094BB9"/>
    <w:rsid w:val="000A5D0B"/>
    <w:rsid w:val="000B2945"/>
    <w:rsid w:val="000B5A5C"/>
    <w:rsid w:val="000C7AD7"/>
    <w:rsid w:val="000E0386"/>
    <w:rsid w:val="000E5BB7"/>
    <w:rsid w:val="000F14F6"/>
    <w:rsid w:val="0010454F"/>
    <w:rsid w:val="00105532"/>
    <w:rsid w:val="00140663"/>
    <w:rsid w:val="001468A0"/>
    <w:rsid w:val="00146BE0"/>
    <w:rsid w:val="00166C50"/>
    <w:rsid w:val="001705BC"/>
    <w:rsid w:val="00170ADD"/>
    <w:rsid w:val="001761D7"/>
    <w:rsid w:val="00181735"/>
    <w:rsid w:val="0018694B"/>
    <w:rsid w:val="00190DCD"/>
    <w:rsid w:val="00191AFD"/>
    <w:rsid w:val="00196B2D"/>
    <w:rsid w:val="001A056B"/>
    <w:rsid w:val="001A2776"/>
    <w:rsid w:val="001A69C9"/>
    <w:rsid w:val="001B5185"/>
    <w:rsid w:val="001B6C26"/>
    <w:rsid w:val="001C3E75"/>
    <w:rsid w:val="001E47D0"/>
    <w:rsid w:val="001E5E7E"/>
    <w:rsid w:val="001F4FAC"/>
    <w:rsid w:val="0020112A"/>
    <w:rsid w:val="00227638"/>
    <w:rsid w:val="002340C7"/>
    <w:rsid w:val="002376C2"/>
    <w:rsid w:val="002531E4"/>
    <w:rsid w:val="00273031"/>
    <w:rsid w:val="002805FC"/>
    <w:rsid w:val="0028332C"/>
    <w:rsid w:val="00284504"/>
    <w:rsid w:val="002868F1"/>
    <w:rsid w:val="00290571"/>
    <w:rsid w:val="00290A05"/>
    <w:rsid w:val="002934DC"/>
    <w:rsid w:val="002A05A5"/>
    <w:rsid w:val="002A12D5"/>
    <w:rsid w:val="002A75F2"/>
    <w:rsid w:val="002B1115"/>
    <w:rsid w:val="002C1458"/>
    <w:rsid w:val="002C57BC"/>
    <w:rsid w:val="002D0309"/>
    <w:rsid w:val="0032481A"/>
    <w:rsid w:val="00341949"/>
    <w:rsid w:val="003A30AE"/>
    <w:rsid w:val="003A4674"/>
    <w:rsid w:val="003A504F"/>
    <w:rsid w:val="003A6024"/>
    <w:rsid w:val="003B3CB1"/>
    <w:rsid w:val="003D0A12"/>
    <w:rsid w:val="003D41C5"/>
    <w:rsid w:val="003D4790"/>
    <w:rsid w:val="003D6291"/>
    <w:rsid w:val="003E1328"/>
    <w:rsid w:val="003F3CC1"/>
    <w:rsid w:val="00407DA3"/>
    <w:rsid w:val="004112F8"/>
    <w:rsid w:val="004146D6"/>
    <w:rsid w:val="0042061E"/>
    <w:rsid w:val="00427DBB"/>
    <w:rsid w:val="00437A34"/>
    <w:rsid w:val="00474F3C"/>
    <w:rsid w:val="00487276"/>
    <w:rsid w:val="004A1071"/>
    <w:rsid w:val="004B325C"/>
    <w:rsid w:val="004E496F"/>
    <w:rsid w:val="004E7B23"/>
    <w:rsid w:val="004F697B"/>
    <w:rsid w:val="005017D9"/>
    <w:rsid w:val="00501A04"/>
    <w:rsid w:val="00520154"/>
    <w:rsid w:val="00540BBF"/>
    <w:rsid w:val="005456F3"/>
    <w:rsid w:val="005555C5"/>
    <w:rsid w:val="005A6EB7"/>
    <w:rsid w:val="005C7F7C"/>
    <w:rsid w:val="005D35F1"/>
    <w:rsid w:val="005D638D"/>
    <w:rsid w:val="005D6FD8"/>
    <w:rsid w:val="005E451D"/>
    <w:rsid w:val="006024F9"/>
    <w:rsid w:val="006125F2"/>
    <w:rsid w:val="00624C21"/>
    <w:rsid w:val="006258E9"/>
    <w:rsid w:val="00626A92"/>
    <w:rsid w:val="00640ADD"/>
    <w:rsid w:val="0064565C"/>
    <w:rsid w:val="006856F7"/>
    <w:rsid w:val="00687A4D"/>
    <w:rsid w:val="00690B29"/>
    <w:rsid w:val="006A7A60"/>
    <w:rsid w:val="006B34EF"/>
    <w:rsid w:val="0070413E"/>
    <w:rsid w:val="0072002A"/>
    <w:rsid w:val="00732FDC"/>
    <w:rsid w:val="007414D4"/>
    <w:rsid w:val="007524CB"/>
    <w:rsid w:val="00763838"/>
    <w:rsid w:val="00767521"/>
    <w:rsid w:val="00771021"/>
    <w:rsid w:val="00775EE0"/>
    <w:rsid w:val="00781A58"/>
    <w:rsid w:val="00786018"/>
    <w:rsid w:val="00791127"/>
    <w:rsid w:val="007A3B26"/>
    <w:rsid w:val="007B00A8"/>
    <w:rsid w:val="007B3DAD"/>
    <w:rsid w:val="007B5428"/>
    <w:rsid w:val="007C06C2"/>
    <w:rsid w:val="007D44B7"/>
    <w:rsid w:val="007D4E5C"/>
    <w:rsid w:val="007E4B7F"/>
    <w:rsid w:val="00820318"/>
    <w:rsid w:val="00821AC9"/>
    <w:rsid w:val="0086528F"/>
    <w:rsid w:val="0087110F"/>
    <w:rsid w:val="00883E7F"/>
    <w:rsid w:val="00885A03"/>
    <w:rsid w:val="008905E4"/>
    <w:rsid w:val="00893375"/>
    <w:rsid w:val="00894429"/>
    <w:rsid w:val="008B49EB"/>
    <w:rsid w:val="008B6D44"/>
    <w:rsid w:val="008F41DC"/>
    <w:rsid w:val="00900F14"/>
    <w:rsid w:val="00903473"/>
    <w:rsid w:val="00915FFB"/>
    <w:rsid w:val="009160AB"/>
    <w:rsid w:val="0091704D"/>
    <w:rsid w:val="00917F65"/>
    <w:rsid w:val="009260DC"/>
    <w:rsid w:val="009273A3"/>
    <w:rsid w:val="0093185C"/>
    <w:rsid w:val="00955095"/>
    <w:rsid w:val="00967F5A"/>
    <w:rsid w:val="009713FC"/>
    <w:rsid w:val="009725B4"/>
    <w:rsid w:val="00976A16"/>
    <w:rsid w:val="0098586B"/>
    <w:rsid w:val="00995A37"/>
    <w:rsid w:val="009B0174"/>
    <w:rsid w:val="009B083F"/>
    <w:rsid w:val="009B6891"/>
    <w:rsid w:val="009F59C2"/>
    <w:rsid w:val="009F72F5"/>
    <w:rsid w:val="00A07068"/>
    <w:rsid w:val="00A07348"/>
    <w:rsid w:val="00A166DE"/>
    <w:rsid w:val="00A22F82"/>
    <w:rsid w:val="00A44609"/>
    <w:rsid w:val="00A47D0D"/>
    <w:rsid w:val="00A517D8"/>
    <w:rsid w:val="00A6353B"/>
    <w:rsid w:val="00A70747"/>
    <w:rsid w:val="00A71049"/>
    <w:rsid w:val="00A816E3"/>
    <w:rsid w:val="00A858D7"/>
    <w:rsid w:val="00A9147D"/>
    <w:rsid w:val="00AA21ED"/>
    <w:rsid w:val="00AD4351"/>
    <w:rsid w:val="00AD60FB"/>
    <w:rsid w:val="00AE1A16"/>
    <w:rsid w:val="00B157C5"/>
    <w:rsid w:val="00B327F8"/>
    <w:rsid w:val="00B406D5"/>
    <w:rsid w:val="00B464E5"/>
    <w:rsid w:val="00B4651E"/>
    <w:rsid w:val="00B55323"/>
    <w:rsid w:val="00B63CB8"/>
    <w:rsid w:val="00B671F9"/>
    <w:rsid w:val="00B679BE"/>
    <w:rsid w:val="00B84690"/>
    <w:rsid w:val="00B85D46"/>
    <w:rsid w:val="00B900B0"/>
    <w:rsid w:val="00B96E16"/>
    <w:rsid w:val="00BD2218"/>
    <w:rsid w:val="00BD7E0B"/>
    <w:rsid w:val="00C02127"/>
    <w:rsid w:val="00C10F1E"/>
    <w:rsid w:val="00C27E67"/>
    <w:rsid w:val="00C31BC5"/>
    <w:rsid w:val="00C468AC"/>
    <w:rsid w:val="00C468E4"/>
    <w:rsid w:val="00C575AE"/>
    <w:rsid w:val="00C74F6A"/>
    <w:rsid w:val="00C75AB3"/>
    <w:rsid w:val="00C867E8"/>
    <w:rsid w:val="00C90E39"/>
    <w:rsid w:val="00C923ED"/>
    <w:rsid w:val="00CB2FFC"/>
    <w:rsid w:val="00CC00DC"/>
    <w:rsid w:val="00CE2B96"/>
    <w:rsid w:val="00CE6274"/>
    <w:rsid w:val="00CE6A5A"/>
    <w:rsid w:val="00CF0FA4"/>
    <w:rsid w:val="00CF1933"/>
    <w:rsid w:val="00D03BDE"/>
    <w:rsid w:val="00D058C9"/>
    <w:rsid w:val="00D07333"/>
    <w:rsid w:val="00D11322"/>
    <w:rsid w:val="00D308FF"/>
    <w:rsid w:val="00D4473A"/>
    <w:rsid w:val="00D46BC3"/>
    <w:rsid w:val="00D52D93"/>
    <w:rsid w:val="00D641FB"/>
    <w:rsid w:val="00D6504C"/>
    <w:rsid w:val="00D7054C"/>
    <w:rsid w:val="00D87291"/>
    <w:rsid w:val="00DA180B"/>
    <w:rsid w:val="00DA2B10"/>
    <w:rsid w:val="00DB6A6F"/>
    <w:rsid w:val="00DD5129"/>
    <w:rsid w:val="00DE6ED5"/>
    <w:rsid w:val="00E04EB5"/>
    <w:rsid w:val="00E15D9F"/>
    <w:rsid w:val="00E302A4"/>
    <w:rsid w:val="00E33825"/>
    <w:rsid w:val="00E42F48"/>
    <w:rsid w:val="00E47D85"/>
    <w:rsid w:val="00E50774"/>
    <w:rsid w:val="00E55C9E"/>
    <w:rsid w:val="00E66CC8"/>
    <w:rsid w:val="00E758F8"/>
    <w:rsid w:val="00E75EDD"/>
    <w:rsid w:val="00E83835"/>
    <w:rsid w:val="00E905AA"/>
    <w:rsid w:val="00EB0613"/>
    <w:rsid w:val="00ED20AC"/>
    <w:rsid w:val="00EE5A53"/>
    <w:rsid w:val="00EE6DDC"/>
    <w:rsid w:val="00EF7847"/>
    <w:rsid w:val="00F11034"/>
    <w:rsid w:val="00F22C28"/>
    <w:rsid w:val="00F270E7"/>
    <w:rsid w:val="00F32C0A"/>
    <w:rsid w:val="00F35F29"/>
    <w:rsid w:val="00F362E5"/>
    <w:rsid w:val="00F40C36"/>
    <w:rsid w:val="00F44653"/>
    <w:rsid w:val="00F53357"/>
    <w:rsid w:val="00F61FBD"/>
    <w:rsid w:val="00F63F58"/>
    <w:rsid w:val="00F754B6"/>
    <w:rsid w:val="00F8718F"/>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C7C8"/>
  <w15:chartTrackingRefBased/>
  <w15:docId w15:val="{03419672-72F2-4575-8D06-651358DC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047122"/>
    <w:pPr>
      <w:keepNext/>
      <w:keepLines/>
      <w:spacing w:before="240" w:after="0"/>
      <w:outlineLvl w:val="0"/>
    </w:pPr>
    <w:rPr>
      <w:rFonts w:eastAsiaTheme="majorEastAsia" w:cstheme="majorBidi"/>
      <w:b/>
      <w:color w:val="0056A9" w:themeColor="accent1"/>
      <w:sz w:val="36"/>
      <w:szCs w:val="48"/>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047122"/>
    <w:rPr>
      <w:rFonts w:eastAsiaTheme="majorEastAsia" w:cstheme="majorBidi"/>
      <w:b/>
      <w:color w:val="0056A9" w:themeColor="accent1"/>
      <w:sz w:val="36"/>
      <w:szCs w:val="48"/>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unhideWhenUsed/>
    <w:rsid w:val="00407DA3"/>
    <w:pPr>
      <w:spacing w:after="0"/>
    </w:pPr>
    <w:rPr>
      <w:color w:val="auto"/>
      <w:kern w:val="0"/>
      <w:szCs w:val="20"/>
      <w14:ligatures w14:val="none"/>
    </w:rPr>
  </w:style>
  <w:style w:type="character" w:customStyle="1" w:styleId="FootnoteTextChar">
    <w:name w:val="Footnote Text Char"/>
    <w:basedOn w:val="DefaultParagraphFont"/>
    <w:link w:val="FootnoteText"/>
    <w:uiPriority w:val="99"/>
    <w:rsid w:val="00407DA3"/>
    <w:rPr>
      <w:kern w:val="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paragraph" w:styleId="EndnoteText">
    <w:name w:val="endnote text"/>
    <w:basedOn w:val="Normal"/>
    <w:link w:val="EndnoteTextChar"/>
    <w:uiPriority w:val="99"/>
    <w:semiHidden/>
    <w:unhideWhenUsed/>
    <w:rsid w:val="007D4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44B7"/>
    <w:rPr>
      <w:color w:val="000000" w:themeColor="text1"/>
      <w:sz w:val="20"/>
      <w:szCs w:val="20"/>
    </w:rPr>
  </w:style>
  <w:style w:type="character" w:styleId="EndnoteReference">
    <w:name w:val="endnote reference"/>
    <w:basedOn w:val="DefaultParagraphFont"/>
    <w:uiPriority w:val="99"/>
    <w:semiHidden/>
    <w:unhideWhenUsed/>
    <w:rsid w:val="007D4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334339367">
      <w:bodyDiv w:val="1"/>
      <w:marLeft w:val="0"/>
      <w:marRight w:val="0"/>
      <w:marTop w:val="0"/>
      <w:marBottom w:val="0"/>
      <w:divBdr>
        <w:top w:val="none" w:sz="0" w:space="0" w:color="auto"/>
        <w:left w:val="none" w:sz="0" w:space="0" w:color="auto"/>
        <w:bottom w:val="none" w:sz="0" w:space="0" w:color="auto"/>
        <w:right w:val="none" w:sz="0" w:space="0" w:color="auto"/>
      </w:divBdr>
    </w:div>
    <w:div w:id="1465536165">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word-accessibility-template.dotx?OR=81dd2b71-fb82-4b33-ac71-fed46bf0f87a&amp;CID=081df2a1-709a-1000-4af1-d1a4670a2b68&amp;CT=1769788922282"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5B7DABE8-23A9-45AD-A070-04202F80C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030A-1151-48DB-8A23-26F7EDCC7F4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fef7c20-eb6f-4e1b-9e04-31bde27da1d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env-word-accessibility-template.dotx?OR=81dd2b71-fb82-4b33-ac71-fed46bf0f87a&amp;CID=081df2a1-709a-1000-4af1-d1a4670a2b68&amp;CT=1769788922282</Template>
  <TotalTime>8</TotalTime>
  <Pages>4</Pages>
  <Words>531</Words>
  <Characters>3031</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Environmental Review and Utility Relocation Frequently Asked Questions</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and Utility Relocation Frequently Asked Questions</dc:title>
  <dc:subject>Addresses some questions that have arisen regarding environmental review and utility relocation.</dc:subject>
  <dc:creator>TxDOT</dc:creator>
  <cp:keywords>020-06-faq; FAQ Environmental Review; Utility Relocation; questions</cp:keywords>
  <dc:description>Word; Accessibility; Template</dc:description>
  <cp:lastModifiedBy>Lauren Miller</cp:lastModifiedBy>
  <cp:revision>10</cp:revision>
  <dcterms:created xsi:type="dcterms:W3CDTF">2026-02-05T19:27:00Z</dcterms:created>
  <dcterms:modified xsi:type="dcterms:W3CDTF">2026-02-06T20:26:00Z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