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1C066" w14:textId="3CF1C7C5" w:rsidR="004F697B" w:rsidRPr="00917F65" w:rsidRDefault="00C820D2" w:rsidP="00771021">
      <w:pPr>
        <w:pStyle w:val="Heading1"/>
        <w:rPr>
          <w:szCs w:val="48"/>
        </w:rPr>
      </w:pPr>
      <w:r w:rsidRPr="00BC0E75">
        <w:rPr>
          <w:szCs w:val="48"/>
        </w:rPr>
        <w:t>Frequently Asked Questions</w:t>
      </w:r>
      <w:r>
        <w:rPr>
          <w:szCs w:val="48"/>
        </w:rPr>
        <w:t xml:space="preserve">: </w:t>
      </w:r>
      <w:r w:rsidR="0026499F">
        <w:rPr>
          <w:szCs w:val="48"/>
        </w:rPr>
        <w:t>Air Quality</w:t>
      </w:r>
      <w:r w:rsidR="00BC0E75" w:rsidRPr="00BC0E75">
        <w:rPr>
          <w:szCs w:val="48"/>
        </w:rPr>
        <w:t xml:space="preserve"> </w:t>
      </w:r>
    </w:p>
    <w:p w14:paraId="45545A09" w14:textId="002DDA44" w:rsidR="002F7762" w:rsidRDefault="002F7762" w:rsidP="00BC0E75">
      <w:pPr>
        <w:pStyle w:val="Heading2"/>
        <w:rPr>
          <w:rFonts w:asciiTheme="minorHAnsi" w:eastAsiaTheme="minorHAnsi" w:hAnsiTheme="minorHAnsi" w:cstheme="minorBidi"/>
          <w:b w:val="0"/>
          <w:color w:val="000000" w:themeColor="text1"/>
          <w:sz w:val="24"/>
          <w:szCs w:val="24"/>
        </w:rPr>
      </w:pPr>
      <w:r w:rsidRPr="002F7762">
        <w:rPr>
          <w:rFonts w:asciiTheme="minorHAnsi" w:eastAsiaTheme="minorHAnsi" w:hAnsiTheme="minorHAnsi" w:cstheme="minorBidi"/>
          <w:b w:val="0"/>
          <w:color w:val="000000" w:themeColor="text1"/>
          <w:sz w:val="24"/>
          <w:szCs w:val="24"/>
        </w:rPr>
        <w:t xml:space="preserve">If you have questions concerning the air quality process, please forward them to the ENV Air Quality Specialist. This document </w:t>
      </w:r>
      <w:r w:rsidR="005B2F01">
        <w:rPr>
          <w:rFonts w:asciiTheme="minorHAnsi" w:eastAsiaTheme="minorHAnsi" w:hAnsiTheme="minorHAnsi" w:cstheme="minorBidi"/>
          <w:b w:val="0"/>
          <w:color w:val="000000" w:themeColor="text1"/>
          <w:sz w:val="24"/>
          <w:szCs w:val="24"/>
        </w:rPr>
        <w:t>is</w:t>
      </w:r>
      <w:r w:rsidRPr="002F7762">
        <w:rPr>
          <w:rFonts w:asciiTheme="minorHAnsi" w:eastAsiaTheme="minorHAnsi" w:hAnsiTheme="minorHAnsi" w:cstheme="minorBidi"/>
          <w:b w:val="0"/>
          <w:color w:val="000000" w:themeColor="text1"/>
          <w:sz w:val="24"/>
          <w:szCs w:val="24"/>
        </w:rPr>
        <w:t xml:space="preserve"> updated periodically when new questions are submitted.</w:t>
      </w:r>
    </w:p>
    <w:p w14:paraId="4123268A" w14:textId="72F1E7BE" w:rsidR="00BC0E75" w:rsidRPr="00B37E1E" w:rsidRDefault="00BC0E75" w:rsidP="00BC0E75">
      <w:pPr>
        <w:pStyle w:val="Heading2"/>
      </w:pPr>
      <w:r w:rsidRPr="00B37E1E">
        <w:t>Question</w:t>
      </w:r>
      <w:r>
        <w:t xml:space="preserve"> 1</w:t>
      </w:r>
      <w:r w:rsidRPr="00B37E1E">
        <w:t xml:space="preserve">: </w:t>
      </w:r>
      <w:r w:rsidR="003B453C" w:rsidRPr="003B453C">
        <w:t>Where can I find guidance for preparing environmental documentation for air quality?</w:t>
      </w:r>
    </w:p>
    <w:p w14:paraId="21972131" w14:textId="3DC7A236" w:rsidR="00BC0E75" w:rsidRPr="00B011B0" w:rsidRDefault="00BC0E75" w:rsidP="007015D2">
      <w:pPr>
        <w:ind w:left="1350" w:hanging="1350"/>
      </w:pPr>
      <w:r w:rsidRPr="00B011B0">
        <w:t>A</w:t>
      </w:r>
      <w:r>
        <w:t>nswer</w:t>
      </w:r>
      <w:r w:rsidR="007015D2">
        <w:t xml:space="preserve"> 1</w:t>
      </w:r>
      <w:r w:rsidRPr="00B011B0">
        <w:t>:</w:t>
      </w:r>
      <w:r>
        <w:t xml:space="preserve"> </w:t>
      </w:r>
      <w:r w:rsidR="007C3078" w:rsidRPr="007C3078">
        <w:t xml:space="preserve">ENV has an entire </w:t>
      </w:r>
      <w:hyperlink r:id="rId11" w:history="1">
        <w:r w:rsidR="007C3078" w:rsidRPr="008430BD">
          <w:rPr>
            <w:rStyle w:val="Hyperlink"/>
          </w:rPr>
          <w:t>Air Quality Toolkit</w:t>
        </w:r>
      </w:hyperlink>
      <w:r w:rsidR="007C3078" w:rsidRPr="007C3078">
        <w:t xml:space="preserve"> full of guidance and reference material to help with the development of the environmental documentation for air quality. The toolkit includes the Environmental Handbook for Air Quality, documentation standards, review standards, </w:t>
      </w:r>
      <w:r w:rsidR="005E75C4" w:rsidRPr="002A06B9">
        <w:t xml:space="preserve">Environmental Compliance and Oversight System </w:t>
      </w:r>
      <w:r w:rsidR="005E75C4">
        <w:t>(</w:t>
      </w:r>
      <w:r w:rsidR="007C3078" w:rsidRPr="007C3078">
        <w:t>ECOS</w:t>
      </w:r>
      <w:r w:rsidR="005E75C4">
        <w:t>)</w:t>
      </w:r>
      <w:r w:rsidR="007C3078" w:rsidRPr="007C3078">
        <w:t xml:space="preserve"> activity instructions, and various reference materials. The toolkit has all the information necessary to develop and document air quality compliance for projects, from scoping to the standard template language for environmental documents.</w:t>
      </w:r>
    </w:p>
    <w:p w14:paraId="28CC2FCB" w14:textId="25D6BDE8" w:rsidR="00BC0E75" w:rsidRPr="00B37E1E" w:rsidRDefault="00BC0E75" w:rsidP="00BC0E75">
      <w:pPr>
        <w:pStyle w:val="Heading2"/>
      </w:pPr>
      <w:r w:rsidRPr="00B37E1E">
        <w:t>Question</w:t>
      </w:r>
      <w:r>
        <w:t xml:space="preserve"> 2</w:t>
      </w:r>
      <w:r w:rsidRPr="00B37E1E">
        <w:t xml:space="preserve">: </w:t>
      </w:r>
      <w:r w:rsidR="00525136" w:rsidRPr="00525136">
        <w:t>How do I use the air quality toolkit and where do I start?</w:t>
      </w:r>
    </w:p>
    <w:p w14:paraId="3F6A13E8" w14:textId="0E5F23E5" w:rsidR="002327D5" w:rsidRDefault="00BC0E75" w:rsidP="002327D5">
      <w:pPr>
        <w:ind w:left="1350" w:hanging="1350"/>
      </w:pPr>
      <w:r w:rsidRPr="00B011B0">
        <w:t>A</w:t>
      </w:r>
      <w:r>
        <w:t>nswer</w:t>
      </w:r>
      <w:r w:rsidR="007015D2">
        <w:t xml:space="preserve"> 2</w:t>
      </w:r>
      <w:r w:rsidRPr="00B011B0">
        <w:t>:</w:t>
      </w:r>
      <w:r w:rsidR="007015D2">
        <w:t xml:space="preserve"> </w:t>
      </w:r>
      <w:r w:rsidR="002327D5">
        <w:t xml:space="preserve">The </w:t>
      </w:r>
      <w:hyperlink r:id="rId12" w:history="1">
        <w:r w:rsidR="008430BD" w:rsidRPr="008430BD">
          <w:rPr>
            <w:rStyle w:val="Hyperlink"/>
          </w:rPr>
          <w:t>Air Quality Toolkit</w:t>
        </w:r>
      </w:hyperlink>
      <w:r w:rsidR="008430BD">
        <w:rPr>
          <w:u w:val="single"/>
        </w:rPr>
        <w:t xml:space="preserve"> </w:t>
      </w:r>
      <w:r w:rsidR="002327D5">
        <w:t>contains many materials and can be overwhelming; however, it is organized to make it more user-friendly.</w:t>
      </w:r>
    </w:p>
    <w:p w14:paraId="638A856B" w14:textId="56988262" w:rsidR="002327D5" w:rsidRDefault="44C3ABAF" w:rsidP="000B1292">
      <w:pPr>
        <w:ind w:left="1350"/>
      </w:pPr>
      <w:r>
        <w:t xml:space="preserve">The Environmental Handbook for Air Quality is a good starting point because it provides both a regulatory background for transportation air quality requirements and establishes the process to scope your projects for those requirements. Other scoping tools, such as the Air Quality Compliance Flowcharts, and the Work Plan Development Tool in ECOS are all rooted in the same scoping process that is described in the Environmental Handbook for Air Quality. </w:t>
      </w:r>
    </w:p>
    <w:p w14:paraId="542D476A" w14:textId="1EBE0A76" w:rsidR="002327D5" w:rsidRDefault="44C3ABAF" w:rsidP="000B1292">
      <w:pPr>
        <w:ind w:left="1350"/>
      </w:pPr>
      <w:r>
        <w:lastRenderedPageBreak/>
        <w:t>Once you scope the specific air quality requirements that apply, you can open the specific ECOS activity instruction for that requirement and follow the step-by-step procedures to address that aspect of air quality for your project. There is a specific ECOS activity instruction for each potential air quality requirement that may apply (</w:t>
      </w:r>
      <w:r w:rsidR="0001168B">
        <w:t>that is, c</w:t>
      </w:r>
      <w:r>
        <w:t>onformity, hot-spot, carbon monoxide (CO) Traffic Air Quality Analysis (TAQA), mobile source air toxics (MSAT), and project-level congestion management process (CMP)). Each ECOS activity instruction will identify when a specific form, technical report, or resource document should be used.</w:t>
      </w:r>
    </w:p>
    <w:p w14:paraId="68199CC6" w14:textId="4D511203" w:rsidR="002327D5" w:rsidRDefault="44C3ABAF" w:rsidP="000B1292">
      <w:pPr>
        <w:ind w:left="1350"/>
      </w:pPr>
      <w:r>
        <w:t>When an ECOS activity instruction directs you to develop a technical report (</w:t>
      </w:r>
      <w:r w:rsidR="0001168B">
        <w:t>that is, C</w:t>
      </w:r>
      <w:r>
        <w:t xml:space="preserve">O TAQA, quantitative MSAT, or hot-spot), there are specific documentation standards that outline what to include and the format to use. When technical reports are developed by consultants or local government partners, there are optional review standards available in the toolkit that can be used to evaluate them for completeness. Note that these ECOS activity instructions are located in the </w:t>
      </w:r>
      <w:hyperlink r:id="rId13" w:history="1">
        <w:r w:rsidRPr="00672BA2">
          <w:rPr>
            <w:rStyle w:val="Hyperlink"/>
            <w:i/>
            <w:iCs/>
          </w:rPr>
          <w:t>Environmental Guide: Volume 2</w:t>
        </w:r>
      </w:hyperlink>
      <w:r>
        <w:t xml:space="preserve">. </w:t>
      </w:r>
    </w:p>
    <w:p w14:paraId="39A04E04" w14:textId="0E9B1FE1" w:rsidR="002327D5" w:rsidRDefault="002327D5" w:rsidP="000B1292">
      <w:pPr>
        <w:ind w:left="1350"/>
      </w:pPr>
      <w:r>
        <w:t xml:space="preserve">The Guidance for Preparing Air Quality Statements includes the recommended language that may be used in environmental documents to summarize the outcome of the various air quality scoping and analyses. It contains both negative declaration statements for times when a requirement does not apply to a project, </w:t>
      </w:r>
      <w:r w:rsidR="002A06B9">
        <w:t>as well as</w:t>
      </w:r>
      <w:r>
        <w:t xml:space="preserve"> language to summarize results of technical reports for specific air quality analyses.</w:t>
      </w:r>
    </w:p>
    <w:p w14:paraId="394EFB84" w14:textId="0624F356" w:rsidR="00BC0E75" w:rsidRPr="00B37E1E" w:rsidRDefault="00BC0E75" w:rsidP="00BC0E75">
      <w:pPr>
        <w:pStyle w:val="Heading2"/>
      </w:pPr>
      <w:r w:rsidRPr="00B37E1E">
        <w:t>Question</w:t>
      </w:r>
      <w:r>
        <w:t xml:space="preserve"> 3</w:t>
      </w:r>
      <w:r w:rsidRPr="00B37E1E">
        <w:t xml:space="preserve">: </w:t>
      </w:r>
      <w:r w:rsidR="00EB2292" w:rsidRPr="00EB2292">
        <w:t>What air quality requirements apply to transportation projects?</w:t>
      </w:r>
    </w:p>
    <w:p w14:paraId="0244D551" w14:textId="77777777" w:rsidR="00B625AD" w:rsidRDefault="44C3ABAF" w:rsidP="00B625AD">
      <w:pPr>
        <w:ind w:left="1260" w:hanging="1260"/>
      </w:pPr>
      <w:r>
        <w:t>Answer 3: There are seven air quality requirements that generally result from project scoping:</w:t>
      </w:r>
    </w:p>
    <w:p w14:paraId="25B83B0D" w14:textId="7D315BAE" w:rsidR="00B625AD" w:rsidRDefault="44C3ABAF" w:rsidP="00D6453E">
      <w:pPr>
        <w:pStyle w:val="ListBullet"/>
        <w:ind w:left="1440" w:firstLine="0"/>
      </w:pPr>
      <w:r>
        <w:t xml:space="preserve">Project-level conformity (consistency check), </w:t>
      </w:r>
    </w:p>
    <w:p w14:paraId="27BE252A" w14:textId="67EB42A6" w:rsidR="00B625AD" w:rsidRDefault="44C3ABAF" w:rsidP="00D6453E">
      <w:pPr>
        <w:pStyle w:val="ListBullet"/>
        <w:ind w:left="1440" w:firstLine="0"/>
      </w:pPr>
      <w:r>
        <w:t xml:space="preserve">Project-level conformity (hot-spot requirements), </w:t>
      </w:r>
    </w:p>
    <w:p w14:paraId="44A472A8" w14:textId="182CB199" w:rsidR="00B625AD" w:rsidRDefault="44C3ABAF" w:rsidP="00D6453E">
      <w:pPr>
        <w:pStyle w:val="ListBullet"/>
        <w:ind w:left="1440" w:firstLine="0"/>
      </w:pPr>
      <w:r>
        <w:lastRenderedPageBreak/>
        <w:t xml:space="preserve">CO TAQA, </w:t>
      </w:r>
    </w:p>
    <w:p w14:paraId="73CF6BEC" w14:textId="5B8785ED" w:rsidR="00B625AD" w:rsidRDefault="44C3ABAF" w:rsidP="00D6453E">
      <w:pPr>
        <w:pStyle w:val="ListBullet"/>
        <w:ind w:left="1440" w:firstLine="0"/>
      </w:pPr>
      <w:r>
        <w:t xml:space="preserve">MSAT, </w:t>
      </w:r>
    </w:p>
    <w:p w14:paraId="776C3537" w14:textId="51DADFD2" w:rsidR="00B625AD" w:rsidRDefault="44C3ABAF" w:rsidP="00D6453E">
      <w:pPr>
        <w:pStyle w:val="ListBullet"/>
        <w:ind w:left="1440" w:firstLine="0"/>
      </w:pPr>
      <w:r>
        <w:t xml:space="preserve">Project-level CMP, </w:t>
      </w:r>
    </w:p>
    <w:p w14:paraId="0D42822F" w14:textId="4C0A16B1" w:rsidR="00B625AD" w:rsidRDefault="44C3ABAF" w:rsidP="00D6453E">
      <w:pPr>
        <w:pStyle w:val="ListBullet"/>
        <w:ind w:left="1440" w:firstLine="0"/>
      </w:pPr>
      <w:r>
        <w:t xml:space="preserve">Construction emission disclosure, and </w:t>
      </w:r>
    </w:p>
    <w:p w14:paraId="4B88FAA6" w14:textId="63028324" w:rsidR="00B625AD" w:rsidRDefault="44C3ABAF" w:rsidP="00D6453E">
      <w:pPr>
        <w:pStyle w:val="ListBullet"/>
        <w:ind w:left="1440" w:firstLine="0"/>
      </w:pPr>
      <w:r>
        <w:t xml:space="preserve">Texas Commission on Environmental Quality (TCEQ) coordination. </w:t>
      </w:r>
    </w:p>
    <w:p w14:paraId="2613CF72" w14:textId="384A61BC" w:rsidR="00BC0E75" w:rsidRPr="00B011B0" w:rsidRDefault="44C3ABAF" w:rsidP="00D6453E">
      <w:pPr>
        <w:ind w:left="1440"/>
      </w:pPr>
      <w:r>
        <w:t xml:space="preserve">Not all of these will be required for all projects. The Air Quality Compliance Flowcharts in the </w:t>
      </w:r>
      <w:hyperlink r:id="rId14">
        <w:r w:rsidRPr="44C3ABAF">
          <w:rPr>
            <w:rStyle w:val="Hyperlink"/>
          </w:rPr>
          <w:t>Air Quality Toolkit</w:t>
        </w:r>
      </w:hyperlink>
      <w:r w:rsidRPr="00DB767E">
        <w:t xml:space="preserve"> </w:t>
      </w:r>
      <w:r>
        <w:t>provide a quick reference tool to determine which of these will apply to a particular project.</w:t>
      </w:r>
    </w:p>
    <w:p w14:paraId="610A0FBE" w14:textId="29FF00E5" w:rsidR="00BC0E75" w:rsidRPr="00B37E1E" w:rsidRDefault="00BC0E75" w:rsidP="00BC0E75">
      <w:pPr>
        <w:pStyle w:val="Heading2"/>
      </w:pPr>
      <w:r w:rsidRPr="00B37E1E">
        <w:t>Question</w:t>
      </w:r>
      <w:r>
        <w:t xml:space="preserve"> 4</w:t>
      </w:r>
      <w:r w:rsidRPr="00B37E1E">
        <w:t xml:space="preserve">: </w:t>
      </w:r>
      <w:r w:rsidR="00C60DAD" w:rsidRPr="00C60DAD">
        <w:t>Should I prepare a generic air quality technical report that encompasses all of the air quality requirements?</w:t>
      </w:r>
    </w:p>
    <w:p w14:paraId="5A0AE93A" w14:textId="3348D2B4" w:rsidR="00BC0E75" w:rsidRPr="00B011B0" w:rsidRDefault="00BC0E75" w:rsidP="007015D2">
      <w:pPr>
        <w:ind w:left="1350" w:hanging="1350"/>
      </w:pPr>
      <w:r w:rsidRPr="00B011B0">
        <w:t>A</w:t>
      </w:r>
      <w:r>
        <w:t>nswer</w:t>
      </w:r>
      <w:r w:rsidR="007015D2">
        <w:t xml:space="preserve"> 4</w:t>
      </w:r>
      <w:r w:rsidRPr="00B011B0">
        <w:t>:</w:t>
      </w:r>
      <w:r w:rsidR="007015D2">
        <w:t xml:space="preserve"> </w:t>
      </w:r>
      <w:r w:rsidR="005E6644" w:rsidRPr="00205943">
        <w:t>Usually,</w:t>
      </w:r>
      <w:r w:rsidR="00205943" w:rsidRPr="00205943">
        <w:t xml:space="preserve"> the answer is no. Under most circumstances, it is not necessary and duplicates other environmental documentation. A  generic air quality technical report is only recommended when you have the rare project that has a federal lead agency other than</w:t>
      </w:r>
      <w:r w:rsidR="0001168B">
        <w:t xml:space="preserve"> Federal Highways Administration (FHWA) o</w:t>
      </w:r>
      <w:r w:rsidR="00205943" w:rsidRPr="00205943">
        <w:t>r</w:t>
      </w:r>
      <w:r w:rsidR="0062788A">
        <w:t xml:space="preserve"> Federal Transit Administration</w:t>
      </w:r>
      <w:r w:rsidR="00205943" w:rsidRPr="00205943">
        <w:t xml:space="preserve"> </w:t>
      </w:r>
      <w:r w:rsidR="0062788A">
        <w:t>(</w:t>
      </w:r>
      <w:r w:rsidR="00205943" w:rsidRPr="00205943">
        <w:t>FTA</w:t>
      </w:r>
      <w:r w:rsidR="0062788A">
        <w:t>)</w:t>
      </w:r>
      <w:r w:rsidR="00205943" w:rsidRPr="00205943">
        <w:t xml:space="preserve">, </w:t>
      </w:r>
      <w:r w:rsidR="009A3896" w:rsidRPr="00205943">
        <w:t>such as</w:t>
      </w:r>
      <w:r w:rsidR="00205943" w:rsidRPr="00205943">
        <w:t xml:space="preserve"> the Federal Railroad Administration (FRA), the Federal Aviation Administration (FAA), or Surface Transportation Board (STB). Instead of a generic technical report to address all air quality requirements, specific air quality technical reports should be prepared for each individual requirement, </w:t>
      </w:r>
      <w:r w:rsidR="005E6644" w:rsidRPr="00205943">
        <w:t>such as</w:t>
      </w:r>
      <w:r w:rsidR="00205943" w:rsidRPr="00205943">
        <w:t xml:space="preserve"> the conformity report form, a hot-spot technical report, a qualitative or quantitative MSAT technical report, or a CO TAQA technical report.</w:t>
      </w:r>
    </w:p>
    <w:p w14:paraId="6FA243EA" w14:textId="3DF80743" w:rsidR="00BC0E75" w:rsidRPr="00B37E1E" w:rsidRDefault="00BC0E75" w:rsidP="00BC0E75">
      <w:pPr>
        <w:pStyle w:val="Heading2"/>
      </w:pPr>
      <w:r w:rsidRPr="00B37E1E">
        <w:t>Question</w:t>
      </w:r>
      <w:r>
        <w:t xml:space="preserve"> 5</w:t>
      </w:r>
      <w:r w:rsidRPr="00B37E1E">
        <w:t xml:space="preserve">: </w:t>
      </w:r>
      <w:r w:rsidR="00134459" w:rsidRPr="00134459">
        <w:t>What resources are available to answer the project scoping questions?</w:t>
      </w:r>
    </w:p>
    <w:p w14:paraId="3F144CC9" w14:textId="5A29CA44" w:rsidR="00BC0E75" w:rsidRPr="00B011B0" w:rsidRDefault="00BC0E75" w:rsidP="007015D2">
      <w:pPr>
        <w:ind w:left="1350" w:hanging="1350"/>
      </w:pPr>
      <w:r w:rsidRPr="00B011B0">
        <w:t>A</w:t>
      </w:r>
      <w:r>
        <w:t>nswer</w:t>
      </w:r>
      <w:r w:rsidR="007015D2">
        <w:t xml:space="preserve"> 5</w:t>
      </w:r>
      <w:r w:rsidRPr="00B011B0">
        <w:t>:</w:t>
      </w:r>
      <w:r w:rsidR="007015D2">
        <w:t xml:space="preserve"> </w:t>
      </w:r>
      <w:r w:rsidR="005804E1" w:rsidRPr="005804E1">
        <w:t xml:space="preserve">There are multiple resources that can be referenced, but the first steps would include collecting information about your proposed project and where it is located. There is a document in the </w:t>
      </w:r>
      <w:hyperlink r:id="rId15" w:history="1">
        <w:r w:rsidR="008430BD" w:rsidRPr="008430BD">
          <w:rPr>
            <w:rStyle w:val="Hyperlink"/>
          </w:rPr>
          <w:t>Air Quality Toolkit</w:t>
        </w:r>
      </w:hyperlink>
      <w:r w:rsidR="008430BD" w:rsidRPr="003A255E">
        <w:t xml:space="preserve"> </w:t>
      </w:r>
      <w:r w:rsidR="005804E1" w:rsidRPr="005804E1">
        <w:t xml:space="preserve">titled Texas Air Quality </w:t>
      </w:r>
      <w:r w:rsidR="005804E1" w:rsidRPr="005804E1">
        <w:lastRenderedPageBreak/>
        <w:t xml:space="preserve">Nonattainment or Attainment-Maintenance Areas and Counties, which is updated with the latest nonattainment counties, designations, and conforming transportation plans. If the project is located within a nonattainment area, its listing in the </w:t>
      </w:r>
      <w:hyperlink r:id="rId16" w:history="1">
        <w:r w:rsidR="005804E1" w:rsidRPr="00BF3B9B">
          <w:rPr>
            <w:rStyle w:val="Hyperlink"/>
          </w:rPr>
          <w:t>transportation plan</w:t>
        </w:r>
      </w:hyperlink>
      <w:r w:rsidR="005804E1" w:rsidRPr="005804E1">
        <w:t xml:space="preserve"> can give insight as to whether the project is regionally significant or even exempt from conformity requirements. Preliminary traffic data or a working knowledge of the project corridor can be used to determine if predicted design year traffic will come close to the 140,000 vehicle per day threshold for the CO TAQA and MSAT analysis triggers; if there is a possibility it could exceed the threshold once the </w:t>
      </w:r>
      <w:r w:rsidR="00C271B4">
        <w:t>National Environmental Policy Act (</w:t>
      </w:r>
      <w:r w:rsidR="005804E1" w:rsidRPr="005804E1">
        <w:t>NEPA</w:t>
      </w:r>
      <w:r w:rsidR="00C271B4">
        <w:t>)</w:t>
      </w:r>
      <w:r w:rsidR="005804E1" w:rsidRPr="005804E1">
        <w:t xml:space="preserve"> traffic data becomes available, then during scoping assume it will exceed as a conservative approach. Also, the </w:t>
      </w:r>
      <w:r w:rsidR="0062788A">
        <w:t xml:space="preserve">Environmental Affairs Division (ENV) </w:t>
      </w:r>
      <w:r w:rsidR="005804E1" w:rsidRPr="005804E1">
        <w:t>air quality specialist is available to provide support for scoping questions.</w:t>
      </w:r>
    </w:p>
    <w:p w14:paraId="08D2A0B3" w14:textId="467B13B6" w:rsidR="00BC0E75" w:rsidRPr="00B37E1E" w:rsidRDefault="00BC0E75" w:rsidP="00BC0E75">
      <w:pPr>
        <w:pStyle w:val="Heading2"/>
      </w:pPr>
      <w:r w:rsidRPr="00B37E1E">
        <w:t>Question</w:t>
      </w:r>
      <w:r>
        <w:t xml:space="preserve"> 6</w:t>
      </w:r>
      <w:r w:rsidRPr="00B37E1E">
        <w:t xml:space="preserve">: </w:t>
      </w:r>
      <w:r w:rsidR="00761A46" w:rsidRPr="00761A46">
        <w:t>How do I determine whether my project is consistent with transportation plans and programs?</w:t>
      </w:r>
    </w:p>
    <w:p w14:paraId="7FD566DC" w14:textId="68EF74B2" w:rsidR="00BE63D7" w:rsidRDefault="00BC0E75" w:rsidP="00BE63D7">
      <w:pPr>
        <w:ind w:left="1350" w:hanging="1350"/>
      </w:pPr>
      <w:r>
        <w:t>Answer</w:t>
      </w:r>
      <w:r w:rsidR="007015D2">
        <w:t xml:space="preserve"> 6</w:t>
      </w:r>
      <w:r w:rsidRPr="00B011B0">
        <w:t>:</w:t>
      </w:r>
      <w:r w:rsidR="007015D2">
        <w:t xml:space="preserve"> </w:t>
      </w:r>
      <w:r w:rsidR="00BE63D7">
        <w:t>Projects in nonattainment or maintenance areas for ozone, CO, particulate matter (PM), or nitrogen dioxide (NO2) and that are not otherwise exempt from conformity are required to obtain project-level conformity determinations. Conformity requires that the project is consistent with the applicable transportation plan</w:t>
      </w:r>
      <w:r w:rsidR="00704E5E">
        <w:t xml:space="preserve">, </w:t>
      </w:r>
      <w:r w:rsidR="00BE63D7">
        <w:t>Metropolitan Transportation Plan (MTP) or Regional Transportation Plan (RTP)</w:t>
      </w:r>
      <w:r w:rsidR="00704E5E">
        <w:t>,</w:t>
      </w:r>
      <w:r w:rsidR="00BE63D7">
        <w:t xml:space="preserve"> and the applicable program</w:t>
      </w:r>
      <w:r w:rsidR="00704E5E">
        <w:t xml:space="preserve">, </w:t>
      </w:r>
      <w:r w:rsidR="00BE63D7">
        <w:t>Transportation Improvement Program (TIP) or Statewide Transportation Improvement Program (STIP). Projects requiring a conformity determination will need to show that they are consistent with regard to the design concept and scope described in the MTP</w:t>
      </w:r>
      <w:r w:rsidR="00FE45CD">
        <w:t>,</w:t>
      </w:r>
      <w:r w:rsidR="009F3874">
        <w:t xml:space="preserve"> </w:t>
      </w:r>
      <w:r w:rsidR="00BE63D7">
        <w:t>RTP and TIP</w:t>
      </w:r>
      <w:r w:rsidR="00FE45CD">
        <w:t xml:space="preserve"> or </w:t>
      </w:r>
      <w:r w:rsidR="00BE63D7">
        <w:t xml:space="preserve">STIP. This includes having both the same type of facility and number of lanes. Consistency also means that the project is fiscally constrained to the cost identified in the transportation plan (no more than 50% greater). The timeframe to complete a project must also fall within a certain window of time as identified in the </w:t>
      </w:r>
      <w:r w:rsidR="00BE63D7">
        <w:lastRenderedPageBreak/>
        <w:t>MTP</w:t>
      </w:r>
      <w:r w:rsidR="005F0239">
        <w:t xml:space="preserve"> or </w:t>
      </w:r>
      <w:r w:rsidR="00BE63D7">
        <w:t xml:space="preserve">RTP. The Transportation Conformity Report Form in the </w:t>
      </w:r>
      <w:hyperlink r:id="rId17" w:history="1">
        <w:r w:rsidR="00655DB6" w:rsidRPr="008430BD">
          <w:rPr>
            <w:rStyle w:val="Hyperlink"/>
          </w:rPr>
          <w:t>Air Quality Toolkit</w:t>
        </w:r>
      </w:hyperlink>
      <w:r w:rsidR="00655DB6" w:rsidRPr="00DE76F4">
        <w:t xml:space="preserve"> </w:t>
      </w:r>
      <w:r w:rsidR="00BE63D7">
        <w:t>is currently used to demonstrate project-level conformity and has step-by-step instructions for determining and documenting project consistency.</w:t>
      </w:r>
    </w:p>
    <w:p w14:paraId="136BB92A" w14:textId="4FB3D271" w:rsidR="00BC0E75" w:rsidRPr="00B011B0" w:rsidRDefault="44C3ABAF" w:rsidP="00D6453E">
      <w:pPr>
        <w:ind w:left="1350"/>
      </w:pPr>
      <w:r>
        <w:t>If a project is within an attainment or unclassifiable area or is exempt from a project-level conformity determination, then consistency with the applicable transportation plan and program is not an air quality requirement.</w:t>
      </w:r>
    </w:p>
    <w:p w14:paraId="26AB3456" w14:textId="4C4207CF" w:rsidR="00BC0E75" w:rsidRPr="0081054D" w:rsidRDefault="00BC0E75" w:rsidP="00BC0E75">
      <w:pPr>
        <w:rPr>
          <w:b/>
        </w:rPr>
      </w:pPr>
      <w:r w:rsidRPr="00B10B4D">
        <w:rPr>
          <w:rStyle w:val="Heading2Char"/>
        </w:rPr>
        <w:t>Question</w:t>
      </w:r>
      <w:r>
        <w:rPr>
          <w:rStyle w:val="Heading2Char"/>
        </w:rPr>
        <w:t xml:space="preserve"> 7</w:t>
      </w:r>
      <w:r w:rsidRPr="00B10B4D">
        <w:rPr>
          <w:rStyle w:val="Heading2Char"/>
        </w:rPr>
        <w:t xml:space="preserve">: </w:t>
      </w:r>
      <w:r w:rsidR="00E5067F" w:rsidRPr="00E5067F">
        <w:rPr>
          <w:rStyle w:val="Heading2Char"/>
        </w:rPr>
        <w:t>Can I clear projects using develop authority in nonattainment areas?</w:t>
      </w:r>
    </w:p>
    <w:p w14:paraId="110383F0" w14:textId="29CC3B2A" w:rsidR="00BC0E75" w:rsidRPr="00B011B0" w:rsidRDefault="00BC0E75" w:rsidP="007015D2">
      <w:pPr>
        <w:ind w:left="1350" w:hanging="1350"/>
      </w:pPr>
      <w:r w:rsidRPr="00B011B0">
        <w:t>A</w:t>
      </w:r>
      <w:r>
        <w:t>nswer</w:t>
      </w:r>
      <w:r w:rsidR="007015D2">
        <w:t xml:space="preserve"> 7</w:t>
      </w:r>
      <w:r w:rsidRPr="00B011B0">
        <w:t>:</w:t>
      </w:r>
      <w:r w:rsidR="007015D2">
        <w:t xml:space="preserve"> </w:t>
      </w:r>
      <w:r w:rsidR="00420CAD" w:rsidRPr="00420CAD">
        <w:t>If the project is subject to conformity, the short answer is no. Develop authority is intended to allow projects to proceed to NEPA clearance even when not included in the applicable TIP</w:t>
      </w:r>
      <w:r w:rsidR="005F0239">
        <w:t xml:space="preserve"> or </w:t>
      </w:r>
      <w:r w:rsidR="00420CAD" w:rsidRPr="00420CAD">
        <w:t>STIP and, in contrast, conformity requires projects to be included in and consistent with the applicable TIP</w:t>
      </w:r>
      <w:r w:rsidR="005F0239">
        <w:t xml:space="preserve"> or </w:t>
      </w:r>
      <w:r w:rsidR="00420CAD" w:rsidRPr="00420CAD">
        <w:t>STIP. This is why the January 2016 ENV memo titled Planning and Programming Consistency for FHWA Projects, established (in an underlined sentence) that develop authority does not supersede compliance with air conformity requirements.</w:t>
      </w:r>
    </w:p>
    <w:p w14:paraId="36A01C0B" w14:textId="0606BB2E" w:rsidR="00BC0E75" w:rsidRPr="00CE15E4" w:rsidRDefault="00BC0E75" w:rsidP="00BC0E75">
      <w:pPr>
        <w:pStyle w:val="Heading2"/>
      </w:pPr>
      <w:r w:rsidRPr="00CE15E4">
        <w:t>Question</w:t>
      </w:r>
      <w:r>
        <w:t xml:space="preserve"> 8</w:t>
      </w:r>
      <w:r w:rsidRPr="00CE15E4">
        <w:t xml:space="preserve">: </w:t>
      </w:r>
      <w:r w:rsidR="00825742" w:rsidRPr="00825742">
        <w:t>Are there Environmental Permits, Issues and Commitments associated with air quality?</w:t>
      </w:r>
    </w:p>
    <w:p w14:paraId="37609B47" w14:textId="58A4789D" w:rsidR="00BC0E75" w:rsidRDefault="00BC0E75" w:rsidP="007015D2">
      <w:pPr>
        <w:ind w:left="1350" w:hanging="1350"/>
      </w:pPr>
      <w:r w:rsidRPr="00B011B0">
        <w:t>A</w:t>
      </w:r>
      <w:r>
        <w:t>nswer</w:t>
      </w:r>
      <w:r w:rsidR="007015D2">
        <w:t xml:space="preserve"> 8</w:t>
      </w:r>
      <w:r w:rsidRPr="00B011B0">
        <w:t>:</w:t>
      </w:r>
      <w:r w:rsidR="007015D2">
        <w:t xml:space="preserve"> </w:t>
      </w:r>
      <w:r w:rsidR="00CA2D15" w:rsidRPr="00CA2D15">
        <w:t xml:space="preserve">There are not usually </w:t>
      </w:r>
      <w:r w:rsidR="00F0008E">
        <w:t>Environmental Permits, Issues, and Commitments (</w:t>
      </w:r>
      <w:r w:rsidR="00CA2D15" w:rsidRPr="00CA2D15">
        <w:t>EPIC</w:t>
      </w:r>
      <w:r w:rsidR="00F0008E">
        <w:t>s)</w:t>
      </w:r>
      <w:r w:rsidR="00CA2D15" w:rsidRPr="00CA2D15">
        <w:t xml:space="preserve"> associated with air quality. This is because all of the air quality evaluations and coordinations must occur prior to the project decision and the applicable construction mitigation is built into the specifications (</w:t>
      </w:r>
      <w:r w:rsidR="0062788A">
        <w:t>for instance,</w:t>
      </w:r>
      <w:r w:rsidR="0062788A" w:rsidRPr="00CA2D15">
        <w:t xml:space="preserve"> </w:t>
      </w:r>
      <w:r w:rsidR="0062788A">
        <w:t>d</w:t>
      </w:r>
      <w:r w:rsidR="00CA2D15" w:rsidRPr="00CA2D15">
        <w:t>ust suppression), into the construction contract (</w:t>
      </w:r>
      <w:r w:rsidR="0062788A">
        <w:t>for instance, c</w:t>
      </w:r>
      <w:r w:rsidR="00CA2D15" w:rsidRPr="00CA2D15">
        <w:t>ompliance with applicable permitting laws), or is voluntary (</w:t>
      </w:r>
      <w:r w:rsidR="0062788A">
        <w:t>for instance, T</w:t>
      </w:r>
      <w:r w:rsidR="008A1676" w:rsidRPr="008A1676">
        <w:t xml:space="preserve">exas Emissions Reduction Plan </w:t>
      </w:r>
      <w:r w:rsidR="00023AAF">
        <w:t>(</w:t>
      </w:r>
      <w:r w:rsidR="00CA2D15" w:rsidRPr="008A1676">
        <w:t>TERP</w:t>
      </w:r>
      <w:r w:rsidR="00023AAF">
        <w:t>)</w:t>
      </w:r>
      <w:r w:rsidR="00CA2D15" w:rsidRPr="008A1676">
        <w:t>).</w:t>
      </w:r>
      <w:r w:rsidR="00CA2D15" w:rsidRPr="00CA2D15">
        <w:t xml:space="preserve"> However, it is possible that additional voluntary commitments could be made which would require an </w:t>
      </w:r>
      <w:r w:rsidR="00CA2D15" w:rsidRPr="00CA2D15">
        <w:lastRenderedPageBreak/>
        <w:t xml:space="preserve">EPIC such as requiring the </w:t>
      </w:r>
      <w:r w:rsidR="00550FA3" w:rsidRPr="00CA2D15">
        <w:t>completion of</w:t>
      </w:r>
      <w:r w:rsidR="00CA2D15" w:rsidRPr="00CA2D15">
        <w:t xml:space="preserve"> an air quality construction plan. Discuss any potential commitments that would require an EPIC with the ENV air quality specialist.</w:t>
      </w:r>
    </w:p>
    <w:p w14:paraId="10F2D255" w14:textId="0C080C37" w:rsidR="00825742" w:rsidRPr="00CE15E4" w:rsidRDefault="44C3ABAF" w:rsidP="00825742">
      <w:pPr>
        <w:pStyle w:val="Heading2"/>
      </w:pPr>
      <w:r>
        <w:t xml:space="preserve">Question 9: How should I set up </w:t>
      </w:r>
      <w:r w:rsidR="00825742">
        <w:t>Environmental Compliance Oversight System</w:t>
      </w:r>
      <w:r>
        <w:t xml:space="preserve"> to document air quality compliance?</w:t>
      </w:r>
    </w:p>
    <w:p w14:paraId="4E7BB928" w14:textId="084895F7" w:rsidR="00825742" w:rsidRDefault="44C3ABAF" w:rsidP="00825742">
      <w:pPr>
        <w:ind w:left="1350" w:hanging="1350"/>
      </w:pPr>
      <w:r>
        <w:t xml:space="preserve">Answer 9: Please see the Detailed Steps in the </w:t>
      </w:r>
      <w:hyperlink r:id="rId18" w:history="1">
        <w:r w:rsidRPr="00023AAF">
          <w:rPr>
            <w:rStyle w:val="Hyperlink"/>
            <w:i/>
            <w:iCs/>
          </w:rPr>
          <w:t>Environmental Guide: Volumes 1 and 2</w:t>
        </w:r>
      </w:hyperlink>
      <w:r>
        <w:t>, specifically the ECOS activity instructions associated with air quality activities. The instructions provide a two-step process: 1) to identify the ECOS air quality activities (forms) to create at project scoping, and 2) to identify the documents to upload, people required to review those documents, and coordinations necessary for each air quality activity (form) opened during the scoping process. In this manner, ECOS serves as both a planning tool and documentation record. If the ECOS activity instructions are followed, then once all of the air quality activities in ECOS are approved and closed, all of the air quality requirements for environmental clearance will have been addressed.</w:t>
      </w:r>
    </w:p>
    <w:p w14:paraId="0F7E8AA4" w14:textId="51C5430F" w:rsidR="00825742" w:rsidRPr="00CE15E4" w:rsidRDefault="00825742" w:rsidP="00825742">
      <w:pPr>
        <w:pStyle w:val="Heading2"/>
      </w:pPr>
      <w:r w:rsidRPr="00CE15E4">
        <w:t>Question</w:t>
      </w:r>
      <w:r>
        <w:t xml:space="preserve"> 10</w:t>
      </w:r>
      <w:r w:rsidRPr="00CE15E4">
        <w:t xml:space="preserve">: </w:t>
      </w:r>
      <w:r w:rsidR="00070948" w:rsidRPr="00070948">
        <w:t>How do we handle greenhouse gases and climate change in National Environmental Policy Act documents?</w:t>
      </w:r>
    </w:p>
    <w:p w14:paraId="049978DE" w14:textId="5663D6C9" w:rsidR="00825742" w:rsidRDefault="00825742" w:rsidP="00825742">
      <w:pPr>
        <w:ind w:left="1350" w:hanging="1350"/>
      </w:pPr>
      <w:r w:rsidRPr="00B011B0">
        <w:t>A</w:t>
      </w:r>
      <w:r>
        <w:t xml:space="preserve">nswer </w:t>
      </w:r>
      <w:r w:rsidR="005F00A0">
        <w:t>10</w:t>
      </w:r>
      <w:r w:rsidRPr="00B011B0">
        <w:t>:</w:t>
      </w:r>
      <w:r>
        <w:t xml:space="preserve"> </w:t>
      </w:r>
      <w:r w:rsidR="005C4A54" w:rsidRPr="005C4A54">
        <w:t>There are no regulatory requirements at the project level  under NEPA. TxDOT developed a programmatic approach using a S</w:t>
      </w:r>
      <w:r w:rsidR="005C4A54" w:rsidRPr="00620D64">
        <w:t xml:space="preserve">tatewide </w:t>
      </w:r>
      <w:hyperlink r:id="rId19" w:history="1">
        <w:r w:rsidR="005C4A54" w:rsidRPr="00620D64">
          <w:rPr>
            <w:rStyle w:val="Hyperlink"/>
          </w:rPr>
          <w:t>Greenhouse Gas and Climate Change Technical Report</w:t>
        </w:r>
      </w:hyperlink>
      <w:r w:rsidR="005C4A54" w:rsidRPr="00620D64">
        <w:t>. The</w:t>
      </w:r>
      <w:r w:rsidR="005C4A54" w:rsidRPr="005C4A54">
        <w:t xml:space="preserve"> report should be referenced for EIS projects. Contact the Human Environment Team Lead for additional questions on this topic.</w:t>
      </w:r>
    </w:p>
    <w:p w14:paraId="6A55A439" w14:textId="41E9AEE2" w:rsidR="00825742" w:rsidRPr="00CE15E4" w:rsidRDefault="00825742" w:rsidP="00825742">
      <w:pPr>
        <w:pStyle w:val="Heading2"/>
      </w:pPr>
      <w:r w:rsidRPr="00CE15E4">
        <w:lastRenderedPageBreak/>
        <w:t>Question</w:t>
      </w:r>
      <w:r>
        <w:t xml:space="preserve"> 11</w:t>
      </w:r>
      <w:r w:rsidRPr="00CE15E4">
        <w:t xml:space="preserve">: </w:t>
      </w:r>
      <w:r w:rsidR="004D2951" w:rsidRPr="004D2951">
        <w:t>Does the Environmental Affairs Division provide air quality training?</w:t>
      </w:r>
    </w:p>
    <w:p w14:paraId="047C208B" w14:textId="731F11F2" w:rsidR="00825742" w:rsidRDefault="44C3ABAF" w:rsidP="00825742">
      <w:pPr>
        <w:ind w:left="1350" w:hanging="1350"/>
      </w:pPr>
      <w:r>
        <w:t xml:space="preserve">Answer 11: Yes. Basic air quality 101 training is provided annually and is presented as three separate courses based on the applicability of air quality requirements for different areas of the State. ENV111 is </w:t>
      </w:r>
      <w:r w:rsidR="00A254E0">
        <w:t>an</w:t>
      </w:r>
      <w:r>
        <w:t xml:space="preserve"> all-inclusive 6-hour course on air quality, which goes into detail on all of the regulatory compliance requirements and is recommended for areas designated as </w:t>
      </w:r>
      <w:r w:rsidR="00A254E0">
        <w:t>non-attainment</w:t>
      </w:r>
      <w:r>
        <w:t xml:space="preserve"> or maintenance. ENV109 is a 4-hour course for areas that are in attainment but may have enough traffic volumes in their corridors to trigger NEPA analyses like CO TAQA or quantitative MSAT. ENV108 is a 2-hour course for areas that are in attainment and have very little likelihood of needing a quantitative air quality analysis. </w:t>
      </w:r>
    </w:p>
    <w:p w14:paraId="728A0B33" w14:textId="4A010BAF" w:rsidR="00825742" w:rsidRDefault="44C3ABAF" w:rsidP="00D6453E">
      <w:pPr>
        <w:ind w:left="1350"/>
      </w:pPr>
      <w:r>
        <w:t xml:space="preserve">Additionally, the ENV air quality team offers ENV129, a 4-hour course specifically for completing the conformity report </w:t>
      </w:r>
      <w:proofErr w:type="gramStart"/>
      <w:r>
        <w:t xml:space="preserve">form, </w:t>
      </w:r>
      <w:r w:rsidR="00A254E0">
        <w:t>and</w:t>
      </w:r>
      <w:proofErr w:type="gramEnd"/>
      <w:r w:rsidR="00A254E0">
        <w:t xml:space="preserve"> has</w:t>
      </w:r>
      <w:r>
        <w:t xml:space="preserve"> also teamed up with FHWA to provide project-level conformity, CO TAQA, and quantitative MSAT training as needed. Please contact the ENV air quality specialist if you wish to schedule air quality training in your area.</w:t>
      </w:r>
    </w:p>
    <w:p w14:paraId="23894299" w14:textId="1D29420C" w:rsidR="00825742" w:rsidRPr="00CE15E4" w:rsidRDefault="00825742" w:rsidP="00825742">
      <w:pPr>
        <w:pStyle w:val="Heading2"/>
      </w:pPr>
      <w:r w:rsidRPr="00CE15E4">
        <w:t>Question</w:t>
      </w:r>
      <w:r>
        <w:t xml:space="preserve"> 12</w:t>
      </w:r>
      <w:r w:rsidRPr="00CE15E4">
        <w:t xml:space="preserve">: </w:t>
      </w:r>
      <w:r w:rsidR="00A1295F" w:rsidRPr="00A1295F">
        <w:t>Are there additional resources to help respond to public comments regarding air quality?</w:t>
      </w:r>
    </w:p>
    <w:p w14:paraId="386B535C" w14:textId="36575ED2" w:rsidR="005F00A0" w:rsidRDefault="00825742" w:rsidP="005F00A0">
      <w:pPr>
        <w:ind w:left="1350" w:hanging="1350"/>
      </w:pPr>
      <w:r w:rsidRPr="00B011B0">
        <w:t>A</w:t>
      </w:r>
      <w:r>
        <w:t xml:space="preserve">nswer </w:t>
      </w:r>
      <w:r w:rsidR="005F00A0">
        <w:t>12</w:t>
      </w:r>
      <w:r w:rsidRPr="00B011B0">
        <w:t>:</w:t>
      </w:r>
      <w:r>
        <w:t xml:space="preserve"> </w:t>
      </w:r>
      <w:r w:rsidR="005F00A0">
        <w:t>Yes. There have been a few projects where the project sponsor determined that it would be useful to provide additional information to the public. The following resources may provide additional support for responding to public comments or concerns:</w:t>
      </w:r>
    </w:p>
    <w:p w14:paraId="0869C159" w14:textId="374DC692" w:rsidR="005F00A0" w:rsidRDefault="44C3ABAF" w:rsidP="0098678E">
      <w:pPr>
        <w:pStyle w:val="ListBullet"/>
        <w:ind w:left="1620" w:hanging="270"/>
      </w:pPr>
      <w:hyperlink r:id="rId20">
        <w:r w:rsidRPr="44C3ABAF">
          <w:rPr>
            <w:rStyle w:val="Hyperlink"/>
          </w:rPr>
          <w:t>TCEQ’s Air Pollutant Watch List</w:t>
        </w:r>
      </w:hyperlink>
      <w:r>
        <w:t xml:space="preserve"> (APWL): This is a great resource for identifying counties that are under watch by TCEQ because of concerns related to air toxics, such as the Mobile Source Air Toxics. </w:t>
      </w:r>
    </w:p>
    <w:p w14:paraId="5C2B2D66" w14:textId="776683B6" w:rsidR="005F00A0" w:rsidRDefault="44C3ABAF" w:rsidP="0098678E">
      <w:pPr>
        <w:pStyle w:val="ListBullet"/>
        <w:ind w:left="1620" w:hanging="270"/>
      </w:pPr>
      <w:hyperlink r:id="rId21">
        <w:r w:rsidRPr="44C3ABAF">
          <w:rPr>
            <w:rStyle w:val="Hyperlink"/>
          </w:rPr>
          <w:t>TCEQ’s Toxicological Evaluations of Ambient Air Monitoring Data</w:t>
        </w:r>
      </w:hyperlink>
      <w:r>
        <w:t xml:space="preserve">: These are annual evaluations of air toxics monitoring data provided by TCEQ </w:t>
      </w:r>
      <w:r>
        <w:lastRenderedPageBreak/>
        <w:t xml:space="preserve">toxicology. These reports are good reference materials when responding to questions on the status of air toxics in the ambient environment. </w:t>
      </w:r>
    </w:p>
    <w:p w14:paraId="7F79997D" w14:textId="656B7FFF" w:rsidR="005F00A0" w:rsidRDefault="44C3ABAF" w:rsidP="0098678E">
      <w:pPr>
        <w:pStyle w:val="ListBullet"/>
        <w:ind w:left="1620" w:hanging="270"/>
      </w:pPr>
      <w:r>
        <w:t xml:space="preserve">TCEQ’s Trends Report: This report includes modeling performed by TCEQ for on-road emissions in all Texas counties from 1999-2050. This is particularly useful for identifying how air quality is expected to change over time for transportation-related criteria pollutants and their precursors. A recurring theme from this modeling is that even with increasing future vehicle miles traveled (VMT), there is a trend of decreasing future emissions. If needed, contact the ENV air specialist to procure a copy of the TCEQ’s Trends Report. </w:t>
      </w:r>
    </w:p>
    <w:p w14:paraId="77023EC7" w14:textId="6B89B64E" w:rsidR="005F00A0" w:rsidRDefault="44C3ABAF" w:rsidP="0098678E">
      <w:pPr>
        <w:pStyle w:val="ListBullet"/>
        <w:ind w:left="1620" w:hanging="270"/>
      </w:pPr>
      <w:hyperlink r:id="rId22">
        <w:r w:rsidRPr="44C3ABAF">
          <w:rPr>
            <w:rStyle w:val="Hyperlink"/>
          </w:rPr>
          <w:t>EPA Monitoring Data</w:t>
        </w:r>
      </w:hyperlink>
      <w:r>
        <w:t>: EPA maintains a database of monitored data from around the country for multiple pollutants. This is useful for being able to demonstrate what actual monitored values have been for specific areas and for identifying past trends.</w:t>
      </w:r>
    </w:p>
    <w:p w14:paraId="59455C0C" w14:textId="5FB59F15" w:rsidR="009260DC" w:rsidRDefault="44C3ABAF" w:rsidP="005E0AE0">
      <w:pPr>
        <w:pStyle w:val="ListBullet"/>
        <w:spacing w:after="0"/>
        <w:ind w:left="1620" w:hanging="270"/>
      </w:pPr>
      <w:r>
        <w:t>ENV Air Quality Specialist: The ENV air quality specialist is always available to answer questions and help respond to public comments. There are additional studies and regulatory references that can be provided for answering questions, depending on the circumstances of the project and the nature of the comments.</w:t>
      </w:r>
      <w:r w:rsidR="009260DC">
        <w:br w:type="page"/>
      </w:r>
    </w:p>
    <w:p w14:paraId="54E90CA7" w14:textId="77777777" w:rsidR="005D638D" w:rsidRDefault="005D638D" w:rsidP="000A5D0B">
      <w:pPr>
        <w:pStyle w:val="Heading2"/>
      </w:pPr>
      <w:r>
        <w:lastRenderedPageBreak/>
        <w:t>Revision History</w:t>
      </w:r>
    </w:p>
    <w:p w14:paraId="0B9749C6" w14:textId="03277E25" w:rsidR="000A5D0B" w:rsidRPr="000A5D0B" w:rsidRDefault="000A5D0B" w:rsidP="000A5D0B">
      <w:pPr>
        <w:pStyle w:val="Caption"/>
      </w:pPr>
      <w:r w:rsidRPr="000A5D0B">
        <w:t xml:space="preserve">Table </w:t>
      </w:r>
      <w:r>
        <w:fldChar w:fldCharType="begin"/>
      </w:r>
      <w:r>
        <w:instrText xml:space="preserve"> SEQ Table \* ARABIC </w:instrText>
      </w:r>
      <w:r>
        <w:fldChar w:fldCharType="separate"/>
      </w:r>
      <w:r w:rsidR="00BC0E75">
        <w:rPr>
          <w:noProof/>
        </w:rPr>
        <w:t>1</w:t>
      </w:r>
      <w:r>
        <w:fldChar w:fldCharType="end"/>
      </w:r>
      <w:r w:rsidRPr="000A5D0B">
        <w:t>. Document revision history</w:t>
      </w:r>
    </w:p>
    <w:tbl>
      <w:tblPr>
        <w:tblStyle w:val="ATFTxDOTTable"/>
        <w:tblW w:w="0" w:type="auto"/>
        <w:tblInd w:w="0" w:type="dxa"/>
        <w:tblLook w:val="0020" w:firstRow="1" w:lastRow="0" w:firstColumn="0" w:lastColumn="0" w:noHBand="0" w:noVBand="0"/>
        <w:tblCaption w:val="Document revision history"/>
      </w:tblPr>
      <w:tblGrid>
        <w:gridCol w:w="2425"/>
        <w:gridCol w:w="8365"/>
      </w:tblGrid>
      <w:tr w:rsidR="003F3CC1" w14:paraId="76506E07" w14:textId="77777777" w:rsidTr="007078AA">
        <w:trPr>
          <w:cnfStyle w:val="100000000000" w:firstRow="1" w:lastRow="0" w:firstColumn="0" w:lastColumn="0" w:oddVBand="0" w:evenVBand="0" w:oddHBand="0" w:evenHBand="0" w:firstRowFirstColumn="0" w:firstRowLastColumn="0" w:lastRowFirstColumn="0" w:lastRowLastColumn="0"/>
          <w:cantSplit/>
          <w:tblHeader/>
        </w:trPr>
        <w:tc>
          <w:tcPr>
            <w:tcW w:w="2425" w:type="dxa"/>
          </w:tcPr>
          <w:p w14:paraId="45F5E202" w14:textId="77777777" w:rsidR="003F3CC1" w:rsidRPr="00A07348" w:rsidRDefault="003F3CC1" w:rsidP="000F1326">
            <w:pPr>
              <w:rPr>
                <w:color w:val="FFFFFF" w:themeColor="background1"/>
              </w:rPr>
            </w:pPr>
            <w:r w:rsidRPr="00A07348">
              <w:rPr>
                <w:color w:val="FFFFFF" w:themeColor="background1"/>
              </w:rPr>
              <w:t xml:space="preserve">Effective </w:t>
            </w:r>
            <w:r w:rsidR="002A12D5" w:rsidRPr="00A07348">
              <w:rPr>
                <w:color w:val="FFFFFF" w:themeColor="background1"/>
              </w:rPr>
              <w:t>d</w:t>
            </w:r>
            <w:r w:rsidRPr="00A07348">
              <w:rPr>
                <w:color w:val="FFFFFF" w:themeColor="background1"/>
              </w:rPr>
              <w:t>ate</w:t>
            </w:r>
            <w:r w:rsidR="002A12D5" w:rsidRPr="00A07348">
              <w:rPr>
                <w:color w:val="FFFFFF" w:themeColor="background1"/>
              </w:rPr>
              <w:t xml:space="preserve"> (month year)</w:t>
            </w:r>
          </w:p>
        </w:tc>
        <w:tc>
          <w:tcPr>
            <w:tcW w:w="8365" w:type="dxa"/>
          </w:tcPr>
          <w:p w14:paraId="04EC3F98" w14:textId="77777777" w:rsidR="003F3CC1" w:rsidRPr="00A07348" w:rsidRDefault="002A12D5" w:rsidP="000F1326">
            <w:pPr>
              <w:rPr>
                <w:color w:val="FFFFFF" w:themeColor="background1"/>
              </w:rPr>
            </w:pPr>
            <w:r w:rsidRPr="00A07348">
              <w:rPr>
                <w:color w:val="FFFFFF" w:themeColor="background1"/>
              </w:rPr>
              <w:t>Reason for and description of change</w:t>
            </w:r>
          </w:p>
        </w:tc>
      </w:tr>
      <w:tr w:rsidR="00667429" w14:paraId="71DAD175" w14:textId="77777777" w:rsidTr="007078AA">
        <w:trPr>
          <w:cnfStyle w:val="000000100000" w:firstRow="0" w:lastRow="0" w:firstColumn="0" w:lastColumn="0" w:oddVBand="0" w:evenVBand="0" w:oddHBand="1" w:evenHBand="0" w:firstRowFirstColumn="0" w:firstRowLastColumn="0" w:lastRowFirstColumn="0" w:lastRowLastColumn="0"/>
          <w:cantSplit/>
        </w:trPr>
        <w:tc>
          <w:tcPr>
            <w:tcW w:w="2425" w:type="dxa"/>
          </w:tcPr>
          <w:p w14:paraId="0699EB26" w14:textId="65BE5C0F" w:rsidR="00667429" w:rsidRPr="00BC0E75" w:rsidRDefault="00CE4918" w:rsidP="000F1326">
            <w:r>
              <w:t>April 2026</w:t>
            </w:r>
          </w:p>
        </w:tc>
        <w:tc>
          <w:tcPr>
            <w:tcW w:w="8365" w:type="dxa"/>
          </w:tcPr>
          <w:p w14:paraId="3F2A2F6E" w14:textId="77777777" w:rsidR="00667429" w:rsidRDefault="00667429" w:rsidP="007078AA">
            <w:r>
              <w:t>Version 2</w:t>
            </w:r>
          </w:p>
          <w:p w14:paraId="2694D8BC" w14:textId="77777777" w:rsidR="00667429" w:rsidRDefault="44C3ABAF" w:rsidP="00E5075B">
            <w:pPr>
              <w:pStyle w:val="ListBullet"/>
              <w:ind w:left="391"/>
            </w:pPr>
            <w:r>
              <w:t>Updated to comply with accessibility and TxDOT branding standards and other minor updates.</w:t>
            </w:r>
          </w:p>
          <w:p w14:paraId="4FA46C47" w14:textId="2FA807BB" w:rsidR="0034010B" w:rsidRDefault="00112D2C" w:rsidP="00E5075B">
            <w:pPr>
              <w:pStyle w:val="ListBullet"/>
              <w:ind w:left="391"/>
            </w:pPr>
            <w:r w:rsidRPr="00AF4695">
              <w:t>The document numbered to 200</w:t>
            </w:r>
            <w:r w:rsidRPr="00AF4695">
              <w:noBreakHyphen/>
              <w:t>01</w:t>
            </w:r>
            <w:r w:rsidRPr="00AF4695">
              <w:noBreakHyphen/>
              <w:t>FAQ to accurately reflect its classification as a Frequently Asked Questions document, not a guidance document.</w:t>
            </w:r>
          </w:p>
        </w:tc>
      </w:tr>
      <w:tr w:rsidR="00BC0E75" w14:paraId="5A00FECE" w14:textId="77777777" w:rsidTr="007078AA">
        <w:trPr>
          <w:cnfStyle w:val="000000010000" w:firstRow="0" w:lastRow="0" w:firstColumn="0" w:lastColumn="0" w:oddVBand="0" w:evenVBand="0" w:oddHBand="0" w:evenHBand="1" w:firstRowFirstColumn="0" w:firstRowLastColumn="0" w:lastRowFirstColumn="0" w:lastRowLastColumn="0"/>
          <w:cantSplit/>
        </w:trPr>
        <w:tc>
          <w:tcPr>
            <w:tcW w:w="2425" w:type="dxa"/>
          </w:tcPr>
          <w:p w14:paraId="047ABAFB" w14:textId="63B99BC1" w:rsidR="00BC0E75" w:rsidRPr="00BC0E75" w:rsidRDefault="00AF4E88" w:rsidP="00E5075B">
            <w:pPr>
              <w:tabs>
                <w:tab w:val="left" w:pos="2520"/>
              </w:tabs>
            </w:pPr>
            <w:r>
              <w:t>February</w:t>
            </w:r>
            <w:r w:rsidR="00BC0E75" w:rsidRPr="00BC0E75">
              <w:t xml:space="preserve"> 20</w:t>
            </w:r>
            <w:r>
              <w:t>19</w:t>
            </w:r>
          </w:p>
        </w:tc>
        <w:tc>
          <w:tcPr>
            <w:tcW w:w="8365" w:type="dxa"/>
          </w:tcPr>
          <w:p w14:paraId="26C1C536" w14:textId="3DCD474E" w:rsidR="00BC0E75" w:rsidRDefault="00BC0E75" w:rsidP="007078AA">
            <w:r w:rsidRPr="000E2D2C">
              <w:t>Version</w:t>
            </w:r>
            <w:r>
              <w:t xml:space="preserve"> </w:t>
            </w:r>
            <w:r w:rsidR="00AF4E88">
              <w:t>1</w:t>
            </w:r>
          </w:p>
          <w:p w14:paraId="7363E2CE" w14:textId="056B41FC" w:rsidR="00BC0E75" w:rsidRDefault="00667429" w:rsidP="00E5075B">
            <w:pPr>
              <w:pStyle w:val="ListBullet"/>
              <w:ind w:left="391"/>
            </w:pPr>
            <w:r w:rsidRPr="00292820">
              <w:t>Used to a</w:t>
            </w:r>
            <w:r w:rsidR="00A26EC1" w:rsidRPr="00292820">
              <w:t>nswer commonly asked questions concerning project-level compliance with transportation-related air quality requirements</w:t>
            </w:r>
            <w:r w:rsidR="00A26EC1" w:rsidRPr="00A26EC1">
              <w:t>.</w:t>
            </w:r>
          </w:p>
        </w:tc>
      </w:tr>
    </w:tbl>
    <w:p w14:paraId="72A26465" w14:textId="77777777" w:rsidR="003F3CC1" w:rsidRPr="005D638D" w:rsidRDefault="003F3CC1" w:rsidP="005E0AE0">
      <w:pPr>
        <w:pStyle w:val="ListBullet"/>
        <w:numPr>
          <w:ilvl w:val="0"/>
          <w:numId w:val="0"/>
        </w:numPr>
        <w:spacing w:after="0"/>
      </w:pPr>
    </w:p>
    <w:sectPr w:rsidR="003F3CC1" w:rsidRPr="005D638D" w:rsidSect="0010454F">
      <w:headerReference w:type="default" r:id="rId23"/>
      <w:footerReference w:type="default" r:id="rId24"/>
      <w:headerReference w:type="first" r:id="rId25"/>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3B488" w14:textId="77777777" w:rsidR="005132B7" w:rsidRDefault="005132B7" w:rsidP="00CE2B96">
      <w:pPr>
        <w:spacing w:after="0"/>
      </w:pPr>
      <w:r>
        <w:separator/>
      </w:r>
    </w:p>
  </w:endnote>
  <w:endnote w:type="continuationSeparator" w:id="0">
    <w:p w14:paraId="5A47FA10" w14:textId="77777777" w:rsidR="005132B7" w:rsidRDefault="005132B7" w:rsidP="00CE2B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AC355" w14:textId="4C88FF8F" w:rsidR="00E15D9F" w:rsidRPr="00A07068" w:rsidRDefault="00C820D2" w:rsidP="0010454F">
    <w:pPr>
      <w:pStyle w:val="Footer"/>
      <w:spacing w:before="360" w:line="360" w:lineRule="auto"/>
      <w:jc w:val="right"/>
      <w:rPr>
        <w:b/>
        <w:bCs/>
        <w:color w:val="0056A9"/>
      </w:rPr>
    </w:pPr>
    <w:r w:rsidRPr="00BC0E75">
      <w:rPr>
        <w:color w:val="0056A9"/>
      </w:rPr>
      <w:t>Frequently Asked Questions</w:t>
    </w:r>
    <w:r w:rsidR="00C02127" w:rsidRPr="00781A58">
      <w:rPr>
        <w:noProof/>
      </w:rPr>
      <mc:AlternateContent>
        <mc:Choice Requires="wps">
          <w:drawing>
            <wp:anchor distT="0" distB="0" distL="114300" distR="114300" simplePos="0" relativeHeight="251659264" behindDoc="0" locked="0" layoutInCell="1" allowOverlap="1" wp14:anchorId="2B683165" wp14:editId="573BC855">
              <wp:simplePos x="0" y="0"/>
              <wp:positionH relativeFrom="margin">
                <wp:posOffset>0</wp:posOffset>
              </wp:positionH>
              <wp:positionV relativeFrom="paragraph">
                <wp:posOffset>86065</wp:posOffset>
              </wp:positionV>
              <wp:extent cx="6844381" cy="6795"/>
              <wp:effectExtent l="0" t="0" r="13970" b="31750"/>
              <wp:wrapNone/>
              <wp:docPr id="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44381" cy="6795"/>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06D036" id="_x0000_t32" coordsize="21600,21600" o:spt="32" o:oned="t" path="m,l21600,21600e" filled="f">
              <v:path arrowok="t" fillok="f" o:connecttype="none"/>
              <o:lock v:ext="edit" shapetype="t"/>
            </v:shapetype>
            <v:shape id="AutoShape 12" o:spid="_x0000_s1026" type="#_x0000_t32" alt="&quot;&quot;" style="position:absolute;margin-left:0;margin-top:6.8pt;width:538.95pt;height:.55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" strokecolor="#d81f26">
              <w10:wrap anchorx="margin"/>
            </v:shape>
          </w:pict>
        </mc:Fallback>
      </mc:AlternateContent>
    </w:r>
    <w:r>
      <w:rPr>
        <w:color w:val="0056A9"/>
      </w:rPr>
      <w:t xml:space="preserve">: </w:t>
    </w:r>
    <w:r w:rsidR="00B84DCA">
      <w:rPr>
        <w:color w:val="0056A9"/>
      </w:rPr>
      <w:t>Air Quality</w:t>
    </w:r>
    <w:r w:rsidR="00BC0E75" w:rsidRPr="00BC0E75">
      <w:rPr>
        <w:color w:val="0056A9"/>
      </w:rPr>
      <w:t xml:space="preserve"> </w:t>
    </w:r>
    <w:r w:rsidR="00BD2218" w:rsidRPr="00BD2218">
      <w:rPr>
        <w:b/>
        <w:bCs/>
        <w:color w:val="0056A9"/>
      </w:rPr>
      <w:t xml:space="preserve">| </w:t>
    </w:r>
    <w:r w:rsidR="00BD2218" w:rsidRPr="00BD2218">
      <w:rPr>
        <w:b/>
        <w:bCs/>
        <w:color w:val="0056A9"/>
      </w:rPr>
      <w:fldChar w:fldCharType="begin"/>
    </w:r>
    <w:r w:rsidR="00BD2218" w:rsidRPr="00BD2218">
      <w:rPr>
        <w:b/>
        <w:bCs/>
        <w:color w:val="0056A9"/>
      </w:rPr>
      <w:instrText xml:space="preserve"> PAGE   \* MERGEFORMAT </w:instrText>
    </w:r>
    <w:r w:rsidR="00BD2218" w:rsidRPr="00BD2218">
      <w:rPr>
        <w:b/>
        <w:bCs/>
        <w:color w:val="0056A9"/>
      </w:rPr>
      <w:fldChar w:fldCharType="separate"/>
    </w:r>
    <w:r w:rsidR="00BD2218" w:rsidRPr="00BD2218">
      <w:rPr>
        <w:b/>
        <w:bCs/>
        <w:noProof/>
        <w:color w:val="0056A9"/>
      </w:rPr>
      <w:t>1</w:t>
    </w:r>
    <w:r w:rsidR="00BD2218" w:rsidRPr="00BD2218">
      <w:rPr>
        <w:b/>
        <w:bCs/>
        <w:noProof/>
        <w:color w:val="0056A9"/>
      </w:rPr>
      <w:fldChar w:fldCharType="end"/>
    </w:r>
  </w:p>
  <w:p w14:paraId="21846D0C" w14:textId="77777777" w:rsidR="002376C2" w:rsidRDefault="00237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666C3" w14:textId="77777777" w:rsidR="005132B7" w:rsidRDefault="005132B7" w:rsidP="00CE2B96">
      <w:pPr>
        <w:spacing w:after="0"/>
      </w:pPr>
      <w:r>
        <w:separator/>
      </w:r>
    </w:p>
  </w:footnote>
  <w:footnote w:type="continuationSeparator" w:id="0">
    <w:p w14:paraId="036CEB7C" w14:textId="77777777" w:rsidR="005132B7" w:rsidRDefault="005132B7" w:rsidP="00CE2B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C46BC" w14:textId="77777777" w:rsidR="001705BC" w:rsidRDefault="001705BC" w:rsidP="001705BC">
    <w:pPr>
      <w:pStyle w:val="Header"/>
      <w:spacing w:after="400"/>
      <w:jc w:val="right"/>
    </w:pPr>
    <w:r>
      <w:rPr>
        <w:noProof/>
      </w:rPr>
      <w:drawing>
        <wp:inline distT="0" distB="0" distL="0" distR="0" wp14:anchorId="65032E0F" wp14:editId="07EEAF2B">
          <wp:extent cx="1825608" cy="347472"/>
          <wp:effectExtent l="0" t="0" r="3810" b="0"/>
          <wp:docPr id="135277419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74196" name="Graphic 1"/>
                  <pic:cNvPicPr/>
                </pic:nvPicPr>
                <pic:blipFill>
                  <a:blip r:embed="rId1">
                    <a:extLst>
                      <a:ext uri="{28A0092B-C50C-407E-A947-70E740481C1C}">
                        <a14:useLocalDpi xmlns:a14="http://schemas.microsoft.com/office/drawing/2010/main" val="0"/>
                      </a:ext>
                    </a:extLst>
                  </a:blip>
                  <a:stretch>
                    <a:fillRect/>
                  </a:stretch>
                </pic:blipFill>
                <pic:spPr>
                  <a:xfrm>
                    <a:off x="0" y="0"/>
                    <a:ext cx="1825608" cy="34747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D153" w14:textId="77777777" w:rsidR="00CE2B96" w:rsidRPr="002A75F2" w:rsidRDefault="00CE2B96" w:rsidP="002A75F2">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C12DE"/>
    <w:multiLevelType w:val="multilevel"/>
    <w:tmpl w:val="C6BE2430"/>
    <w:lvl w:ilvl="0">
      <w:start w:val="1"/>
      <w:numFmt w:val="decimal"/>
      <w:pStyle w:val="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42951166"/>
    <w:multiLevelType w:val="hybridMultilevel"/>
    <w:tmpl w:val="3B1E8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075E67"/>
    <w:multiLevelType w:val="multilevel"/>
    <w:tmpl w:val="D01A240E"/>
    <w:lvl w:ilvl="0">
      <w:start w:val="1"/>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3" w15:restartNumberingAfterBreak="0">
    <w:nsid w:val="64D6394D"/>
    <w:multiLevelType w:val="hybridMultilevel"/>
    <w:tmpl w:val="E3EED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570C7B"/>
    <w:multiLevelType w:val="hybridMultilevel"/>
    <w:tmpl w:val="0DFCC5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AFD11F3"/>
    <w:multiLevelType w:val="multilevel"/>
    <w:tmpl w:val="1C3A27A0"/>
    <w:lvl w:ilvl="0">
      <w:start w:val="1"/>
      <w:numFmt w:val="bullet"/>
      <w:pStyle w:val="ListBullet"/>
      <w:lvlText w:val=""/>
      <w:lvlJc w:val="left"/>
      <w:pPr>
        <w:ind w:left="5400" w:hanging="360"/>
      </w:pPr>
      <w:rPr>
        <w:rFonts w:ascii="Symbol" w:hAnsi="Symbol" w:hint="default"/>
        <w:color w:val="0056A9" w:themeColor="accent1"/>
      </w:rPr>
    </w:lvl>
    <w:lvl w:ilvl="1">
      <w:start w:val="1"/>
      <w:numFmt w:val="bullet"/>
      <w:lvlText w:val="–"/>
      <w:lvlJc w:val="left"/>
      <w:pPr>
        <w:ind w:left="5760" w:hanging="360"/>
      </w:pPr>
      <w:rPr>
        <w:rFonts w:ascii="Franklin Gothic Book" w:hAnsi="Franklin Gothic Book" w:hint="default"/>
        <w:color w:val="0056A9" w:themeColor="accent1"/>
      </w:rPr>
    </w:lvl>
    <w:lvl w:ilvl="2">
      <w:start w:val="1"/>
      <w:numFmt w:val="bullet"/>
      <w:lvlText w:val=""/>
      <w:lvlJc w:val="left"/>
      <w:pPr>
        <w:ind w:left="6120" w:hanging="360"/>
      </w:pPr>
      <w:rPr>
        <w:rFonts w:ascii="Wingdings" w:hAnsi="Wingdings" w:hint="default"/>
        <w:color w:val="0056A9" w:themeColor="accent1"/>
      </w:rPr>
    </w:lvl>
    <w:lvl w:ilvl="3">
      <w:start w:val="1"/>
      <w:numFmt w:val="bullet"/>
      <w:lvlText w:val=""/>
      <w:lvlJc w:val="left"/>
      <w:pPr>
        <w:ind w:left="6480" w:hanging="360"/>
      </w:pPr>
      <w:rPr>
        <w:rFonts w:ascii="Symbol" w:hAnsi="Symbol" w:hint="default"/>
        <w:color w:val="0056A9" w:themeColor="accent1"/>
      </w:rPr>
    </w:lvl>
    <w:lvl w:ilvl="4">
      <w:start w:val="1"/>
      <w:numFmt w:val="bullet"/>
      <w:lvlText w:val="°"/>
      <w:lvlJc w:val="left"/>
      <w:pPr>
        <w:ind w:left="6840" w:hanging="360"/>
      </w:pPr>
      <w:rPr>
        <w:rFonts w:ascii="Verdana" w:hAnsi="Verdana" w:hint="default"/>
        <w:color w:val="0056A9" w:themeColor="accent1"/>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560" w:hanging="360"/>
      </w:pPr>
      <w:rPr>
        <w:rFonts w:ascii="Wingdings" w:hAnsi="Wingdings" w:hint="default"/>
      </w:rPr>
    </w:lvl>
    <w:lvl w:ilvl="7">
      <w:start w:val="1"/>
      <w:numFmt w:val="bullet"/>
      <w:lvlText w:val=""/>
      <w:lvlJc w:val="left"/>
      <w:pPr>
        <w:ind w:left="7920" w:hanging="360"/>
      </w:pPr>
      <w:rPr>
        <w:rFonts w:ascii="Symbol" w:hAnsi="Symbol" w:hint="default"/>
      </w:rPr>
    </w:lvl>
    <w:lvl w:ilvl="8">
      <w:start w:val="1"/>
      <w:numFmt w:val="bullet"/>
      <w:lvlText w:val=""/>
      <w:lvlJc w:val="left"/>
      <w:pPr>
        <w:ind w:left="8280" w:hanging="360"/>
      </w:pPr>
      <w:rPr>
        <w:rFonts w:ascii="Symbol" w:hAnsi="Symbol" w:hint="default"/>
      </w:rPr>
    </w:lvl>
  </w:abstractNum>
  <w:num w:numId="1" w16cid:durableId="486940803">
    <w:abstractNumId w:val="5"/>
  </w:num>
  <w:num w:numId="2" w16cid:durableId="945039576">
    <w:abstractNumId w:val="0"/>
  </w:num>
  <w:num w:numId="3" w16cid:durableId="1131048890">
    <w:abstractNumId w:val="2"/>
  </w:num>
  <w:num w:numId="4" w16cid:durableId="1435398394">
    <w:abstractNumId w:val="1"/>
  </w:num>
  <w:num w:numId="5" w16cid:durableId="2003699017">
    <w:abstractNumId w:val="4"/>
  </w:num>
  <w:num w:numId="6" w16cid:durableId="77338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Yygbxha8+wHYbPccT6ff8X8fFZQ7jXgGMOFq9pglRIOAp+DP8cFjObq96SnkEf+W9PpF0D5lGj4IygEgBb9l9A==" w:salt="hxnDc+VEyoOpm9J4pPiwx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E75"/>
    <w:rsid w:val="0001168B"/>
    <w:rsid w:val="00021BC1"/>
    <w:rsid w:val="00023AAF"/>
    <w:rsid w:val="0003040F"/>
    <w:rsid w:val="00042206"/>
    <w:rsid w:val="00051E7A"/>
    <w:rsid w:val="0005583F"/>
    <w:rsid w:val="00070948"/>
    <w:rsid w:val="00073C60"/>
    <w:rsid w:val="00074844"/>
    <w:rsid w:val="00075AE3"/>
    <w:rsid w:val="000940FB"/>
    <w:rsid w:val="00097878"/>
    <w:rsid w:val="000A4563"/>
    <w:rsid w:val="000A5D0B"/>
    <w:rsid w:val="000B1292"/>
    <w:rsid w:val="000B2945"/>
    <w:rsid w:val="000B5A5C"/>
    <w:rsid w:val="000C1E8E"/>
    <w:rsid w:val="000C7AD7"/>
    <w:rsid w:val="000E0386"/>
    <w:rsid w:val="000F1326"/>
    <w:rsid w:val="000F383F"/>
    <w:rsid w:val="0010454F"/>
    <w:rsid w:val="00105532"/>
    <w:rsid w:val="00107FCC"/>
    <w:rsid w:val="00112D2C"/>
    <w:rsid w:val="00116576"/>
    <w:rsid w:val="00134459"/>
    <w:rsid w:val="001465FF"/>
    <w:rsid w:val="001468A0"/>
    <w:rsid w:val="00146BE0"/>
    <w:rsid w:val="00151A76"/>
    <w:rsid w:val="001531F5"/>
    <w:rsid w:val="001705BC"/>
    <w:rsid w:val="00170ADD"/>
    <w:rsid w:val="001761D7"/>
    <w:rsid w:val="00181735"/>
    <w:rsid w:val="0018694B"/>
    <w:rsid w:val="00190DCD"/>
    <w:rsid w:val="00191AFD"/>
    <w:rsid w:val="001970CB"/>
    <w:rsid w:val="001A150B"/>
    <w:rsid w:val="001A2C7B"/>
    <w:rsid w:val="001A69C9"/>
    <w:rsid w:val="001B5185"/>
    <w:rsid w:val="001B6C26"/>
    <w:rsid w:val="001C3E75"/>
    <w:rsid w:val="001D4D12"/>
    <w:rsid w:val="001D70D0"/>
    <w:rsid w:val="001E5E7E"/>
    <w:rsid w:val="001F4FAC"/>
    <w:rsid w:val="00205943"/>
    <w:rsid w:val="002327D5"/>
    <w:rsid w:val="002340C7"/>
    <w:rsid w:val="002376C2"/>
    <w:rsid w:val="002531E4"/>
    <w:rsid w:val="0026499F"/>
    <w:rsid w:val="00273031"/>
    <w:rsid w:val="002805FC"/>
    <w:rsid w:val="00284504"/>
    <w:rsid w:val="00290571"/>
    <w:rsid w:val="00290A05"/>
    <w:rsid w:val="00292820"/>
    <w:rsid w:val="00292A6E"/>
    <w:rsid w:val="002934DC"/>
    <w:rsid w:val="002A05A5"/>
    <w:rsid w:val="002A06B9"/>
    <w:rsid w:val="002A12D5"/>
    <w:rsid w:val="002A75F2"/>
    <w:rsid w:val="002B1115"/>
    <w:rsid w:val="002C57BC"/>
    <w:rsid w:val="002D0309"/>
    <w:rsid w:val="002E1FE0"/>
    <w:rsid w:val="002F0554"/>
    <w:rsid w:val="002F7762"/>
    <w:rsid w:val="00311473"/>
    <w:rsid w:val="0032481A"/>
    <w:rsid w:val="0034010B"/>
    <w:rsid w:val="00342318"/>
    <w:rsid w:val="003A255E"/>
    <w:rsid w:val="003A504F"/>
    <w:rsid w:val="003A7E3B"/>
    <w:rsid w:val="003B453C"/>
    <w:rsid w:val="003D41C5"/>
    <w:rsid w:val="003D6291"/>
    <w:rsid w:val="003E1328"/>
    <w:rsid w:val="003E2EFD"/>
    <w:rsid w:val="003F3CC1"/>
    <w:rsid w:val="004112F8"/>
    <w:rsid w:val="0042061E"/>
    <w:rsid w:val="00420CAD"/>
    <w:rsid w:val="00427DBB"/>
    <w:rsid w:val="00437A34"/>
    <w:rsid w:val="00444ECF"/>
    <w:rsid w:val="00487276"/>
    <w:rsid w:val="004A1071"/>
    <w:rsid w:val="004B325C"/>
    <w:rsid w:val="004B4A71"/>
    <w:rsid w:val="004D2951"/>
    <w:rsid w:val="004E4838"/>
    <w:rsid w:val="004E496F"/>
    <w:rsid w:val="004E7B23"/>
    <w:rsid w:val="004F1D8E"/>
    <w:rsid w:val="004F649C"/>
    <w:rsid w:val="004F697B"/>
    <w:rsid w:val="00501A04"/>
    <w:rsid w:val="00501F47"/>
    <w:rsid w:val="005132B7"/>
    <w:rsid w:val="00525136"/>
    <w:rsid w:val="005456F3"/>
    <w:rsid w:val="00545950"/>
    <w:rsid w:val="00550FA3"/>
    <w:rsid w:val="005555C5"/>
    <w:rsid w:val="005804E1"/>
    <w:rsid w:val="005B05C7"/>
    <w:rsid w:val="005B2F01"/>
    <w:rsid w:val="005C4A54"/>
    <w:rsid w:val="005D35F1"/>
    <w:rsid w:val="005D638D"/>
    <w:rsid w:val="005D6FD8"/>
    <w:rsid w:val="005E0AE0"/>
    <w:rsid w:val="005E451D"/>
    <w:rsid w:val="005E6644"/>
    <w:rsid w:val="005E75C4"/>
    <w:rsid w:val="005F00A0"/>
    <w:rsid w:val="005F0239"/>
    <w:rsid w:val="006125F2"/>
    <w:rsid w:val="00620D64"/>
    <w:rsid w:val="00624C21"/>
    <w:rsid w:val="006258E9"/>
    <w:rsid w:val="00626A92"/>
    <w:rsid w:val="0062788A"/>
    <w:rsid w:val="00640ADD"/>
    <w:rsid w:val="0064565C"/>
    <w:rsid w:val="00655DB6"/>
    <w:rsid w:val="00656D43"/>
    <w:rsid w:val="00667429"/>
    <w:rsid w:val="00672BA2"/>
    <w:rsid w:val="0067781F"/>
    <w:rsid w:val="00687A4D"/>
    <w:rsid w:val="006B34EF"/>
    <w:rsid w:val="006F6B0F"/>
    <w:rsid w:val="007015D2"/>
    <w:rsid w:val="0070413E"/>
    <w:rsid w:val="00704E5E"/>
    <w:rsid w:val="007078AA"/>
    <w:rsid w:val="007147F5"/>
    <w:rsid w:val="0072002A"/>
    <w:rsid w:val="00733A08"/>
    <w:rsid w:val="00736077"/>
    <w:rsid w:val="00740361"/>
    <w:rsid w:val="007414D4"/>
    <w:rsid w:val="007524CB"/>
    <w:rsid w:val="00761A46"/>
    <w:rsid w:val="00763838"/>
    <w:rsid w:val="0076412F"/>
    <w:rsid w:val="00767521"/>
    <w:rsid w:val="00771021"/>
    <w:rsid w:val="00780AB2"/>
    <w:rsid w:val="00781111"/>
    <w:rsid w:val="00781A58"/>
    <w:rsid w:val="00786B05"/>
    <w:rsid w:val="00791127"/>
    <w:rsid w:val="007976C9"/>
    <w:rsid w:val="007A3B26"/>
    <w:rsid w:val="007B00A8"/>
    <w:rsid w:val="007C06C2"/>
    <w:rsid w:val="007C3078"/>
    <w:rsid w:val="007D1EBE"/>
    <w:rsid w:val="007D5947"/>
    <w:rsid w:val="007E4B7F"/>
    <w:rsid w:val="00813A17"/>
    <w:rsid w:val="00825742"/>
    <w:rsid w:val="008430BD"/>
    <w:rsid w:val="0084656E"/>
    <w:rsid w:val="0086528F"/>
    <w:rsid w:val="0087110F"/>
    <w:rsid w:val="00885A03"/>
    <w:rsid w:val="008905E4"/>
    <w:rsid w:val="00893375"/>
    <w:rsid w:val="00894429"/>
    <w:rsid w:val="008A1676"/>
    <w:rsid w:val="008A6373"/>
    <w:rsid w:val="008B49EB"/>
    <w:rsid w:val="0090026D"/>
    <w:rsid w:val="00900F14"/>
    <w:rsid w:val="00915FFB"/>
    <w:rsid w:val="009160AB"/>
    <w:rsid w:val="0091704D"/>
    <w:rsid w:val="00917F65"/>
    <w:rsid w:val="009260DC"/>
    <w:rsid w:val="00934507"/>
    <w:rsid w:val="00955095"/>
    <w:rsid w:val="00967F5A"/>
    <w:rsid w:val="00976A16"/>
    <w:rsid w:val="0098678E"/>
    <w:rsid w:val="00995A37"/>
    <w:rsid w:val="009A3896"/>
    <w:rsid w:val="009A6A26"/>
    <w:rsid w:val="009A6DE1"/>
    <w:rsid w:val="009B0174"/>
    <w:rsid w:val="009B115F"/>
    <w:rsid w:val="009F3874"/>
    <w:rsid w:val="009F72F5"/>
    <w:rsid w:val="00A05BF5"/>
    <w:rsid w:val="00A07068"/>
    <w:rsid w:val="00A07348"/>
    <w:rsid w:val="00A1295F"/>
    <w:rsid w:val="00A166DE"/>
    <w:rsid w:val="00A22F82"/>
    <w:rsid w:val="00A254E0"/>
    <w:rsid w:val="00A26EC1"/>
    <w:rsid w:val="00A44609"/>
    <w:rsid w:val="00A47D0D"/>
    <w:rsid w:val="00A50248"/>
    <w:rsid w:val="00A517D8"/>
    <w:rsid w:val="00A70747"/>
    <w:rsid w:val="00A71049"/>
    <w:rsid w:val="00A858D7"/>
    <w:rsid w:val="00AD4351"/>
    <w:rsid w:val="00AE1A16"/>
    <w:rsid w:val="00AF45F2"/>
    <w:rsid w:val="00AF4E88"/>
    <w:rsid w:val="00B17FD3"/>
    <w:rsid w:val="00B406D5"/>
    <w:rsid w:val="00B45B78"/>
    <w:rsid w:val="00B55323"/>
    <w:rsid w:val="00B625AD"/>
    <w:rsid w:val="00B63CB8"/>
    <w:rsid w:val="00B64126"/>
    <w:rsid w:val="00B84690"/>
    <w:rsid w:val="00B84DCA"/>
    <w:rsid w:val="00B85D46"/>
    <w:rsid w:val="00B900B0"/>
    <w:rsid w:val="00BB6CE1"/>
    <w:rsid w:val="00BC0E75"/>
    <w:rsid w:val="00BC2C0E"/>
    <w:rsid w:val="00BD2218"/>
    <w:rsid w:val="00BD7E0B"/>
    <w:rsid w:val="00BE6163"/>
    <w:rsid w:val="00BE63D7"/>
    <w:rsid w:val="00BF3B9B"/>
    <w:rsid w:val="00C02127"/>
    <w:rsid w:val="00C10F1E"/>
    <w:rsid w:val="00C212F4"/>
    <w:rsid w:val="00C271B4"/>
    <w:rsid w:val="00C27E67"/>
    <w:rsid w:val="00C31BC5"/>
    <w:rsid w:val="00C43CF8"/>
    <w:rsid w:val="00C45675"/>
    <w:rsid w:val="00C575AE"/>
    <w:rsid w:val="00C60DAD"/>
    <w:rsid w:val="00C75AB3"/>
    <w:rsid w:val="00C8196C"/>
    <w:rsid w:val="00C820D2"/>
    <w:rsid w:val="00C923ED"/>
    <w:rsid w:val="00CA2D15"/>
    <w:rsid w:val="00CB2FFC"/>
    <w:rsid w:val="00CC00DC"/>
    <w:rsid w:val="00CC3740"/>
    <w:rsid w:val="00CE2B96"/>
    <w:rsid w:val="00CE4918"/>
    <w:rsid w:val="00CE6274"/>
    <w:rsid w:val="00CE6A5A"/>
    <w:rsid w:val="00CF0FA4"/>
    <w:rsid w:val="00CF654D"/>
    <w:rsid w:val="00D058C9"/>
    <w:rsid w:val="00D07333"/>
    <w:rsid w:val="00D11322"/>
    <w:rsid w:val="00D20E21"/>
    <w:rsid w:val="00D35D0C"/>
    <w:rsid w:val="00D4473A"/>
    <w:rsid w:val="00D46BC3"/>
    <w:rsid w:val="00D51B56"/>
    <w:rsid w:val="00D52D93"/>
    <w:rsid w:val="00D60834"/>
    <w:rsid w:val="00D641FB"/>
    <w:rsid w:val="00D6453E"/>
    <w:rsid w:val="00D70B84"/>
    <w:rsid w:val="00D87291"/>
    <w:rsid w:val="00DB6A6F"/>
    <w:rsid w:val="00DB767E"/>
    <w:rsid w:val="00DD33E8"/>
    <w:rsid w:val="00DD5129"/>
    <w:rsid w:val="00DE6ED5"/>
    <w:rsid w:val="00DE76F4"/>
    <w:rsid w:val="00E00469"/>
    <w:rsid w:val="00E04EB5"/>
    <w:rsid w:val="00E15D9F"/>
    <w:rsid w:val="00E22352"/>
    <w:rsid w:val="00E26715"/>
    <w:rsid w:val="00E302A4"/>
    <w:rsid w:val="00E33825"/>
    <w:rsid w:val="00E47D85"/>
    <w:rsid w:val="00E5067F"/>
    <w:rsid w:val="00E5075B"/>
    <w:rsid w:val="00E50774"/>
    <w:rsid w:val="00E75EDD"/>
    <w:rsid w:val="00E83835"/>
    <w:rsid w:val="00EB0613"/>
    <w:rsid w:val="00EB2292"/>
    <w:rsid w:val="00ED20AC"/>
    <w:rsid w:val="00EE5A53"/>
    <w:rsid w:val="00EE6DDC"/>
    <w:rsid w:val="00EF7847"/>
    <w:rsid w:val="00F0008E"/>
    <w:rsid w:val="00F11034"/>
    <w:rsid w:val="00F1148C"/>
    <w:rsid w:val="00F22C28"/>
    <w:rsid w:val="00F35F29"/>
    <w:rsid w:val="00F44597"/>
    <w:rsid w:val="00F44653"/>
    <w:rsid w:val="00F53357"/>
    <w:rsid w:val="00F63F58"/>
    <w:rsid w:val="00F8718F"/>
    <w:rsid w:val="00FB2FFC"/>
    <w:rsid w:val="00FB3F6D"/>
    <w:rsid w:val="00FC4A49"/>
    <w:rsid w:val="00FE45CD"/>
    <w:rsid w:val="00FE4D24"/>
    <w:rsid w:val="00FF4496"/>
    <w:rsid w:val="44C3A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09268"/>
  <w15:chartTrackingRefBased/>
  <w15:docId w15:val="{0EB0478F-1876-4E11-B6AD-F35B5A5E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357"/>
    <w:pPr>
      <w:spacing w:after="200" w:line="360" w:lineRule="auto"/>
    </w:pPr>
    <w:rPr>
      <w:color w:val="000000" w:themeColor="text1"/>
    </w:rPr>
  </w:style>
  <w:style w:type="paragraph" w:styleId="Heading1">
    <w:name w:val="heading 1"/>
    <w:basedOn w:val="Normal"/>
    <w:next w:val="Normal"/>
    <w:link w:val="Heading1Char"/>
    <w:autoRedefine/>
    <w:uiPriority w:val="9"/>
    <w:qFormat/>
    <w:rsid w:val="00EE5A53"/>
    <w:pPr>
      <w:keepNext/>
      <w:keepLines/>
      <w:spacing w:before="240" w:after="0"/>
      <w:outlineLvl w:val="0"/>
    </w:pPr>
    <w:rPr>
      <w:rFonts w:asciiTheme="majorHAnsi" w:eastAsiaTheme="majorEastAsia" w:hAnsiTheme="majorHAnsi" w:cstheme="majorBidi"/>
      <w:b/>
      <w:color w:val="0056A9" w:themeColor="accent1"/>
      <w:sz w:val="36"/>
      <w:szCs w:val="32"/>
    </w:rPr>
  </w:style>
  <w:style w:type="paragraph" w:styleId="Heading2">
    <w:name w:val="heading 2"/>
    <w:basedOn w:val="Normal"/>
    <w:next w:val="Normal"/>
    <w:link w:val="Heading2Char"/>
    <w:autoRedefine/>
    <w:uiPriority w:val="9"/>
    <w:unhideWhenUsed/>
    <w:qFormat/>
    <w:rsid w:val="00EE5A53"/>
    <w:pPr>
      <w:keepNext/>
      <w:keepLines/>
      <w:spacing w:before="240" w:after="0"/>
      <w:outlineLvl w:val="1"/>
    </w:pPr>
    <w:rPr>
      <w:rFonts w:asciiTheme="majorHAnsi" w:eastAsiaTheme="majorEastAsia" w:hAnsiTheme="majorHAnsi" w:cstheme="majorBidi"/>
      <w:b/>
      <w:color w:val="0056A9" w:themeColor="accent1"/>
      <w:sz w:val="32"/>
      <w:szCs w:val="26"/>
    </w:rPr>
  </w:style>
  <w:style w:type="paragraph" w:styleId="Heading3">
    <w:name w:val="heading 3"/>
    <w:basedOn w:val="Normal"/>
    <w:next w:val="Normal"/>
    <w:link w:val="Heading3Char"/>
    <w:autoRedefine/>
    <w:uiPriority w:val="9"/>
    <w:unhideWhenUsed/>
    <w:qFormat/>
    <w:rsid w:val="00EE5A53"/>
    <w:pPr>
      <w:keepNext/>
      <w:keepLines/>
      <w:spacing w:before="40" w:after="0"/>
      <w:outlineLvl w:val="2"/>
    </w:pPr>
    <w:rPr>
      <w:rFonts w:asciiTheme="majorHAnsi" w:eastAsiaTheme="majorEastAsia" w:hAnsiTheme="majorHAnsi" w:cstheme="majorBidi"/>
      <w:b/>
      <w:color w:val="002E69" w:themeColor="accent5"/>
      <w:sz w:val="28"/>
    </w:rPr>
  </w:style>
  <w:style w:type="paragraph" w:styleId="Heading4">
    <w:name w:val="heading 4"/>
    <w:basedOn w:val="Normal"/>
    <w:next w:val="Normal"/>
    <w:link w:val="Heading4Char"/>
    <w:autoRedefine/>
    <w:uiPriority w:val="9"/>
    <w:unhideWhenUsed/>
    <w:qFormat/>
    <w:rsid w:val="00EE5A53"/>
    <w:pPr>
      <w:keepNext/>
      <w:keepLines/>
      <w:spacing w:before="40" w:after="0"/>
      <w:outlineLvl w:val="3"/>
    </w:pPr>
    <w:rPr>
      <w:rFonts w:asciiTheme="majorHAnsi" w:eastAsiaTheme="majorEastAsia" w:hAnsiTheme="majorHAnsi" w:cstheme="majorBidi"/>
      <w:b/>
      <w:i/>
      <w:iCs/>
      <w:color w:val="002E69" w:themeColor="accent5"/>
      <w:sz w:val="26"/>
    </w:rPr>
  </w:style>
  <w:style w:type="paragraph" w:styleId="Heading5">
    <w:name w:val="heading 5"/>
    <w:basedOn w:val="Heading4"/>
    <w:next w:val="Normal"/>
    <w:link w:val="Heading5Char"/>
    <w:uiPriority w:val="9"/>
    <w:unhideWhenUsed/>
    <w:qFormat/>
    <w:rsid w:val="00BC0E75"/>
    <w:pPr>
      <w:widowControl w:val="0"/>
      <w:spacing w:before="300" w:line="336" w:lineRule="auto"/>
      <w:outlineLvl w:val="4"/>
    </w:pPr>
    <w:rPr>
      <w:i w:val="0"/>
      <w:color w:val="0056A9" w:themeColor="accent1"/>
      <w:szCs w:val="26"/>
    </w:rPr>
  </w:style>
  <w:style w:type="paragraph" w:styleId="Heading6">
    <w:name w:val="heading 6"/>
    <w:next w:val="Normal"/>
    <w:link w:val="Heading6Char"/>
    <w:uiPriority w:val="9"/>
    <w:unhideWhenUsed/>
    <w:qFormat/>
    <w:rsid w:val="00BC0E75"/>
    <w:pPr>
      <w:spacing w:after="120" w:line="360" w:lineRule="auto"/>
      <w:outlineLvl w:val="5"/>
    </w:pPr>
    <w:rPr>
      <w:rFonts w:asciiTheme="majorHAnsi" w:hAnsiTheme="majorHAnsi"/>
      <w:b/>
      <w:bCs/>
      <w:iCs/>
      <w:color w:val="0056A9" w:themeColor="accent1"/>
    </w:rPr>
  </w:style>
  <w:style w:type="paragraph" w:styleId="Heading7">
    <w:name w:val="heading 7"/>
    <w:basedOn w:val="Normal"/>
    <w:next w:val="Normal"/>
    <w:link w:val="Heading7Char"/>
    <w:uiPriority w:val="9"/>
    <w:unhideWhenUsed/>
    <w:qFormat/>
    <w:rsid w:val="00BC0E75"/>
    <w:pPr>
      <w:pBdr>
        <w:top w:val="single" w:sz="48" w:space="1" w:color="0056A9" w:themeColor="accent1"/>
        <w:left w:val="single" w:sz="48" w:space="4" w:color="0056A9" w:themeColor="accent1"/>
        <w:bottom w:val="single" w:sz="48" w:space="1" w:color="0056A9" w:themeColor="accent1"/>
        <w:right w:val="single" w:sz="48" w:space="4" w:color="0056A9" w:themeColor="accent1"/>
      </w:pBdr>
      <w:shd w:val="clear" w:color="auto" w:fill="0056A9" w:themeFill="accent1"/>
      <w:outlineLvl w:val="6"/>
    </w:pPr>
    <w:rPr>
      <w:b/>
      <w:bCs/>
      <w:color w:val="FFFFFF" w:themeColor="background1"/>
      <w:szCs w:val="20"/>
    </w:rPr>
  </w:style>
  <w:style w:type="paragraph" w:styleId="Heading8">
    <w:name w:val="heading 8"/>
    <w:basedOn w:val="Normal"/>
    <w:next w:val="Normal"/>
    <w:link w:val="Heading8Char"/>
    <w:uiPriority w:val="9"/>
    <w:semiHidden/>
    <w:unhideWhenUsed/>
    <w:qFormat/>
    <w:rsid w:val="00BC0E75"/>
    <w:pPr>
      <w:keepNext/>
      <w:keepLines/>
      <w:outlineLvl w:val="7"/>
    </w:pPr>
    <w:rPr>
      <w:rFonts w:eastAsiaTheme="majorEastAsia" w:cstheme="majorBidi"/>
      <w:i/>
      <w:iCs/>
      <w:color w:val="272727" w:themeColor="text1" w:themeTint="D8"/>
      <w:szCs w:val="20"/>
    </w:rPr>
  </w:style>
  <w:style w:type="paragraph" w:styleId="Heading9">
    <w:name w:val="heading 9"/>
    <w:basedOn w:val="Normal"/>
    <w:next w:val="Normal"/>
    <w:link w:val="Heading9Char"/>
    <w:uiPriority w:val="9"/>
    <w:semiHidden/>
    <w:unhideWhenUsed/>
    <w:qFormat/>
    <w:rsid w:val="00BC0E75"/>
    <w:pPr>
      <w:keepNext/>
      <w:keepLines/>
      <w:outlineLvl w:val="8"/>
    </w:pPr>
    <w:rPr>
      <w:rFonts w:eastAsiaTheme="majorEastAsia" w:cstheme="majorBidi"/>
      <w:color w:val="272727" w:themeColor="text1" w:themeTint="D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63F58"/>
    <w:rPr>
      <w:color w:val="000000" w:themeColor="text1"/>
      <w:sz w:val="20"/>
    </w:rPr>
  </w:style>
  <w:style w:type="character" w:customStyle="1" w:styleId="Heading1Char">
    <w:name w:val="Heading 1 Char"/>
    <w:basedOn w:val="DefaultParagraphFont"/>
    <w:link w:val="Heading1"/>
    <w:uiPriority w:val="9"/>
    <w:rsid w:val="00EE5A53"/>
    <w:rPr>
      <w:rFonts w:asciiTheme="majorHAnsi" w:eastAsiaTheme="majorEastAsia" w:hAnsiTheme="majorHAnsi" w:cstheme="majorBidi"/>
      <w:b/>
      <w:color w:val="0056A9" w:themeColor="accent1"/>
      <w:sz w:val="36"/>
      <w:szCs w:val="32"/>
    </w:rPr>
  </w:style>
  <w:style w:type="character" w:customStyle="1" w:styleId="Heading2Char">
    <w:name w:val="Heading 2 Char"/>
    <w:basedOn w:val="DefaultParagraphFont"/>
    <w:link w:val="Heading2"/>
    <w:uiPriority w:val="9"/>
    <w:rsid w:val="00EE5A53"/>
    <w:rPr>
      <w:rFonts w:asciiTheme="majorHAnsi" w:eastAsiaTheme="majorEastAsia" w:hAnsiTheme="majorHAnsi" w:cstheme="majorBidi"/>
      <w:b/>
      <w:color w:val="0056A9" w:themeColor="accent1"/>
      <w:sz w:val="32"/>
      <w:szCs w:val="26"/>
    </w:rPr>
  </w:style>
  <w:style w:type="paragraph" w:styleId="ListParagraph">
    <w:name w:val="List Paragraph"/>
    <w:basedOn w:val="Normal"/>
    <w:uiPriority w:val="34"/>
    <w:qFormat/>
    <w:rsid w:val="00437A34"/>
    <w:pPr>
      <w:spacing w:before="120"/>
      <w:ind w:left="720"/>
      <w:contextualSpacing/>
    </w:p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17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BC"/>
    <w:rPr>
      <w:color w:val="000000" w:themeColor="text1"/>
      <w:sz w:val="20"/>
    </w:rPr>
  </w:style>
  <w:style w:type="character" w:customStyle="1" w:styleId="Heading3Char">
    <w:name w:val="Heading 3 Char"/>
    <w:basedOn w:val="DefaultParagraphFont"/>
    <w:link w:val="Heading3"/>
    <w:uiPriority w:val="9"/>
    <w:rsid w:val="00EE5A53"/>
    <w:rPr>
      <w:rFonts w:asciiTheme="majorHAnsi" w:eastAsiaTheme="majorEastAsia" w:hAnsiTheme="majorHAnsi" w:cstheme="majorBidi"/>
      <w:b/>
      <w:color w:val="002E69" w:themeColor="accent5"/>
      <w:sz w:val="28"/>
    </w:rPr>
  </w:style>
  <w:style w:type="character" w:customStyle="1" w:styleId="Heading4Char">
    <w:name w:val="Heading 4 Char"/>
    <w:basedOn w:val="DefaultParagraphFont"/>
    <w:link w:val="Heading4"/>
    <w:uiPriority w:val="9"/>
    <w:rsid w:val="00EE5A53"/>
    <w:rPr>
      <w:rFonts w:asciiTheme="majorHAnsi" w:eastAsiaTheme="majorEastAsia" w:hAnsiTheme="majorHAnsi" w:cstheme="majorBidi"/>
      <w:b/>
      <w:i/>
      <w:iCs/>
      <w:color w:val="002E69" w:themeColor="accent5"/>
      <w:sz w:val="26"/>
    </w:rPr>
  </w:style>
  <w:style w:type="paragraph" w:styleId="ListBullet">
    <w:name w:val="List Bullet"/>
    <w:basedOn w:val="Normal"/>
    <w:uiPriority w:val="1"/>
    <w:qFormat/>
    <w:rsid w:val="00E50774"/>
    <w:pPr>
      <w:numPr>
        <w:numId w:val="1"/>
      </w:numPr>
      <w:contextualSpacing/>
    </w:pPr>
    <w:rPr>
      <w:rFonts w:ascii="Verdana" w:eastAsia="MS Mincho" w:hAnsi="Verdana" w:cs="Times New Roman"/>
      <w:color w:val="000000"/>
      <w:kern w:val="0"/>
      <w:szCs w:val="22"/>
      <w14:ligatures w14:val="none"/>
    </w:rPr>
  </w:style>
  <w:style w:type="paragraph" w:styleId="FootnoteText">
    <w:name w:val="footnote text"/>
    <w:basedOn w:val="Normal"/>
    <w:link w:val="FootnoteTextChar"/>
    <w:uiPriority w:val="99"/>
    <w:semiHidden/>
    <w:unhideWhenUsed/>
    <w:rsid w:val="005456F3"/>
    <w:pPr>
      <w:spacing w:after="0" w:line="240" w:lineRule="auto"/>
    </w:pPr>
    <w:rPr>
      <w:rFonts w:ascii="Arial" w:hAnsi="Arial"/>
      <w:color w:val="auto"/>
      <w:kern w:val="0"/>
      <w:sz w:val="20"/>
      <w:szCs w:val="20"/>
      <w14:ligatures w14:val="none"/>
    </w:rPr>
  </w:style>
  <w:style w:type="character" w:customStyle="1" w:styleId="FootnoteTextChar">
    <w:name w:val="Footnote Text Char"/>
    <w:basedOn w:val="DefaultParagraphFont"/>
    <w:link w:val="FootnoteText"/>
    <w:uiPriority w:val="99"/>
    <w:semiHidden/>
    <w:rsid w:val="005456F3"/>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5456F3"/>
    <w:rPr>
      <w:vertAlign w:val="superscript"/>
    </w:rPr>
  </w:style>
  <w:style w:type="character" w:styleId="Hyperlink">
    <w:name w:val="Hyperlink"/>
    <w:uiPriority w:val="99"/>
    <w:unhideWhenUsed/>
    <w:rsid w:val="005456F3"/>
    <w:rPr>
      <w:color w:val="0000FF"/>
      <w:u w:val="single"/>
    </w:rPr>
  </w:style>
  <w:style w:type="table" w:styleId="TableGrid">
    <w:name w:val="Table Grid"/>
    <w:basedOn w:val="TableNormal"/>
    <w:uiPriority w:val="39"/>
    <w:rsid w:val="003F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D0309"/>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table" w:customStyle="1" w:styleId="ATFTxDOTTable">
    <w:name w:val="ATF TxDOT Table"/>
    <w:basedOn w:val="TableNormal"/>
    <w:uiPriority w:val="99"/>
    <w:rsid w:val="00FE4D24"/>
    <w:rPr>
      <w:rFonts w:ascii="Verdana" w:eastAsia="Verdana" w:hAnsi="Verdana" w:cs="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autoRedefine/>
    <w:uiPriority w:val="35"/>
    <w:unhideWhenUsed/>
    <w:qFormat/>
    <w:rsid w:val="000A5D0B"/>
    <w:pPr>
      <w:keepNext/>
      <w:spacing w:line="240" w:lineRule="auto"/>
    </w:pPr>
    <w:rPr>
      <w:b/>
      <w:bCs/>
      <w:iCs/>
      <w:color w:val="000000" w:themeColor="text2"/>
      <w:szCs w:val="18"/>
    </w:rPr>
  </w:style>
  <w:style w:type="character" w:customStyle="1" w:styleId="Heading5Char">
    <w:name w:val="Heading 5 Char"/>
    <w:basedOn w:val="DefaultParagraphFont"/>
    <w:link w:val="Heading5"/>
    <w:uiPriority w:val="9"/>
    <w:rsid w:val="00BC0E75"/>
    <w:rPr>
      <w:rFonts w:asciiTheme="majorHAnsi" w:eastAsiaTheme="majorEastAsia" w:hAnsiTheme="majorHAnsi" w:cstheme="majorBidi"/>
      <w:b/>
      <w:iCs/>
      <w:color w:val="0056A9" w:themeColor="accent1"/>
      <w:sz w:val="26"/>
      <w:szCs w:val="26"/>
    </w:rPr>
  </w:style>
  <w:style w:type="character" w:customStyle="1" w:styleId="Heading6Char">
    <w:name w:val="Heading 6 Char"/>
    <w:basedOn w:val="DefaultParagraphFont"/>
    <w:link w:val="Heading6"/>
    <w:uiPriority w:val="9"/>
    <w:rsid w:val="00BC0E75"/>
    <w:rPr>
      <w:rFonts w:asciiTheme="majorHAnsi" w:hAnsiTheme="majorHAnsi"/>
      <w:b/>
      <w:bCs/>
      <w:iCs/>
      <w:color w:val="0056A9" w:themeColor="accent1"/>
    </w:rPr>
  </w:style>
  <w:style w:type="character" w:customStyle="1" w:styleId="Heading7Char">
    <w:name w:val="Heading 7 Char"/>
    <w:basedOn w:val="DefaultParagraphFont"/>
    <w:link w:val="Heading7"/>
    <w:uiPriority w:val="9"/>
    <w:rsid w:val="00BC0E75"/>
    <w:rPr>
      <w:b/>
      <w:bCs/>
      <w:color w:val="FFFFFF" w:themeColor="background1"/>
      <w:szCs w:val="20"/>
      <w:shd w:val="clear" w:color="auto" w:fill="0056A9" w:themeFill="accent1"/>
    </w:rPr>
  </w:style>
  <w:style w:type="character" w:customStyle="1" w:styleId="Heading8Char">
    <w:name w:val="Heading 8 Char"/>
    <w:basedOn w:val="DefaultParagraphFont"/>
    <w:link w:val="Heading8"/>
    <w:uiPriority w:val="9"/>
    <w:semiHidden/>
    <w:rsid w:val="00BC0E75"/>
    <w:rPr>
      <w:rFonts w:eastAsiaTheme="majorEastAsia" w:cstheme="majorBidi"/>
      <w:i/>
      <w:iCs/>
      <w:color w:val="272727" w:themeColor="text1" w:themeTint="D8"/>
      <w:szCs w:val="20"/>
    </w:rPr>
  </w:style>
  <w:style w:type="character" w:customStyle="1" w:styleId="Heading9Char">
    <w:name w:val="Heading 9 Char"/>
    <w:basedOn w:val="DefaultParagraphFont"/>
    <w:link w:val="Heading9"/>
    <w:uiPriority w:val="9"/>
    <w:semiHidden/>
    <w:rsid w:val="00BC0E75"/>
    <w:rPr>
      <w:rFonts w:eastAsiaTheme="majorEastAsia" w:cstheme="majorBidi"/>
      <w:color w:val="272727" w:themeColor="text1" w:themeTint="D8"/>
      <w:szCs w:val="20"/>
    </w:rPr>
  </w:style>
  <w:style w:type="paragraph" w:customStyle="1" w:styleId="TableHeadingSingle">
    <w:name w:val="Table Heading (Single"/>
    <w:aliases w:val="No Space After)"/>
    <w:basedOn w:val="Normal"/>
    <w:rsid w:val="00BC0E75"/>
    <w:pPr>
      <w:framePr w:wrap="around" w:vAnchor="text" w:hAnchor="text" w:y="1"/>
      <w:spacing w:after="0" w:line="240" w:lineRule="auto"/>
      <w:suppressOverlap/>
    </w:pPr>
    <w:rPr>
      <w:rFonts w:asciiTheme="majorHAnsi" w:hAnsiTheme="majorHAnsi"/>
      <w:b/>
      <w:color w:val="FFFFFF" w:themeColor="background1"/>
      <w:szCs w:val="20"/>
    </w:rPr>
  </w:style>
  <w:style w:type="paragraph" w:customStyle="1" w:styleId="SpecialCentered">
    <w:name w:val="Special Centered"/>
    <w:basedOn w:val="Normal"/>
    <w:link w:val="SpecialCenteredChar"/>
    <w:rsid w:val="00BC0E75"/>
    <w:pPr>
      <w:jc w:val="center"/>
    </w:pPr>
    <w:rPr>
      <w:color w:val="auto"/>
      <w:kern w:val="0"/>
      <w:szCs w:val="28"/>
      <w14:ligatures w14:val="none"/>
    </w:rPr>
  </w:style>
  <w:style w:type="paragraph" w:customStyle="1" w:styleId="TableNormalNoSpaceAfter">
    <w:name w:val="Table Normal (No Space After)"/>
    <w:basedOn w:val="Normal"/>
    <w:rsid w:val="00BC0E75"/>
    <w:pPr>
      <w:spacing w:after="0"/>
    </w:pPr>
    <w:rPr>
      <w:color w:val="auto"/>
      <w:szCs w:val="20"/>
    </w:rPr>
  </w:style>
  <w:style w:type="character" w:customStyle="1" w:styleId="SpecialCenteredChar">
    <w:name w:val="Special Centered Char"/>
    <w:basedOn w:val="DefaultParagraphFont"/>
    <w:link w:val="SpecialCentered"/>
    <w:rsid w:val="00BC0E75"/>
    <w:rPr>
      <w:kern w:val="0"/>
      <w:szCs w:val="28"/>
      <w14:ligatures w14:val="none"/>
    </w:rPr>
  </w:style>
  <w:style w:type="table" w:customStyle="1" w:styleId="TxDOTsimpleleftaxistable">
    <w:name w:val="TxDOT simple left axis table"/>
    <w:basedOn w:val="TableNormal"/>
    <w:uiPriority w:val="99"/>
    <w:rsid w:val="00BC0E75"/>
    <w:rPr>
      <w:sz w:val="18"/>
    </w:rPr>
    <w:tblPr>
      <w:tblCellMar>
        <w:top w:w="115" w:type="dxa"/>
        <w:left w:w="58" w:type="dxa"/>
        <w:bottom w:w="115" w:type="dxa"/>
        <w:right w:w="58" w:type="dxa"/>
      </w:tblCellMar>
    </w:tblPr>
    <w:tblStylePr w:type="firstRow">
      <w:rPr>
        <w:b/>
        <w:sz w:val="18"/>
      </w:rPr>
      <w:tblPr/>
      <w:tcPr>
        <w:tcBorders>
          <w:top w:val="nil"/>
          <w:left w:val="nil"/>
          <w:bottom w:val="single" w:sz="24" w:space="0" w:color="000000" w:themeColor="text1"/>
          <w:right w:val="nil"/>
          <w:insideH w:val="nil"/>
          <w:insideV w:val="nil"/>
          <w:tl2br w:val="nil"/>
          <w:tr2bl w:val="nil"/>
        </w:tcBorders>
      </w:tcPr>
    </w:tblStylePr>
    <w:tblStylePr w:type="firstCol">
      <w:rPr>
        <w:b/>
        <w:sz w:val="18"/>
      </w:rPr>
    </w:tblStylePr>
  </w:style>
  <w:style w:type="paragraph" w:styleId="TOC1">
    <w:name w:val="toc 1"/>
    <w:basedOn w:val="Normal"/>
    <w:next w:val="Normal"/>
    <w:autoRedefine/>
    <w:uiPriority w:val="39"/>
    <w:rsid w:val="00BC0E75"/>
    <w:pPr>
      <w:tabs>
        <w:tab w:val="right" w:leader="dot" w:pos="9360"/>
      </w:tabs>
      <w:spacing w:before="120" w:after="120" w:line="312" w:lineRule="auto"/>
    </w:pPr>
    <w:rPr>
      <w:rFonts w:ascii="Verdana" w:eastAsia="MS Mincho" w:hAnsi="Verdana" w:cs="Traditional Arabic"/>
      <w:b/>
      <w:noProof/>
      <w:color w:val="0056A9"/>
      <w:kern w:val="0"/>
      <w:szCs w:val="28"/>
      <w14:ligatures w14:val="none"/>
    </w:rPr>
  </w:style>
  <w:style w:type="paragraph" w:styleId="TOCHeading">
    <w:name w:val="TOC Heading"/>
    <w:basedOn w:val="Heading1"/>
    <w:next w:val="Normal"/>
    <w:uiPriority w:val="39"/>
    <w:unhideWhenUsed/>
    <w:qFormat/>
    <w:rsid w:val="00BC0E75"/>
    <w:pPr>
      <w:keepNext w:val="0"/>
      <w:keepLines w:val="0"/>
      <w:spacing w:before="0" w:after="200" w:line="259" w:lineRule="auto"/>
      <w:outlineLvl w:val="9"/>
    </w:pPr>
    <w:rPr>
      <w:rFonts w:eastAsiaTheme="minorHAnsi" w:cstheme="minorBidi"/>
      <w:bCs/>
      <w:kern w:val="0"/>
      <w:sz w:val="48"/>
      <w14:ligatures w14:val="none"/>
    </w:rPr>
  </w:style>
  <w:style w:type="paragraph" w:styleId="TOC3">
    <w:name w:val="toc 3"/>
    <w:basedOn w:val="Normal"/>
    <w:next w:val="Normal"/>
    <w:autoRedefine/>
    <w:uiPriority w:val="39"/>
    <w:unhideWhenUsed/>
    <w:rsid w:val="00BC0E75"/>
    <w:pPr>
      <w:spacing w:after="100"/>
      <w:ind w:left="360"/>
    </w:pPr>
    <w:rPr>
      <w:bCs/>
      <w:noProof/>
      <w:color w:val="auto"/>
      <w:szCs w:val="20"/>
    </w:rPr>
  </w:style>
  <w:style w:type="paragraph" w:customStyle="1" w:styleId="NormalSingleSpaceNoSpaceAfter">
    <w:name w:val="Normal Single Space (No Space After)"/>
    <w:basedOn w:val="Normal"/>
    <w:rsid w:val="00BC0E75"/>
    <w:pPr>
      <w:spacing w:after="0"/>
    </w:pPr>
    <w:rPr>
      <w:noProof/>
      <w:color w:val="auto"/>
      <w:szCs w:val="20"/>
    </w:rPr>
  </w:style>
  <w:style w:type="paragraph" w:styleId="TOC2">
    <w:name w:val="toc 2"/>
    <w:basedOn w:val="Normal"/>
    <w:next w:val="Normal"/>
    <w:autoRedefine/>
    <w:uiPriority w:val="39"/>
    <w:unhideWhenUsed/>
    <w:rsid w:val="00BC0E75"/>
    <w:pPr>
      <w:spacing w:after="100"/>
      <w:ind w:left="180"/>
    </w:pPr>
    <w:rPr>
      <w:color w:val="auto"/>
      <w:szCs w:val="20"/>
    </w:rPr>
  </w:style>
  <w:style w:type="character" w:styleId="PageNumber">
    <w:name w:val="page number"/>
    <w:basedOn w:val="DefaultParagraphFont"/>
    <w:uiPriority w:val="99"/>
    <w:semiHidden/>
    <w:unhideWhenUsed/>
    <w:rsid w:val="00BC0E75"/>
  </w:style>
  <w:style w:type="paragraph" w:styleId="ListNumber">
    <w:name w:val="List Number"/>
    <w:basedOn w:val="BodyText"/>
    <w:uiPriority w:val="1"/>
    <w:qFormat/>
    <w:rsid w:val="00BC0E75"/>
    <w:pPr>
      <w:numPr>
        <w:numId w:val="2"/>
      </w:numPr>
      <w:tabs>
        <w:tab w:val="num" w:pos="360"/>
      </w:tabs>
      <w:spacing w:after="200"/>
      <w:ind w:left="0" w:firstLine="0"/>
      <w:contextualSpacing/>
    </w:pPr>
    <w:rPr>
      <w:rFonts w:ascii="Verdana" w:eastAsia="MS Mincho" w:hAnsi="Verdana" w:cs="Times New Roman"/>
      <w:color w:val="000000"/>
      <w:kern w:val="0"/>
      <w:szCs w:val="22"/>
      <w14:ligatures w14:val="none"/>
    </w:rPr>
  </w:style>
  <w:style w:type="paragraph" w:styleId="BodyText">
    <w:name w:val="Body Text"/>
    <w:basedOn w:val="Normal"/>
    <w:link w:val="BodyTextChar"/>
    <w:uiPriority w:val="99"/>
    <w:semiHidden/>
    <w:unhideWhenUsed/>
    <w:rsid w:val="00BC0E75"/>
    <w:pPr>
      <w:spacing w:after="120"/>
    </w:pPr>
    <w:rPr>
      <w:color w:val="auto"/>
      <w:szCs w:val="20"/>
    </w:rPr>
  </w:style>
  <w:style w:type="character" w:customStyle="1" w:styleId="BodyTextChar">
    <w:name w:val="Body Text Char"/>
    <w:basedOn w:val="DefaultParagraphFont"/>
    <w:link w:val="BodyText"/>
    <w:uiPriority w:val="99"/>
    <w:semiHidden/>
    <w:rsid w:val="00BC0E75"/>
    <w:rPr>
      <w:szCs w:val="20"/>
    </w:rPr>
  </w:style>
  <w:style w:type="paragraph" w:customStyle="1" w:styleId="CVRTxDOTLogoSpacing">
    <w:name w:val="CVR TxDOT Logo Spacing"/>
    <w:rsid w:val="00BC0E75"/>
    <w:pPr>
      <w:spacing w:before="1000" w:after="360"/>
      <w:ind w:left="1267" w:right="1267"/>
    </w:pPr>
    <w:rPr>
      <w:noProof/>
      <w:color w:val="FFFFFF" w:themeColor="background1"/>
      <w:sz w:val="32"/>
      <w:szCs w:val="32"/>
    </w:rPr>
  </w:style>
  <w:style w:type="paragraph" w:styleId="EndnoteText">
    <w:name w:val="endnote text"/>
    <w:basedOn w:val="Normal"/>
    <w:link w:val="EndnoteTextChar"/>
    <w:uiPriority w:val="99"/>
    <w:semiHidden/>
    <w:unhideWhenUsed/>
    <w:rsid w:val="00BC0E75"/>
    <w:pPr>
      <w:spacing w:after="0" w:line="240" w:lineRule="auto"/>
    </w:pPr>
    <w:rPr>
      <w:color w:val="auto"/>
      <w:sz w:val="20"/>
      <w:szCs w:val="20"/>
    </w:rPr>
  </w:style>
  <w:style w:type="character" w:customStyle="1" w:styleId="EndnoteTextChar">
    <w:name w:val="Endnote Text Char"/>
    <w:basedOn w:val="DefaultParagraphFont"/>
    <w:link w:val="EndnoteText"/>
    <w:uiPriority w:val="99"/>
    <w:semiHidden/>
    <w:rsid w:val="00BC0E75"/>
    <w:rPr>
      <w:sz w:val="20"/>
      <w:szCs w:val="20"/>
    </w:rPr>
  </w:style>
  <w:style w:type="character" w:styleId="EndnoteReference">
    <w:name w:val="endnote reference"/>
    <w:basedOn w:val="DefaultParagraphFont"/>
    <w:uiPriority w:val="99"/>
    <w:semiHidden/>
    <w:unhideWhenUsed/>
    <w:rsid w:val="00BC0E75"/>
    <w:rPr>
      <w:vertAlign w:val="superscript"/>
    </w:rPr>
  </w:style>
  <w:style w:type="paragraph" w:customStyle="1" w:styleId="CoverPageNormal">
    <w:name w:val="Cover Page Normal"/>
    <w:qFormat/>
    <w:rsid w:val="00BC0E75"/>
    <w:pPr>
      <w:widowControl w:val="0"/>
      <w:spacing w:before="480" w:line="360" w:lineRule="auto"/>
      <w:ind w:left="1267" w:right="1267"/>
    </w:pPr>
    <w:rPr>
      <w:rFonts w:ascii="Verdana" w:eastAsia="MS Mincho" w:hAnsi="Verdana" w:cs="Traditional Arabic"/>
      <w:bCs/>
      <w:noProof/>
      <w:color w:val="FFFFFF" w:themeColor="background1"/>
      <w:kern w:val="0"/>
      <w:sz w:val="32"/>
      <w:szCs w:val="28"/>
      <w14:ligatures w14:val="none"/>
    </w:rPr>
  </w:style>
  <w:style w:type="paragraph" w:styleId="TOC9">
    <w:name w:val="toc 9"/>
    <w:basedOn w:val="Normal"/>
    <w:next w:val="Normal"/>
    <w:autoRedefine/>
    <w:uiPriority w:val="39"/>
    <w:semiHidden/>
    <w:unhideWhenUsed/>
    <w:rsid w:val="00BC0E75"/>
    <w:pPr>
      <w:spacing w:after="100"/>
      <w:ind w:left="1920"/>
    </w:pPr>
    <w:rPr>
      <w:color w:val="auto"/>
      <w:szCs w:val="20"/>
    </w:rPr>
  </w:style>
  <w:style w:type="paragraph" w:styleId="TOC4">
    <w:name w:val="toc 4"/>
    <w:basedOn w:val="Normal"/>
    <w:next w:val="Normal"/>
    <w:autoRedefine/>
    <w:uiPriority w:val="39"/>
    <w:unhideWhenUsed/>
    <w:rsid w:val="00BC0E75"/>
    <w:pPr>
      <w:spacing w:after="100"/>
      <w:ind w:left="720"/>
    </w:pPr>
    <w:rPr>
      <w:color w:val="auto"/>
      <w:szCs w:val="20"/>
    </w:rPr>
  </w:style>
  <w:style w:type="paragraph" w:customStyle="1" w:styleId="SOPTableEntry">
    <w:name w:val="SOP Table Entry"/>
    <w:basedOn w:val="Normal"/>
    <w:qFormat/>
    <w:rsid w:val="00BC0E75"/>
    <w:pPr>
      <w:spacing w:before="60" w:after="120" w:line="276" w:lineRule="auto"/>
    </w:pPr>
    <w:rPr>
      <w:rFonts w:ascii="Arial" w:eastAsia="Times New Roman" w:hAnsi="Arial" w:cs="Arial"/>
      <w:color w:val="auto"/>
      <w:kern w:val="0"/>
      <w:sz w:val="20"/>
      <w:szCs w:val="22"/>
      <w14:ligatures w14:val="none"/>
    </w:rPr>
  </w:style>
  <w:style w:type="paragraph" w:styleId="TableofFigures">
    <w:name w:val="table of figures"/>
    <w:basedOn w:val="Normal"/>
    <w:next w:val="Normal"/>
    <w:uiPriority w:val="99"/>
    <w:unhideWhenUsed/>
    <w:rsid w:val="00BC0E75"/>
    <w:pPr>
      <w:spacing w:after="0"/>
    </w:pPr>
    <w:rPr>
      <w:color w:val="auto"/>
      <w:szCs w:val="20"/>
    </w:rPr>
  </w:style>
  <w:style w:type="character" w:styleId="UnresolvedMention">
    <w:name w:val="Unresolved Mention"/>
    <w:basedOn w:val="DefaultParagraphFont"/>
    <w:uiPriority w:val="99"/>
    <w:semiHidden/>
    <w:unhideWhenUsed/>
    <w:rsid w:val="008430BD"/>
    <w:rPr>
      <w:color w:val="605E5C"/>
      <w:shd w:val="clear" w:color="auto" w:fill="E1DFDD"/>
    </w:rPr>
  </w:style>
  <w:style w:type="character" w:styleId="CommentReference">
    <w:name w:val="annotation reference"/>
    <w:basedOn w:val="DefaultParagraphFont"/>
    <w:uiPriority w:val="99"/>
    <w:semiHidden/>
    <w:unhideWhenUsed/>
    <w:rsid w:val="00D20E21"/>
    <w:rPr>
      <w:sz w:val="16"/>
      <w:szCs w:val="16"/>
    </w:rPr>
  </w:style>
  <w:style w:type="paragraph" w:styleId="CommentText">
    <w:name w:val="annotation text"/>
    <w:basedOn w:val="Normal"/>
    <w:link w:val="CommentTextChar"/>
    <w:uiPriority w:val="99"/>
    <w:unhideWhenUsed/>
    <w:rsid w:val="00D20E21"/>
    <w:pPr>
      <w:spacing w:line="240" w:lineRule="auto"/>
    </w:pPr>
    <w:rPr>
      <w:sz w:val="20"/>
      <w:szCs w:val="20"/>
    </w:rPr>
  </w:style>
  <w:style w:type="character" w:customStyle="1" w:styleId="CommentTextChar">
    <w:name w:val="Comment Text Char"/>
    <w:basedOn w:val="DefaultParagraphFont"/>
    <w:link w:val="CommentText"/>
    <w:uiPriority w:val="99"/>
    <w:rsid w:val="00D20E21"/>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D20E21"/>
    <w:rPr>
      <w:b/>
      <w:bCs/>
    </w:rPr>
  </w:style>
  <w:style w:type="character" w:customStyle="1" w:styleId="CommentSubjectChar">
    <w:name w:val="Comment Subject Char"/>
    <w:basedOn w:val="CommentTextChar"/>
    <w:link w:val="CommentSubject"/>
    <w:uiPriority w:val="99"/>
    <w:semiHidden/>
    <w:rsid w:val="00D20E21"/>
    <w:rPr>
      <w:b/>
      <w:bCs/>
      <w:color w:val="000000" w:themeColor="text1"/>
      <w:sz w:val="20"/>
      <w:szCs w:val="20"/>
    </w:rPr>
  </w:style>
  <w:style w:type="paragraph" w:styleId="Revision">
    <w:name w:val="Revision"/>
    <w:hidden/>
    <w:uiPriority w:val="99"/>
    <w:semiHidden/>
    <w:rsid w:val="000B1292"/>
    <w:rPr>
      <w:color w:val="000000" w:themeColor="text1"/>
    </w:rPr>
  </w:style>
  <w:style w:type="character" w:styleId="FollowedHyperlink">
    <w:name w:val="FollowedHyperlink"/>
    <w:basedOn w:val="DefaultParagraphFont"/>
    <w:uiPriority w:val="99"/>
    <w:semiHidden/>
    <w:unhideWhenUsed/>
    <w:rsid w:val="003E2EFD"/>
    <w:rPr>
      <w:color w:val="5F0F4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86638">
      <w:bodyDiv w:val="1"/>
      <w:marLeft w:val="0"/>
      <w:marRight w:val="0"/>
      <w:marTop w:val="0"/>
      <w:marBottom w:val="0"/>
      <w:divBdr>
        <w:top w:val="none" w:sz="0" w:space="0" w:color="auto"/>
        <w:left w:val="none" w:sz="0" w:space="0" w:color="auto"/>
        <w:bottom w:val="none" w:sz="0" w:space="0" w:color="auto"/>
        <w:right w:val="none" w:sz="0" w:space="0" w:color="auto"/>
      </w:divBdr>
    </w:div>
    <w:div w:id="685405245">
      <w:bodyDiv w:val="1"/>
      <w:marLeft w:val="0"/>
      <w:marRight w:val="0"/>
      <w:marTop w:val="0"/>
      <w:marBottom w:val="0"/>
      <w:divBdr>
        <w:top w:val="none" w:sz="0" w:space="0" w:color="auto"/>
        <w:left w:val="none" w:sz="0" w:space="0" w:color="auto"/>
        <w:bottom w:val="none" w:sz="0" w:space="0" w:color="auto"/>
        <w:right w:val="none" w:sz="0" w:space="0" w:color="auto"/>
      </w:divBdr>
    </w:div>
    <w:div w:id="834608363">
      <w:bodyDiv w:val="1"/>
      <w:marLeft w:val="0"/>
      <w:marRight w:val="0"/>
      <w:marTop w:val="0"/>
      <w:marBottom w:val="0"/>
      <w:divBdr>
        <w:top w:val="none" w:sz="0" w:space="0" w:color="auto"/>
        <w:left w:val="none" w:sz="0" w:space="0" w:color="auto"/>
        <w:bottom w:val="none" w:sz="0" w:space="0" w:color="auto"/>
        <w:right w:val="none" w:sz="0" w:space="0" w:color="auto"/>
      </w:divBdr>
    </w:div>
    <w:div w:id="1302998700">
      <w:bodyDiv w:val="1"/>
      <w:marLeft w:val="0"/>
      <w:marRight w:val="0"/>
      <w:marTop w:val="0"/>
      <w:marBottom w:val="0"/>
      <w:divBdr>
        <w:top w:val="none" w:sz="0" w:space="0" w:color="auto"/>
        <w:left w:val="none" w:sz="0" w:space="0" w:color="auto"/>
        <w:bottom w:val="none" w:sz="0" w:space="0" w:color="auto"/>
        <w:right w:val="none" w:sz="0" w:space="0" w:color="auto"/>
      </w:divBdr>
    </w:div>
    <w:div w:id="1797333456">
      <w:bodyDiv w:val="1"/>
      <w:marLeft w:val="0"/>
      <w:marRight w:val="0"/>
      <w:marTop w:val="0"/>
      <w:marBottom w:val="0"/>
      <w:divBdr>
        <w:top w:val="none" w:sz="0" w:space="0" w:color="auto"/>
        <w:left w:val="none" w:sz="0" w:space="0" w:color="auto"/>
        <w:bottom w:val="none" w:sz="0" w:space="0" w:color="auto"/>
        <w:right w:val="none" w:sz="0" w:space="0" w:color="auto"/>
      </w:divBdr>
    </w:div>
    <w:div w:id="18412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xdot.gov/content/dam/docs/division/env/toolkit/060-06-gui.pdf" TargetMode="External"/><Relationship Id="rId18" Type="http://schemas.openxmlformats.org/officeDocument/2006/relationships/hyperlink" Target="https://www.txdot.gov/business/resources/environmental/compliance-toolkits.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tceq.texas.gov/toxicology/regmemo/AirMain.html" TargetMode="External"/><Relationship Id="rId7" Type="http://schemas.openxmlformats.org/officeDocument/2006/relationships/settings" Target="settings.xml"/><Relationship Id="rId12" Type="http://schemas.openxmlformats.org/officeDocument/2006/relationships/hyperlink" Target="https://www.txdot.gov/business/resources/environmental/compliance-toolkits/air-quality.html" TargetMode="External"/><Relationship Id="rId17" Type="http://schemas.openxmlformats.org/officeDocument/2006/relationships/hyperlink" Target="https://www.txdot.gov/business/resources/environmental/compliance-toolkits/air-quality.html"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xperience.arcgis.com/experience/6e6f953507e44c6cabc6aaf50a4448a5" TargetMode="External"/><Relationship Id="rId20" Type="http://schemas.openxmlformats.org/officeDocument/2006/relationships/hyperlink" Target="https://www.tceq.texas.gov/toxicology/apwl/apwl.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xdot.gov/business/resources/environmental/compliance-toolkits/air-quality.html"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txdot.gov/business/resources/environmental/compliance-toolkits/air-quality.html"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txdot.gov/content/dam/docs/division/env/toolkit/725-01-rp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xdot.gov/business/resources/environmental/compliance-toolkits/air-quality.html" TargetMode="External"/><Relationship Id="rId22" Type="http://schemas.openxmlformats.org/officeDocument/2006/relationships/hyperlink" Target="https://www.epa.gov/outdoor-air-quality-data"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arci6\Texas%20Department%20of%20Transportation\ENV%20ATF%20-%20Documents\00%20-%20Resources\env-word-accessibility-template.dotx" TargetMode="External"/></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Props1.xml><?xml version="1.0" encoding="utf-8"?>
<ds:datastoreItem xmlns:ds="http://schemas.openxmlformats.org/officeDocument/2006/customXml" ds:itemID="{354487C1-0562-40A6-9E6F-583F926DFDEC}">
  <ds:schemaRefs>
    <ds:schemaRef ds:uri="http://schemas.openxmlformats.org/officeDocument/2006/bibliography"/>
  </ds:schemaRefs>
</ds:datastoreItem>
</file>

<file path=customXml/itemProps2.xml><?xml version="1.0" encoding="utf-8"?>
<ds:datastoreItem xmlns:ds="http://schemas.openxmlformats.org/officeDocument/2006/customXml" ds:itemID="{FCDE3115-644F-4C41-8C77-9ABF1A05B754}">
  <ds:schemaRefs>
    <ds:schemaRef ds:uri="http://schemas.microsoft.com/sharepoint/v3/contenttype/forms"/>
  </ds:schemaRefs>
</ds:datastoreItem>
</file>

<file path=customXml/itemProps3.xml><?xml version="1.0" encoding="utf-8"?>
<ds:datastoreItem xmlns:ds="http://schemas.openxmlformats.org/officeDocument/2006/customXml" ds:itemID="{2033DE87-9976-4BA5-ACC3-6F00C8B8F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38030A-1151-48DB-8A23-26F7EDCC7F4A}">
  <ds:schemaRefs>
    <ds:schemaRef ds:uri="http://schemas.microsoft.com/office/2006/metadata/properties"/>
    <ds:schemaRef ds:uri="http://schemas.microsoft.com/office/infopath/2007/PartnerControls"/>
    <ds:schemaRef ds:uri="7fef7c20-eb6f-4e1b-9e04-31bde27da1d8"/>
    <ds:schemaRef ds:uri="4f546ee9-1892-45b9-9ba2-985592e03772"/>
  </ds:schemaRefs>
</ds:datastoreItem>
</file>

<file path=docProps/app.xml><?xml version="1.0" encoding="utf-8"?>
<Properties xmlns="http://schemas.openxmlformats.org/officeDocument/2006/extended-properties" xmlns:vt="http://schemas.openxmlformats.org/officeDocument/2006/docPropsVTypes">
  <Template>env-word-accessibility-template.dotx</Template>
  <TotalTime>67</TotalTime>
  <Pages>9</Pages>
  <Words>2251</Words>
  <Characters>12833</Characters>
  <Application>Microsoft Office Word</Application>
  <DocSecurity>8</DocSecurity>
  <Lines>106</Lines>
  <Paragraphs>30</Paragraphs>
  <ScaleCrop>false</ScaleCrop>
  <HeadingPairs>
    <vt:vector size="2" baseType="variant">
      <vt:variant>
        <vt:lpstr>Title</vt:lpstr>
      </vt:variant>
      <vt:variant>
        <vt:i4>1</vt:i4>
      </vt:variant>
    </vt:vector>
  </HeadingPairs>
  <TitlesOfParts>
    <vt:vector size="1" baseType="lpstr">
      <vt:lpstr>Air Quality Frequently Asked Questions</vt:lpstr>
    </vt:vector>
  </TitlesOfParts>
  <Company/>
  <LinksUpToDate>false</LinksUpToDate>
  <CharactersWithSpaces>15054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Quality Frequently Asked Questions</dc:title>
  <dc:subject>Provides guidance regarding the environmental review requirements for Air Quality.</dc:subject>
  <dc:creator>TxDOT</dc:creator>
  <cp:keywords>200-01-faq; Environnmental review requirements; SIB financing projects; FAQ</cp:keywords>
  <dc:description>Word; Accessibility; Template</dc:description>
  <cp:lastModifiedBy>Lauren Miller</cp:lastModifiedBy>
  <cp:revision>20</cp:revision>
  <dcterms:created xsi:type="dcterms:W3CDTF">2026-03-23T18:49:00Z</dcterms:created>
  <dcterms:modified xsi:type="dcterms:W3CDTF">2026-04-27T11:45:00Z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ies>
</file>