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3120" w14:textId="1AB51B9C" w:rsidR="004F697B" w:rsidRPr="00917F65" w:rsidRDefault="00BE5256" w:rsidP="00771021">
      <w:pPr>
        <w:pStyle w:val="Heading1"/>
        <w:rPr>
          <w:sz w:val="36"/>
          <w:szCs w:val="48"/>
        </w:rPr>
      </w:pPr>
      <w:r>
        <w:rPr>
          <w:sz w:val="36"/>
          <w:szCs w:val="48"/>
        </w:rPr>
        <w:t>Texas Air Quality Nonattainment or Attainment-Maintenance Areas and Counties – November 20, 2025</w:t>
      </w:r>
    </w:p>
    <w:p w14:paraId="3AAE43AB" w14:textId="1ADDDB02" w:rsidR="00F26598" w:rsidRPr="009C0C97" w:rsidRDefault="00F26598" w:rsidP="00F26598">
      <w:pPr>
        <w:pStyle w:val="Caption"/>
        <w:keepNext/>
        <w:spacing w:after="0"/>
        <w:rPr>
          <w:b/>
          <w:bCs/>
          <w:i w:val="0"/>
          <w:iCs w:val="0"/>
          <w:sz w:val="24"/>
          <w:szCs w:val="24"/>
        </w:rPr>
      </w:pPr>
      <w:r w:rsidRPr="009C0C97">
        <w:rPr>
          <w:b/>
          <w:bCs/>
          <w:i w:val="0"/>
          <w:iCs w:val="0"/>
          <w:sz w:val="24"/>
          <w:szCs w:val="24"/>
        </w:rPr>
        <w:t xml:space="preserve">Table </w:t>
      </w:r>
      <w:r w:rsidRPr="009C0C97">
        <w:rPr>
          <w:b/>
          <w:bCs/>
          <w:i w:val="0"/>
          <w:iCs w:val="0"/>
          <w:sz w:val="24"/>
          <w:szCs w:val="24"/>
        </w:rPr>
        <w:fldChar w:fldCharType="begin"/>
      </w:r>
      <w:r w:rsidRPr="009C0C97">
        <w:rPr>
          <w:b/>
          <w:bCs/>
          <w:i w:val="0"/>
          <w:iCs w:val="0"/>
          <w:sz w:val="24"/>
          <w:szCs w:val="24"/>
        </w:rPr>
        <w:instrText xml:space="preserve"> SEQ Table \* ARABIC </w:instrText>
      </w:r>
      <w:r w:rsidRPr="009C0C97">
        <w:rPr>
          <w:b/>
          <w:bCs/>
          <w:i w:val="0"/>
          <w:iCs w:val="0"/>
          <w:sz w:val="24"/>
          <w:szCs w:val="24"/>
        </w:rPr>
        <w:fldChar w:fldCharType="separate"/>
      </w:r>
      <w:r w:rsidRPr="009C0C97">
        <w:rPr>
          <w:b/>
          <w:bCs/>
          <w:i w:val="0"/>
          <w:iCs w:val="0"/>
          <w:noProof/>
          <w:sz w:val="24"/>
          <w:szCs w:val="24"/>
        </w:rPr>
        <w:t>1</w:t>
      </w:r>
      <w:r w:rsidRPr="009C0C97">
        <w:rPr>
          <w:b/>
          <w:bCs/>
          <w:i w:val="0"/>
          <w:iCs w:val="0"/>
          <w:sz w:val="24"/>
          <w:szCs w:val="24"/>
        </w:rPr>
        <w:fldChar w:fldCharType="end"/>
      </w:r>
      <w:r w:rsidR="005B5232">
        <w:rPr>
          <w:b/>
          <w:bCs/>
          <w:i w:val="0"/>
          <w:iCs w:val="0"/>
          <w:sz w:val="24"/>
          <w:szCs w:val="24"/>
        </w:rPr>
        <w:t>.</w:t>
      </w:r>
      <w:r w:rsidRPr="009C0C97">
        <w:rPr>
          <w:b/>
          <w:bCs/>
          <w:i w:val="0"/>
          <w:iCs w:val="0"/>
          <w:sz w:val="24"/>
          <w:szCs w:val="24"/>
        </w:rPr>
        <w:t xml:space="preserve"> Texas Air Quality Nonattainment or Attainment-Maintenance Areas and Counties</w:t>
      </w:r>
      <w:r w:rsidR="00CE7377" w:rsidRPr="009C0C97">
        <w:rPr>
          <w:b/>
          <w:bCs/>
          <w:i w:val="0"/>
          <w:iCs w:val="0"/>
          <w:sz w:val="24"/>
          <w:szCs w:val="24"/>
        </w:rPr>
        <w:t xml:space="preserve"> – November 20, 2025</w:t>
      </w:r>
    </w:p>
    <w:tbl>
      <w:tblPr>
        <w:tblStyle w:val="ATFTxDOTTable"/>
        <w:tblpPr w:leftFromText="180" w:rightFromText="180" w:vertAnchor="text" w:horzAnchor="page" w:tblpXSpec="center" w:tblpY="188"/>
        <w:tblW w:w="0" w:type="auto"/>
        <w:tblInd w:w="0" w:type="dxa"/>
        <w:tblLook w:val="0420" w:firstRow="1" w:lastRow="0" w:firstColumn="0" w:lastColumn="0" w:noHBand="0" w:noVBand="1"/>
      </w:tblPr>
      <w:tblGrid>
        <w:gridCol w:w="2484"/>
        <w:gridCol w:w="2142"/>
        <w:gridCol w:w="1848"/>
        <w:gridCol w:w="2491"/>
        <w:gridCol w:w="2579"/>
        <w:gridCol w:w="1845"/>
        <w:gridCol w:w="1761"/>
        <w:gridCol w:w="3595"/>
        <w:gridCol w:w="1908"/>
        <w:gridCol w:w="2377"/>
      </w:tblGrid>
      <w:tr w:rsidR="005D3D97" w:rsidRPr="00624C21" w14:paraId="26BE591E" w14:textId="77777777" w:rsidTr="006B3FF8">
        <w:trPr>
          <w:cnfStyle w:val="100000000000" w:firstRow="1" w:lastRow="0" w:firstColumn="0" w:lastColumn="0" w:oddVBand="0" w:evenVBand="0" w:oddHBand="0" w:evenHBand="0" w:firstRowFirstColumn="0" w:firstRowLastColumn="0" w:lastRowFirstColumn="0" w:lastRowLastColumn="0"/>
          <w:tblHeader/>
        </w:trPr>
        <w:tc>
          <w:tcPr>
            <w:tcW w:w="0" w:type="auto"/>
            <w:vAlign w:val="top"/>
            <w:hideMark/>
          </w:tcPr>
          <w:p w14:paraId="0CF2E500" w14:textId="210C34F4" w:rsidR="00E97263" w:rsidRPr="00624C21" w:rsidRDefault="00E97263" w:rsidP="003704E9">
            <w:pPr>
              <w:spacing w:after="0" w:line="240" w:lineRule="auto"/>
              <w:rPr>
                <w:rFonts w:asciiTheme="minorHAnsi" w:hAnsiTheme="minorHAnsi"/>
                <w:color w:val="FFFFFF" w:themeColor="background1"/>
              </w:rPr>
            </w:pPr>
            <w:r>
              <w:rPr>
                <w:rFonts w:asciiTheme="minorHAnsi" w:hAnsiTheme="minorHAnsi"/>
                <w:color w:val="FFFFFF" w:themeColor="background1"/>
              </w:rPr>
              <w:t>Nonattainment or Maintenance Area</w:t>
            </w:r>
          </w:p>
        </w:tc>
        <w:tc>
          <w:tcPr>
            <w:tcW w:w="0" w:type="auto"/>
            <w:vAlign w:val="top"/>
            <w:hideMark/>
          </w:tcPr>
          <w:p w14:paraId="5D47E35A" w14:textId="62AEA995" w:rsidR="00E97263" w:rsidRPr="00624C21" w:rsidRDefault="00E97263" w:rsidP="003704E9">
            <w:pPr>
              <w:spacing w:after="0" w:line="240" w:lineRule="auto"/>
              <w:rPr>
                <w:rFonts w:asciiTheme="minorHAnsi" w:hAnsiTheme="minorHAnsi"/>
                <w:color w:val="FFFFFF" w:themeColor="background1"/>
              </w:rPr>
            </w:pPr>
            <w:r>
              <w:rPr>
                <w:rFonts w:asciiTheme="minorHAnsi" w:hAnsiTheme="minorHAnsi"/>
                <w:color w:val="FFFFFF" w:themeColor="background1"/>
              </w:rPr>
              <w:t>National Ambien</w:t>
            </w:r>
            <w:r w:rsidRPr="00624C21">
              <w:rPr>
                <w:rFonts w:asciiTheme="minorHAnsi" w:hAnsiTheme="minorHAnsi"/>
                <w:color w:val="FFFFFF" w:themeColor="background1"/>
              </w:rPr>
              <w:t>t</w:t>
            </w:r>
            <w:r>
              <w:rPr>
                <w:rFonts w:asciiTheme="minorHAnsi" w:hAnsiTheme="minorHAnsi"/>
                <w:color w:val="FFFFFF" w:themeColor="background1"/>
              </w:rPr>
              <w:t xml:space="preserve"> Air Quality Standard (NAAQS)</w:t>
            </w:r>
          </w:p>
        </w:tc>
        <w:tc>
          <w:tcPr>
            <w:tcW w:w="0" w:type="auto"/>
            <w:vAlign w:val="top"/>
            <w:hideMark/>
          </w:tcPr>
          <w:p w14:paraId="29E9CFEF" w14:textId="77777777" w:rsidR="00E97263" w:rsidRPr="00624C21" w:rsidRDefault="00E97263" w:rsidP="003704E9">
            <w:pPr>
              <w:spacing w:after="0" w:line="240" w:lineRule="auto"/>
              <w:rPr>
                <w:rFonts w:asciiTheme="minorHAnsi" w:hAnsiTheme="minorHAnsi"/>
                <w:color w:val="FFFFFF" w:themeColor="background1"/>
              </w:rPr>
            </w:pPr>
            <w:r>
              <w:rPr>
                <w:rFonts w:asciiTheme="minorHAnsi" w:hAnsiTheme="minorHAnsi"/>
                <w:color w:val="FFFFFF" w:themeColor="background1"/>
              </w:rPr>
              <w:t>Affected Counties</w:t>
            </w:r>
          </w:p>
        </w:tc>
        <w:tc>
          <w:tcPr>
            <w:tcW w:w="0" w:type="auto"/>
            <w:vAlign w:val="top"/>
            <w:hideMark/>
          </w:tcPr>
          <w:p w14:paraId="09DACE4E" w14:textId="00C502E1" w:rsidR="00E97263" w:rsidRPr="00624C21" w:rsidRDefault="00E97263" w:rsidP="003704E9">
            <w:pPr>
              <w:spacing w:after="0" w:line="240" w:lineRule="auto"/>
              <w:rPr>
                <w:rFonts w:asciiTheme="minorHAnsi" w:hAnsiTheme="minorHAnsi"/>
                <w:color w:val="FFFFFF" w:themeColor="background1"/>
              </w:rPr>
            </w:pPr>
            <w:r>
              <w:rPr>
                <w:rFonts w:asciiTheme="minorHAnsi" w:hAnsiTheme="minorHAnsi"/>
                <w:color w:val="FFFFFF" w:themeColor="background1"/>
              </w:rPr>
              <w:t xml:space="preserve">Metropolitan Planning </w:t>
            </w:r>
            <w:r w:rsidR="00CE7377">
              <w:rPr>
                <w:rFonts w:asciiTheme="minorHAnsi" w:hAnsiTheme="minorHAnsi"/>
                <w:color w:val="FFFFFF" w:themeColor="background1"/>
              </w:rPr>
              <w:t>Organization</w:t>
            </w:r>
            <w:r w:rsidR="00CE7377">
              <w:rPr>
                <w:color w:val="FFFFFF" w:themeColor="background1"/>
              </w:rPr>
              <w:t xml:space="preserve"> (</w:t>
            </w:r>
            <w:r w:rsidR="00BE3565">
              <w:rPr>
                <w:rFonts w:asciiTheme="minorHAnsi" w:hAnsiTheme="minorHAnsi"/>
                <w:color w:val="FFFFFF" w:themeColor="background1"/>
              </w:rPr>
              <w:t>MPO)</w:t>
            </w:r>
          </w:p>
        </w:tc>
        <w:tc>
          <w:tcPr>
            <w:tcW w:w="0" w:type="auto"/>
            <w:vAlign w:val="top"/>
            <w:hideMark/>
          </w:tcPr>
          <w:p w14:paraId="461CD0B8" w14:textId="6C58257E" w:rsidR="00BE3565" w:rsidRDefault="00E97263" w:rsidP="003704E9">
            <w:pPr>
              <w:spacing w:after="0" w:line="240" w:lineRule="auto"/>
              <w:rPr>
                <w:rFonts w:asciiTheme="minorHAnsi" w:hAnsiTheme="minorHAnsi"/>
                <w:b w:val="0"/>
                <w:color w:val="FFFFFF" w:themeColor="background1"/>
              </w:rPr>
            </w:pPr>
            <w:r>
              <w:rPr>
                <w:rFonts w:asciiTheme="minorHAnsi" w:hAnsiTheme="minorHAnsi"/>
                <w:color w:val="FFFFFF" w:themeColor="background1"/>
              </w:rPr>
              <w:t>Metropolitan Transportation Plan</w:t>
            </w:r>
            <w:r w:rsidR="00CE7377">
              <w:rPr>
                <w:rFonts w:asciiTheme="minorHAnsi" w:hAnsiTheme="minorHAnsi"/>
                <w:color w:val="FFFFFF" w:themeColor="background1"/>
              </w:rPr>
              <w:t xml:space="preserve"> </w:t>
            </w:r>
            <w:r w:rsidR="00BE3565">
              <w:rPr>
                <w:rFonts w:asciiTheme="minorHAnsi" w:hAnsiTheme="minorHAnsi"/>
                <w:color w:val="FFFFFF" w:themeColor="background1"/>
              </w:rPr>
              <w:t>(MTP)</w:t>
            </w:r>
          </w:p>
          <w:p w14:paraId="2A294EF1" w14:textId="568EFA15" w:rsidR="00E97263" w:rsidRPr="00624C21" w:rsidRDefault="00E97263" w:rsidP="003704E9">
            <w:pPr>
              <w:spacing w:after="0" w:line="240" w:lineRule="auto"/>
              <w:rPr>
                <w:rFonts w:asciiTheme="minorHAnsi" w:hAnsiTheme="minorHAnsi"/>
                <w:color w:val="FFFFFF" w:themeColor="background1"/>
              </w:rPr>
            </w:pPr>
            <w:r>
              <w:rPr>
                <w:rFonts w:asciiTheme="minorHAnsi" w:hAnsiTheme="minorHAnsi"/>
                <w:color w:val="FFFFFF" w:themeColor="background1"/>
              </w:rPr>
              <w:t>Name</w:t>
            </w:r>
            <w:r w:rsidR="00BE3565">
              <w:rPr>
                <w:rFonts w:asciiTheme="minorHAnsi" w:hAnsiTheme="minorHAnsi"/>
                <w:color w:val="FFFFFF" w:themeColor="background1"/>
              </w:rPr>
              <w:t xml:space="preserve"> </w:t>
            </w:r>
          </w:p>
        </w:tc>
        <w:tc>
          <w:tcPr>
            <w:tcW w:w="0" w:type="auto"/>
            <w:vAlign w:val="top"/>
          </w:tcPr>
          <w:p w14:paraId="0DC64DC5" w14:textId="3D20B7F0" w:rsidR="00E97263" w:rsidRDefault="00E97263" w:rsidP="003704E9">
            <w:pPr>
              <w:spacing w:after="0" w:line="240" w:lineRule="auto"/>
              <w:rPr>
                <w:color w:val="FFFFFF" w:themeColor="background1"/>
              </w:rPr>
            </w:pPr>
            <w:r>
              <w:rPr>
                <w:color w:val="FFFFFF" w:themeColor="background1"/>
              </w:rPr>
              <w:t>Conformity Date for MTP</w:t>
            </w:r>
            <w:r w:rsidR="00FC7736">
              <w:rPr>
                <w:rStyle w:val="FootnoteReference"/>
                <w:color w:val="FFFFFF" w:themeColor="background1"/>
              </w:rPr>
              <w:footnoteReference w:id="1"/>
            </w:r>
          </w:p>
        </w:tc>
        <w:tc>
          <w:tcPr>
            <w:tcW w:w="0" w:type="auto"/>
            <w:vAlign w:val="top"/>
          </w:tcPr>
          <w:p w14:paraId="0BA2265B" w14:textId="30127828" w:rsidR="00E97263" w:rsidRDefault="00E97263" w:rsidP="003704E9">
            <w:pPr>
              <w:spacing w:after="0" w:line="240" w:lineRule="auto"/>
              <w:rPr>
                <w:color w:val="FFFFFF" w:themeColor="background1"/>
              </w:rPr>
            </w:pPr>
            <w:r>
              <w:rPr>
                <w:color w:val="FFFFFF" w:themeColor="background1"/>
              </w:rPr>
              <w:t>Four</w:t>
            </w:r>
            <w:r w:rsidR="005425A5">
              <w:rPr>
                <w:color w:val="FFFFFF" w:themeColor="background1"/>
              </w:rPr>
              <w:t xml:space="preserve"> </w:t>
            </w:r>
            <w:r>
              <w:rPr>
                <w:color w:val="FFFFFF" w:themeColor="background1"/>
              </w:rPr>
              <w:t>Year Clock Expiration</w:t>
            </w:r>
          </w:p>
        </w:tc>
        <w:tc>
          <w:tcPr>
            <w:tcW w:w="0" w:type="auto"/>
            <w:vAlign w:val="top"/>
          </w:tcPr>
          <w:p w14:paraId="66A635D7" w14:textId="128133D6" w:rsidR="00E97263" w:rsidRDefault="00E97263" w:rsidP="003704E9">
            <w:pPr>
              <w:spacing w:after="0" w:line="240" w:lineRule="auto"/>
              <w:rPr>
                <w:color w:val="FFFFFF" w:themeColor="background1"/>
              </w:rPr>
            </w:pPr>
            <w:r>
              <w:rPr>
                <w:color w:val="FFFFFF" w:themeColor="background1"/>
              </w:rPr>
              <w:t>Transportation Improvement Plan</w:t>
            </w:r>
            <w:r w:rsidR="00CE7377">
              <w:rPr>
                <w:color w:val="FFFFFF" w:themeColor="background1"/>
              </w:rPr>
              <w:t xml:space="preserve"> (TIP</w:t>
            </w:r>
            <w:r>
              <w:rPr>
                <w:color w:val="FFFFFF" w:themeColor="background1"/>
              </w:rPr>
              <w:t>) or State</w:t>
            </w:r>
            <w:r w:rsidR="00174248">
              <w:rPr>
                <w:color w:val="FFFFFF" w:themeColor="background1"/>
              </w:rPr>
              <w:t>wide</w:t>
            </w:r>
            <w:r>
              <w:rPr>
                <w:color w:val="FFFFFF" w:themeColor="background1"/>
              </w:rPr>
              <w:t xml:space="preserve"> </w:t>
            </w:r>
            <w:r w:rsidR="00667632">
              <w:rPr>
                <w:color w:val="FFFFFF" w:themeColor="background1"/>
              </w:rPr>
              <w:t xml:space="preserve">Transportation Improvement </w:t>
            </w:r>
            <w:r>
              <w:rPr>
                <w:color w:val="FFFFFF" w:themeColor="background1"/>
              </w:rPr>
              <w:t>P</w:t>
            </w:r>
            <w:r w:rsidR="00667632">
              <w:rPr>
                <w:color w:val="FFFFFF" w:themeColor="background1"/>
              </w:rPr>
              <w:t>rogram</w:t>
            </w:r>
            <w:r w:rsidR="00CE7377">
              <w:rPr>
                <w:color w:val="FFFFFF" w:themeColor="background1"/>
              </w:rPr>
              <w:t xml:space="preserve"> </w:t>
            </w:r>
            <w:r w:rsidR="00CE7377" w:rsidRPr="00CA11EB">
              <w:rPr>
                <w:color w:val="FFFFFF" w:themeColor="background1"/>
              </w:rPr>
              <w:t>(S</w:t>
            </w:r>
            <w:r w:rsidR="00CA11EB">
              <w:rPr>
                <w:color w:val="FFFFFF" w:themeColor="background1"/>
              </w:rPr>
              <w:t>T</w:t>
            </w:r>
            <w:r w:rsidR="00CE7377" w:rsidRPr="00CA11EB">
              <w:rPr>
                <w:color w:val="FFFFFF" w:themeColor="background1"/>
              </w:rPr>
              <w:t>IP</w:t>
            </w:r>
            <w:r>
              <w:rPr>
                <w:color w:val="FFFFFF" w:themeColor="background1"/>
              </w:rPr>
              <w:t>) Name</w:t>
            </w:r>
          </w:p>
        </w:tc>
        <w:tc>
          <w:tcPr>
            <w:tcW w:w="0" w:type="auto"/>
            <w:vAlign w:val="top"/>
          </w:tcPr>
          <w:p w14:paraId="116C6F92" w14:textId="342D5FE0" w:rsidR="00E97263" w:rsidRDefault="00E97263" w:rsidP="003704E9">
            <w:pPr>
              <w:spacing w:after="0" w:line="240" w:lineRule="auto"/>
              <w:rPr>
                <w:color w:val="FFFFFF" w:themeColor="background1"/>
              </w:rPr>
            </w:pPr>
            <w:r>
              <w:rPr>
                <w:color w:val="FFFFFF" w:themeColor="background1"/>
              </w:rPr>
              <w:t xml:space="preserve">TIP or </w:t>
            </w:r>
            <w:r w:rsidRPr="00CA11EB">
              <w:rPr>
                <w:color w:val="FFFFFF" w:themeColor="background1"/>
              </w:rPr>
              <w:t>S</w:t>
            </w:r>
            <w:r w:rsidR="00CA11EB">
              <w:rPr>
                <w:color w:val="FFFFFF" w:themeColor="background1"/>
              </w:rPr>
              <w:t>T</w:t>
            </w:r>
            <w:r w:rsidRPr="00CA11EB">
              <w:rPr>
                <w:color w:val="FFFFFF" w:themeColor="background1"/>
              </w:rPr>
              <w:t>IP</w:t>
            </w:r>
            <w:r>
              <w:rPr>
                <w:color w:val="FFFFFF" w:themeColor="background1"/>
              </w:rPr>
              <w:t xml:space="preserve"> Conformity Date</w:t>
            </w:r>
            <w:r w:rsidR="00CB3937">
              <w:rPr>
                <w:rStyle w:val="FootnoteReference"/>
                <w:color w:val="FFFFFF" w:themeColor="background1"/>
              </w:rPr>
              <w:footnoteReference w:id="2"/>
            </w:r>
          </w:p>
        </w:tc>
        <w:tc>
          <w:tcPr>
            <w:tcW w:w="0" w:type="auto"/>
            <w:vAlign w:val="top"/>
          </w:tcPr>
          <w:p w14:paraId="0800EE30" w14:textId="54A6AC6D" w:rsidR="00E97263" w:rsidRDefault="00E97263" w:rsidP="003704E9">
            <w:pPr>
              <w:spacing w:after="0" w:line="240" w:lineRule="auto"/>
              <w:rPr>
                <w:color w:val="FFFFFF" w:themeColor="background1"/>
              </w:rPr>
            </w:pPr>
            <w:r>
              <w:rPr>
                <w:color w:val="FFFFFF" w:themeColor="background1"/>
              </w:rPr>
              <w:t>Designation Classification</w:t>
            </w:r>
          </w:p>
        </w:tc>
      </w:tr>
      <w:tr w:rsidR="005D3D97" w:rsidRPr="00624C21" w14:paraId="7B8D673F" w14:textId="77777777" w:rsidTr="003704E9">
        <w:trPr>
          <w:cnfStyle w:val="000000100000" w:firstRow="0" w:lastRow="0" w:firstColumn="0" w:lastColumn="0" w:oddVBand="0" w:evenVBand="0" w:oddHBand="1" w:evenHBand="0" w:firstRowFirstColumn="0" w:firstRowLastColumn="0" w:lastRowFirstColumn="0" w:lastRowLastColumn="0"/>
          <w:trHeight w:val="25"/>
        </w:trPr>
        <w:tc>
          <w:tcPr>
            <w:tcW w:w="0" w:type="auto"/>
            <w:vAlign w:val="top"/>
            <w:hideMark/>
          </w:tcPr>
          <w:p w14:paraId="6F6D97C8" w14:textId="025D8E7E" w:rsidR="00E97263" w:rsidRPr="00624C21" w:rsidRDefault="00E97263" w:rsidP="003704E9">
            <w:pPr>
              <w:spacing w:after="0"/>
              <w:rPr>
                <w:rFonts w:asciiTheme="minorHAnsi" w:hAnsiTheme="minorHAnsi"/>
                <w:color w:val="auto"/>
              </w:rPr>
            </w:pPr>
            <w:r w:rsidRPr="00BE5256">
              <w:rPr>
                <w:rFonts w:asciiTheme="minorHAnsi" w:hAnsiTheme="minorHAnsi"/>
                <w:color w:val="auto"/>
              </w:rPr>
              <w:t>Houston</w:t>
            </w:r>
            <w:r w:rsidR="00F32838">
              <w:rPr>
                <w:rFonts w:asciiTheme="minorHAnsi" w:hAnsiTheme="minorHAnsi"/>
                <w:color w:val="auto"/>
              </w:rPr>
              <w:t xml:space="preserve">, </w:t>
            </w:r>
            <w:r w:rsidRPr="00BE5256">
              <w:rPr>
                <w:rFonts w:asciiTheme="minorHAnsi" w:hAnsiTheme="minorHAnsi"/>
                <w:color w:val="auto"/>
              </w:rPr>
              <w:t>Galveston</w:t>
            </w:r>
            <w:r w:rsidR="00F32838">
              <w:rPr>
                <w:rFonts w:asciiTheme="minorHAnsi" w:hAnsiTheme="minorHAnsi"/>
                <w:color w:val="auto"/>
              </w:rPr>
              <w:t xml:space="preserve">, </w:t>
            </w:r>
            <w:r w:rsidRPr="00BE5256">
              <w:rPr>
                <w:rFonts w:asciiTheme="minorHAnsi" w:hAnsiTheme="minorHAnsi"/>
                <w:color w:val="auto"/>
              </w:rPr>
              <w:t>Brazoria (HGB)</w:t>
            </w:r>
          </w:p>
        </w:tc>
        <w:tc>
          <w:tcPr>
            <w:tcW w:w="0" w:type="auto"/>
            <w:vAlign w:val="top"/>
            <w:hideMark/>
          </w:tcPr>
          <w:p w14:paraId="5A64C339" w14:textId="77777777" w:rsidR="00E97263" w:rsidRPr="00624C21" w:rsidRDefault="00E97263" w:rsidP="003704E9">
            <w:pPr>
              <w:spacing w:after="0"/>
              <w:rPr>
                <w:rFonts w:asciiTheme="minorHAnsi" w:hAnsiTheme="minorHAnsi"/>
                <w:color w:val="auto"/>
              </w:rPr>
            </w:pPr>
            <w:r w:rsidRPr="00BE5256">
              <w:rPr>
                <w:rFonts w:asciiTheme="minorHAnsi" w:hAnsiTheme="minorHAnsi"/>
                <w:color w:val="auto"/>
              </w:rPr>
              <w:t>2008 ozone</w:t>
            </w:r>
          </w:p>
        </w:tc>
        <w:tc>
          <w:tcPr>
            <w:tcW w:w="0" w:type="auto"/>
            <w:vAlign w:val="top"/>
            <w:hideMark/>
          </w:tcPr>
          <w:p w14:paraId="66A24D60"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Brazoria</w:t>
            </w:r>
          </w:p>
          <w:p w14:paraId="7B7F5CC0"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Chambers</w:t>
            </w:r>
          </w:p>
          <w:p w14:paraId="60161BC6"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Fort Bend</w:t>
            </w:r>
          </w:p>
          <w:p w14:paraId="4B3455AB"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Galveston</w:t>
            </w:r>
          </w:p>
          <w:p w14:paraId="31C759B0"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Harris</w:t>
            </w:r>
          </w:p>
          <w:p w14:paraId="47C8833D"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Liberty</w:t>
            </w:r>
          </w:p>
          <w:p w14:paraId="725F8DE1"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Montgomery</w:t>
            </w:r>
          </w:p>
          <w:p w14:paraId="56D2DEF5" w14:textId="77777777" w:rsidR="00E97263" w:rsidRPr="00624C21" w:rsidRDefault="00E97263" w:rsidP="003704E9">
            <w:pPr>
              <w:spacing w:after="0"/>
              <w:rPr>
                <w:rFonts w:asciiTheme="minorHAnsi" w:hAnsiTheme="minorHAnsi"/>
                <w:color w:val="auto"/>
              </w:rPr>
            </w:pPr>
            <w:r w:rsidRPr="00BE5256">
              <w:rPr>
                <w:rFonts w:asciiTheme="minorHAnsi" w:hAnsiTheme="minorHAnsi"/>
                <w:color w:val="auto"/>
              </w:rPr>
              <w:t>Waller</w:t>
            </w:r>
          </w:p>
        </w:tc>
        <w:tc>
          <w:tcPr>
            <w:tcW w:w="0" w:type="auto"/>
            <w:vAlign w:val="top"/>
            <w:hideMark/>
          </w:tcPr>
          <w:p w14:paraId="72C03E55" w14:textId="1D94210A" w:rsidR="00E97263" w:rsidRPr="00624C21" w:rsidRDefault="00F32838" w:rsidP="003704E9">
            <w:pPr>
              <w:spacing w:after="0"/>
              <w:rPr>
                <w:rFonts w:asciiTheme="minorHAnsi" w:hAnsiTheme="minorHAnsi"/>
                <w:color w:val="auto"/>
              </w:rPr>
            </w:pPr>
            <w:r>
              <w:t xml:space="preserve">Houston, Galveston, </w:t>
            </w:r>
            <w:r w:rsidR="00BD4D8E">
              <w:t>Area Council (</w:t>
            </w:r>
            <w:r w:rsidR="00E97263" w:rsidRPr="00383ADD">
              <w:t>HGAC</w:t>
            </w:r>
            <w:r w:rsidR="00BD4D8E">
              <w:t>)</w:t>
            </w:r>
          </w:p>
        </w:tc>
        <w:tc>
          <w:tcPr>
            <w:tcW w:w="0" w:type="auto"/>
            <w:vAlign w:val="top"/>
            <w:hideMark/>
          </w:tcPr>
          <w:p w14:paraId="54244135" w14:textId="745662BA" w:rsidR="00E97263" w:rsidRPr="00624C21" w:rsidRDefault="00E97263" w:rsidP="003704E9">
            <w:pPr>
              <w:spacing w:after="0"/>
              <w:rPr>
                <w:rFonts w:asciiTheme="minorHAnsi" w:hAnsiTheme="minorHAnsi"/>
                <w:color w:val="auto"/>
              </w:rPr>
            </w:pPr>
            <w:r w:rsidRPr="00383ADD">
              <w:t>2045 RTP</w:t>
            </w:r>
            <w:r w:rsidR="00DF0CE8">
              <w:t xml:space="preserve"> (Regional Transportation Plan)</w:t>
            </w:r>
            <w:r w:rsidRPr="00383ADD">
              <w:t xml:space="preserve"> Update</w:t>
            </w:r>
          </w:p>
        </w:tc>
        <w:tc>
          <w:tcPr>
            <w:tcW w:w="0" w:type="auto"/>
            <w:vAlign w:val="top"/>
          </w:tcPr>
          <w:p w14:paraId="0DE671B0" w14:textId="77777777" w:rsidR="00E97263" w:rsidRPr="00624C21" w:rsidRDefault="00E97263" w:rsidP="003704E9">
            <w:pPr>
              <w:spacing w:after="0"/>
              <w:rPr>
                <w:color w:val="auto"/>
              </w:rPr>
            </w:pPr>
            <w:r w:rsidRPr="00383ADD">
              <w:t>November 1, 2023</w:t>
            </w:r>
          </w:p>
        </w:tc>
        <w:tc>
          <w:tcPr>
            <w:tcW w:w="0" w:type="auto"/>
            <w:vAlign w:val="top"/>
          </w:tcPr>
          <w:p w14:paraId="5CA421D6" w14:textId="77777777" w:rsidR="00E97263" w:rsidRPr="00624C21" w:rsidRDefault="00E97263" w:rsidP="003704E9">
            <w:pPr>
              <w:spacing w:after="0"/>
              <w:rPr>
                <w:color w:val="auto"/>
              </w:rPr>
            </w:pPr>
            <w:r w:rsidRPr="00383ADD">
              <w:t>November 1, 2027</w:t>
            </w:r>
          </w:p>
        </w:tc>
        <w:tc>
          <w:tcPr>
            <w:tcW w:w="0" w:type="auto"/>
            <w:vAlign w:val="top"/>
          </w:tcPr>
          <w:p w14:paraId="1FB2F1BA" w14:textId="77777777" w:rsidR="00E97263" w:rsidRPr="00624C21" w:rsidRDefault="00E97263" w:rsidP="003704E9">
            <w:pPr>
              <w:spacing w:after="0"/>
              <w:rPr>
                <w:color w:val="auto"/>
              </w:rPr>
            </w:pPr>
            <w:r w:rsidRPr="00383ADD">
              <w:t>2025-2028 TIP</w:t>
            </w:r>
          </w:p>
        </w:tc>
        <w:tc>
          <w:tcPr>
            <w:tcW w:w="0" w:type="auto"/>
            <w:vAlign w:val="top"/>
          </w:tcPr>
          <w:p w14:paraId="2EF01E06" w14:textId="77777777" w:rsidR="00E97263" w:rsidRPr="00624C21" w:rsidRDefault="00E97263" w:rsidP="003704E9">
            <w:pPr>
              <w:spacing w:after="0"/>
              <w:rPr>
                <w:color w:val="auto"/>
              </w:rPr>
            </w:pPr>
            <w:r w:rsidRPr="00383ADD">
              <w:t>October 18, 2024</w:t>
            </w:r>
          </w:p>
        </w:tc>
        <w:tc>
          <w:tcPr>
            <w:tcW w:w="0" w:type="auto"/>
            <w:vAlign w:val="top"/>
          </w:tcPr>
          <w:p w14:paraId="4CBCA186" w14:textId="2F1607CF" w:rsidR="00E97263" w:rsidRPr="00624C21" w:rsidRDefault="00E97263" w:rsidP="003704E9">
            <w:pPr>
              <w:spacing w:after="0"/>
              <w:rPr>
                <w:color w:val="auto"/>
              </w:rPr>
            </w:pPr>
            <w:r>
              <w:rPr>
                <w:color w:val="auto"/>
              </w:rPr>
              <w:t>Severe Nonattainment</w:t>
            </w:r>
            <w:r w:rsidR="00542AC9">
              <w:rPr>
                <w:rStyle w:val="FootnoteReference"/>
                <w:color w:val="auto"/>
              </w:rPr>
              <w:footnoteReference w:id="3"/>
            </w:r>
          </w:p>
        </w:tc>
      </w:tr>
      <w:tr w:rsidR="005D3D97" w:rsidRPr="00624C21" w14:paraId="55F001B0" w14:textId="77777777" w:rsidTr="003704E9">
        <w:trPr>
          <w:cnfStyle w:val="000000010000" w:firstRow="0" w:lastRow="0" w:firstColumn="0" w:lastColumn="0" w:oddVBand="0" w:evenVBand="0" w:oddHBand="0" w:evenHBand="1" w:firstRowFirstColumn="0" w:firstRowLastColumn="0" w:lastRowFirstColumn="0" w:lastRowLastColumn="0"/>
        </w:trPr>
        <w:tc>
          <w:tcPr>
            <w:tcW w:w="0" w:type="auto"/>
            <w:vAlign w:val="top"/>
            <w:hideMark/>
          </w:tcPr>
          <w:p w14:paraId="7ABEC65B" w14:textId="77777777" w:rsidR="00E97263" w:rsidRPr="00624C21" w:rsidRDefault="00E97263" w:rsidP="003704E9">
            <w:pPr>
              <w:spacing w:after="0"/>
              <w:rPr>
                <w:rFonts w:asciiTheme="minorHAnsi" w:hAnsiTheme="minorHAnsi"/>
                <w:color w:val="auto"/>
              </w:rPr>
            </w:pPr>
            <w:r w:rsidRPr="00BE5256">
              <w:rPr>
                <w:rFonts w:asciiTheme="minorHAnsi" w:hAnsiTheme="minorHAnsi"/>
                <w:color w:val="auto"/>
              </w:rPr>
              <w:t>Houston-Galveston-Brazoria (HGB)</w:t>
            </w:r>
          </w:p>
        </w:tc>
        <w:tc>
          <w:tcPr>
            <w:tcW w:w="0" w:type="auto"/>
            <w:vAlign w:val="top"/>
            <w:hideMark/>
          </w:tcPr>
          <w:p w14:paraId="03CC959C" w14:textId="77777777" w:rsidR="00E97263" w:rsidRPr="00624C21" w:rsidRDefault="00E97263" w:rsidP="003704E9">
            <w:pPr>
              <w:spacing w:after="0"/>
              <w:rPr>
                <w:rFonts w:asciiTheme="minorHAnsi" w:hAnsiTheme="minorHAnsi"/>
                <w:color w:val="auto"/>
              </w:rPr>
            </w:pPr>
            <w:r>
              <w:t>2015 ozone</w:t>
            </w:r>
          </w:p>
        </w:tc>
        <w:tc>
          <w:tcPr>
            <w:tcW w:w="0" w:type="auto"/>
            <w:vAlign w:val="top"/>
            <w:hideMark/>
          </w:tcPr>
          <w:p w14:paraId="5A944196"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Brazoria</w:t>
            </w:r>
          </w:p>
          <w:p w14:paraId="04A4EF03"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Chambers</w:t>
            </w:r>
          </w:p>
          <w:p w14:paraId="4671FF8F"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Fort Bend</w:t>
            </w:r>
          </w:p>
          <w:p w14:paraId="1E65F701"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Galveston</w:t>
            </w:r>
          </w:p>
          <w:p w14:paraId="48C1A3F9" w14:textId="77777777" w:rsidR="00E97263" w:rsidRPr="00BE5256" w:rsidRDefault="00E97263" w:rsidP="003704E9">
            <w:pPr>
              <w:spacing w:after="0"/>
              <w:rPr>
                <w:rFonts w:asciiTheme="minorHAnsi" w:hAnsiTheme="minorHAnsi"/>
                <w:color w:val="auto"/>
              </w:rPr>
            </w:pPr>
            <w:r w:rsidRPr="00BE5256">
              <w:rPr>
                <w:rFonts w:asciiTheme="minorHAnsi" w:hAnsiTheme="minorHAnsi"/>
                <w:color w:val="auto"/>
              </w:rPr>
              <w:t>Harris</w:t>
            </w:r>
          </w:p>
          <w:p w14:paraId="47BC73A7" w14:textId="77777777" w:rsidR="00E97263" w:rsidRPr="00624C21" w:rsidRDefault="00E97263" w:rsidP="003704E9">
            <w:pPr>
              <w:spacing w:after="0"/>
              <w:rPr>
                <w:rFonts w:asciiTheme="minorHAnsi" w:hAnsiTheme="minorHAnsi"/>
                <w:color w:val="auto"/>
              </w:rPr>
            </w:pPr>
            <w:r w:rsidRPr="00BE5256">
              <w:rPr>
                <w:rFonts w:asciiTheme="minorHAnsi" w:hAnsiTheme="minorHAnsi"/>
                <w:color w:val="auto"/>
              </w:rPr>
              <w:lastRenderedPageBreak/>
              <w:t>Montgome</w:t>
            </w:r>
            <w:r>
              <w:rPr>
                <w:rFonts w:asciiTheme="minorHAnsi" w:hAnsiTheme="minorHAnsi"/>
                <w:color w:val="auto"/>
              </w:rPr>
              <w:t>ry</w:t>
            </w:r>
          </w:p>
        </w:tc>
        <w:tc>
          <w:tcPr>
            <w:tcW w:w="0" w:type="auto"/>
            <w:vAlign w:val="top"/>
            <w:hideMark/>
          </w:tcPr>
          <w:p w14:paraId="23ADB299" w14:textId="31656BE1" w:rsidR="00E97263" w:rsidRPr="00624C21" w:rsidRDefault="00E97263" w:rsidP="003704E9">
            <w:pPr>
              <w:spacing w:after="0"/>
              <w:rPr>
                <w:rFonts w:asciiTheme="minorHAnsi" w:hAnsiTheme="minorHAnsi"/>
                <w:color w:val="auto"/>
              </w:rPr>
            </w:pPr>
            <w:r w:rsidRPr="00F60EDA">
              <w:lastRenderedPageBreak/>
              <w:t>HGAC</w:t>
            </w:r>
          </w:p>
        </w:tc>
        <w:tc>
          <w:tcPr>
            <w:tcW w:w="0" w:type="auto"/>
            <w:vAlign w:val="top"/>
            <w:hideMark/>
          </w:tcPr>
          <w:p w14:paraId="59A964C2" w14:textId="77777777" w:rsidR="00E97263" w:rsidRPr="00624C21" w:rsidRDefault="00E97263" w:rsidP="003704E9">
            <w:pPr>
              <w:spacing w:after="0"/>
              <w:rPr>
                <w:rFonts w:asciiTheme="minorHAnsi" w:hAnsiTheme="minorHAnsi"/>
                <w:color w:val="auto"/>
              </w:rPr>
            </w:pPr>
            <w:r w:rsidRPr="00F60EDA">
              <w:t>2045 RTP Update</w:t>
            </w:r>
          </w:p>
        </w:tc>
        <w:tc>
          <w:tcPr>
            <w:tcW w:w="0" w:type="auto"/>
            <w:vAlign w:val="top"/>
          </w:tcPr>
          <w:p w14:paraId="528B43C3" w14:textId="77777777" w:rsidR="00E97263" w:rsidRPr="00624C21" w:rsidRDefault="00E97263" w:rsidP="003704E9">
            <w:pPr>
              <w:spacing w:after="0"/>
              <w:rPr>
                <w:color w:val="auto"/>
              </w:rPr>
            </w:pPr>
            <w:r w:rsidRPr="00F60EDA">
              <w:t>November 1, 2023</w:t>
            </w:r>
          </w:p>
        </w:tc>
        <w:tc>
          <w:tcPr>
            <w:tcW w:w="0" w:type="auto"/>
            <w:vAlign w:val="top"/>
          </w:tcPr>
          <w:p w14:paraId="43B36F26" w14:textId="77777777" w:rsidR="00E97263" w:rsidRPr="00624C21" w:rsidRDefault="00E97263" w:rsidP="003704E9">
            <w:pPr>
              <w:spacing w:after="0"/>
              <w:rPr>
                <w:color w:val="auto"/>
              </w:rPr>
            </w:pPr>
            <w:r w:rsidRPr="00F60EDA">
              <w:t>November 1, 2027</w:t>
            </w:r>
          </w:p>
        </w:tc>
        <w:tc>
          <w:tcPr>
            <w:tcW w:w="0" w:type="auto"/>
            <w:vAlign w:val="top"/>
          </w:tcPr>
          <w:p w14:paraId="55BBE071" w14:textId="77777777" w:rsidR="00E97263" w:rsidRPr="00624C21" w:rsidRDefault="00E97263" w:rsidP="003704E9">
            <w:pPr>
              <w:spacing w:after="0"/>
              <w:rPr>
                <w:color w:val="auto"/>
              </w:rPr>
            </w:pPr>
            <w:r w:rsidRPr="00F60EDA">
              <w:t>2025-2028 TIP</w:t>
            </w:r>
          </w:p>
        </w:tc>
        <w:tc>
          <w:tcPr>
            <w:tcW w:w="0" w:type="auto"/>
            <w:vAlign w:val="top"/>
          </w:tcPr>
          <w:p w14:paraId="239E2E83" w14:textId="77777777" w:rsidR="00E97263" w:rsidRPr="00624C21" w:rsidRDefault="00E97263" w:rsidP="003704E9">
            <w:pPr>
              <w:spacing w:after="0"/>
              <w:rPr>
                <w:color w:val="auto"/>
              </w:rPr>
            </w:pPr>
            <w:r w:rsidRPr="00F60EDA">
              <w:t>October 18, 2024</w:t>
            </w:r>
          </w:p>
        </w:tc>
        <w:tc>
          <w:tcPr>
            <w:tcW w:w="0" w:type="auto"/>
            <w:vAlign w:val="top"/>
          </w:tcPr>
          <w:p w14:paraId="066B1ACE" w14:textId="66AE4079" w:rsidR="00E97263" w:rsidRPr="00624C21" w:rsidRDefault="00E97263" w:rsidP="003704E9">
            <w:pPr>
              <w:spacing w:after="0"/>
              <w:rPr>
                <w:color w:val="auto"/>
              </w:rPr>
            </w:pPr>
            <w:r>
              <w:rPr>
                <w:color w:val="auto"/>
              </w:rPr>
              <w:t>Serious Nonattainment</w:t>
            </w:r>
            <w:r w:rsidR="00460EA4">
              <w:rPr>
                <w:rStyle w:val="FootnoteReference"/>
                <w:color w:val="auto"/>
              </w:rPr>
              <w:footnoteReference w:id="4"/>
            </w:r>
          </w:p>
        </w:tc>
      </w:tr>
      <w:tr w:rsidR="005D3D97" w:rsidRPr="00624C21" w14:paraId="59578715" w14:textId="77777777" w:rsidTr="003704E9">
        <w:trPr>
          <w:cnfStyle w:val="000000100000" w:firstRow="0" w:lastRow="0" w:firstColumn="0" w:lastColumn="0" w:oddVBand="0" w:evenVBand="0" w:oddHBand="1" w:evenHBand="0" w:firstRowFirstColumn="0" w:firstRowLastColumn="0" w:lastRowFirstColumn="0" w:lastRowLastColumn="0"/>
        </w:trPr>
        <w:tc>
          <w:tcPr>
            <w:tcW w:w="0" w:type="auto"/>
            <w:vAlign w:val="top"/>
            <w:hideMark/>
          </w:tcPr>
          <w:p w14:paraId="737DA742" w14:textId="0D87E14A" w:rsidR="00E97263" w:rsidRPr="00624C21" w:rsidRDefault="00E97263" w:rsidP="003704E9">
            <w:pPr>
              <w:spacing w:after="0"/>
              <w:rPr>
                <w:rFonts w:asciiTheme="minorHAnsi" w:hAnsiTheme="minorHAnsi"/>
                <w:color w:val="auto"/>
              </w:rPr>
            </w:pPr>
            <w:r w:rsidRPr="00DE61AE">
              <w:t>Beaumont-Port Arthur</w:t>
            </w:r>
            <w:r>
              <w:t xml:space="preserve"> (BPA)</w:t>
            </w:r>
            <w:r w:rsidR="00F809F3">
              <w:rPr>
                <w:rStyle w:val="FootnoteReference"/>
              </w:rPr>
              <w:footnoteReference w:id="5"/>
            </w:r>
          </w:p>
        </w:tc>
        <w:tc>
          <w:tcPr>
            <w:tcW w:w="0" w:type="auto"/>
            <w:vAlign w:val="top"/>
            <w:hideMark/>
          </w:tcPr>
          <w:p w14:paraId="36868584" w14:textId="77777777" w:rsidR="00E97263" w:rsidRPr="00624C21" w:rsidRDefault="00E97263" w:rsidP="003704E9">
            <w:pPr>
              <w:spacing w:after="0"/>
              <w:rPr>
                <w:rFonts w:asciiTheme="minorHAnsi" w:hAnsiTheme="minorHAnsi"/>
                <w:color w:val="auto"/>
              </w:rPr>
            </w:pPr>
            <w:r>
              <w:t>1997 ozone</w:t>
            </w:r>
          </w:p>
        </w:tc>
        <w:tc>
          <w:tcPr>
            <w:tcW w:w="0" w:type="auto"/>
            <w:vAlign w:val="top"/>
            <w:hideMark/>
          </w:tcPr>
          <w:p w14:paraId="61BCDA37" w14:textId="77777777" w:rsidR="00E97263" w:rsidRPr="00E10C05" w:rsidRDefault="00E97263" w:rsidP="003704E9">
            <w:pPr>
              <w:pStyle w:val="TableText"/>
              <w:rPr>
                <w:sz w:val="24"/>
                <w:szCs w:val="24"/>
              </w:rPr>
            </w:pPr>
            <w:r w:rsidRPr="00E10C05">
              <w:rPr>
                <w:sz w:val="24"/>
                <w:szCs w:val="24"/>
              </w:rPr>
              <w:t>Hardin</w:t>
            </w:r>
          </w:p>
          <w:p w14:paraId="250C51D7" w14:textId="77777777" w:rsidR="00E97263" w:rsidRPr="00E10C05" w:rsidRDefault="00E97263" w:rsidP="003704E9">
            <w:pPr>
              <w:pStyle w:val="TableText"/>
              <w:rPr>
                <w:sz w:val="24"/>
                <w:szCs w:val="24"/>
              </w:rPr>
            </w:pPr>
            <w:r w:rsidRPr="00E10C05">
              <w:rPr>
                <w:sz w:val="24"/>
                <w:szCs w:val="24"/>
              </w:rPr>
              <w:t>Jefferson</w:t>
            </w:r>
          </w:p>
          <w:p w14:paraId="64AC611F" w14:textId="77777777" w:rsidR="00E97263" w:rsidRPr="00624C21" w:rsidRDefault="00E97263" w:rsidP="003704E9">
            <w:pPr>
              <w:spacing w:after="0"/>
              <w:rPr>
                <w:rFonts w:asciiTheme="minorHAnsi" w:hAnsiTheme="minorHAnsi"/>
                <w:color w:val="auto"/>
              </w:rPr>
            </w:pPr>
            <w:r w:rsidRPr="00E10C05">
              <w:t>Orange</w:t>
            </w:r>
          </w:p>
        </w:tc>
        <w:tc>
          <w:tcPr>
            <w:tcW w:w="0" w:type="auto"/>
            <w:vAlign w:val="top"/>
            <w:hideMark/>
          </w:tcPr>
          <w:p w14:paraId="4416CF0F" w14:textId="6271CC41" w:rsidR="00E97263" w:rsidRPr="00624C21" w:rsidRDefault="00DF233E" w:rsidP="003704E9">
            <w:pPr>
              <w:spacing w:after="0"/>
              <w:rPr>
                <w:rFonts w:asciiTheme="minorHAnsi" w:hAnsiTheme="minorHAnsi"/>
                <w:color w:val="auto"/>
              </w:rPr>
            </w:pPr>
            <w:r>
              <w:t>South East Texas Regional Planning Commission (</w:t>
            </w:r>
            <w:r w:rsidR="00E97263">
              <w:t>SETRPC</w:t>
            </w:r>
            <w:r>
              <w:t>)</w:t>
            </w:r>
          </w:p>
        </w:tc>
        <w:tc>
          <w:tcPr>
            <w:tcW w:w="0" w:type="auto"/>
            <w:vAlign w:val="top"/>
            <w:hideMark/>
          </w:tcPr>
          <w:p w14:paraId="3A124266" w14:textId="77777777" w:rsidR="00E97263" w:rsidRPr="00624C21" w:rsidRDefault="00E97263" w:rsidP="003704E9">
            <w:pPr>
              <w:spacing w:after="0"/>
              <w:rPr>
                <w:rFonts w:asciiTheme="minorHAnsi" w:hAnsiTheme="minorHAnsi"/>
                <w:color w:val="auto"/>
              </w:rPr>
            </w:pPr>
            <w:r>
              <w:t>2050 MTP</w:t>
            </w:r>
          </w:p>
        </w:tc>
        <w:tc>
          <w:tcPr>
            <w:tcW w:w="0" w:type="auto"/>
            <w:vAlign w:val="top"/>
          </w:tcPr>
          <w:p w14:paraId="698A15A0" w14:textId="77777777" w:rsidR="00E97263" w:rsidRPr="00624C21" w:rsidRDefault="00E97263" w:rsidP="003704E9">
            <w:pPr>
              <w:spacing w:after="0"/>
              <w:rPr>
                <w:color w:val="auto"/>
              </w:rPr>
            </w:pPr>
            <w:r>
              <w:t>November 18, 2024</w:t>
            </w:r>
          </w:p>
        </w:tc>
        <w:tc>
          <w:tcPr>
            <w:tcW w:w="0" w:type="auto"/>
            <w:vAlign w:val="top"/>
          </w:tcPr>
          <w:p w14:paraId="716C7B68" w14:textId="77777777" w:rsidR="00E97263" w:rsidRPr="00624C21" w:rsidRDefault="00E97263" w:rsidP="003704E9">
            <w:pPr>
              <w:spacing w:after="0"/>
              <w:rPr>
                <w:color w:val="auto"/>
              </w:rPr>
            </w:pPr>
            <w:r w:rsidRPr="007B6CBB">
              <w:t>November 1</w:t>
            </w:r>
            <w:r>
              <w:t>7</w:t>
            </w:r>
            <w:r w:rsidRPr="007B6CBB">
              <w:t>, 202</w:t>
            </w:r>
            <w:r>
              <w:t>8</w:t>
            </w:r>
          </w:p>
        </w:tc>
        <w:tc>
          <w:tcPr>
            <w:tcW w:w="0" w:type="auto"/>
            <w:vAlign w:val="top"/>
          </w:tcPr>
          <w:p w14:paraId="69C72E47" w14:textId="77777777" w:rsidR="00E97263" w:rsidRPr="00624C21" w:rsidRDefault="00E97263" w:rsidP="003704E9">
            <w:pPr>
              <w:spacing w:after="0"/>
              <w:rPr>
                <w:color w:val="auto"/>
              </w:rPr>
            </w:pPr>
            <w:r>
              <w:t>2025-2028 TIP</w:t>
            </w:r>
          </w:p>
        </w:tc>
        <w:tc>
          <w:tcPr>
            <w:tcW w:w="0" w:type="auto"/>
            <w:vAlign w:val="top"/>
          </w:tcPr>
          <w:p w14:paraId="19475068" w14:textId="77777777" w:rsidR="00E97263" w:rsidRPr="00624C21" w:rsidRDefault="00E97263" w:rsidP="003704E9">
            <w:pPr>
              <w:spacing w:after="0"/>
              <w:rPr>
                <w:color w:val="auto"/>
              </w:rPr>
            </w:pPr>
            <w:r>
              <w:t>November 18, 2024</w:t>
            </w:r>
          </w:p>
        </w:tc>
        <w:tc>
          <w:tcPr>
            <w:tcW w:w="0" w:type="auto"/>
            <w:vAlign w:val="top"/>
          </w:tcPr>
          <w:p w14:paraId="5FE46DDC" w14:textId="73AFC689" w:rsidR="00E97263" w:rsidRPr="00624C21" w:rsidRDefault="00E97263" w:rsidP="003704E9">
            <w:pPr>
              <w:spacing w:after="0"/>
              <w:rPr>
                <w:color w:val="auto"/>
              </w:rPr>
            </w:pPr>
            <w:r w:rsidRPr="00BB7862">
              <w:t>Formerly Attainment Maintenance</w:t>
            </w:r>
            <w:r w:rsidR="0012270B">
              <w:rPr>
                <w:rStyle w:val="FootnoteReference"/>
              </w:rPr>
              <w:footnoteReference w:id="6"/>
            </w:r>
          </w:p>
        </w:tc>
      </w:tr>
      <w:tr w:rsidR="005D3D97" w:rsidRPr="00624C21" w14:paraId="2FF15E8F" w14:textId="77777777" w:rsidTr="003704E9">
        <w:trPr>
          <w:cnfStyle w:val="000000010000" w:firstRow="0" w:lastRow="0" w:firstColumn="0" w:lastColumn="0" w:oddVBand="0" w:evenVBand="0" w:oddHBand="0" w:evenHBand="1" w:firstRowFirstColumn="0" w:firstRowLastColumn="0" w:lastRowFirstColumn="0" w:lastRowLastColumn="0"/>
        </w:trPr>
        <w:tc>
          <w:tcPr>
            <w:tcW w:w="0" w:type="auto"/>
            <w:vAlign w:val="top"/>
            <w:hideMark/>
          </w:tcPr>
          <w:p w14:paraId="0DE61BA1" w14:textId="77777777" w:rsidR="00E97263" w:rsidRPr="00624C21" w:rsidRDefault="00E97263" w:rsidP="003704E9">
            <w:pPr>
              <w:spacing w:after="0"/>
              <w:rPr>
                <w:rFonts w:asciiTheme="minorHAnsi" w:hAnsiTheme="minorHAnsi"/>
                <w:color w:val="auto"/>
              </w:rPr>
            </w:pPr>
            <w:r w:rsidRPr="001D087E">
              <w:t>Dallas Fort Worth (DFW)</w:t>
            </w:r>
          </w:p>
        </w:tc>
        <w:tc>
          <w:tcPr>
            <w:tcW w:w="0" w:type="auto"/>
            <w:vAlign w:val="top"/>
            <w:hideMark/>
          </w:tcPr>
          <w:p w14:paraId="4FBEB1A6" w14:textId="77777777" w:rsidR="00E97263" w:rsidRPr="00624C21" w:rsidRDefault="00E97263" w:rsidP="003704E9">
            <w:pPr>
              <w:spacing w:after="0"/>
              <w:rPr>
                <w:rFonts w:asciiTheme="minorHAnsi" w:hAnsiTheme="minorHAnsi"/>
                <w:color w:val="auto"/>
              </w:rPr>
            </w:pPr>
            <w:r>
              <w:t>2008 ozone</w:t>
            </w:r>
          </w:p>
        </w:tc>
        <w:tc>
          <w:tcPr>
            <w:tcW w:w="0" w:type="auto"/>
            <w:vAlign w:val="top"/>
            <w:hideMark/>
          </w:tcPr>
          <w:p w14:paraId="61B2160D"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Collin</w:t>
            </w:r>
          </w:p>
          <w:p w14:paraId="0804EE62"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Dallas</w:t>
            </w:r>
          </w:p>
          <w:p w14:paraId="4039CA2B"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Denton</w:t>
            </w:r>
          </w:p>
          <w:p w14:paraId="040D9FAD"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Tarrant</w:t>
            </w:r>
          </w:p>
          <w:p w14:paraId="19B37156"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Ellis</w:t>
            </w:r>
          </w:p>
          <w:p w14:paraId="140FC0A5"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Johnson</w:t>
            </w:r>
          </w:p>
          <w:p w14:paraId="3B5E2999"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Kaufman</w:t>
            </w:r>
          </w:p>
          <w:p w14:paraId="266E9A24"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Parker</w:t>
            </w:r>
          </w:p>
          <w:p w14:paraId="7C1C1C75" w14:textId="77777777" w:rsidR="00E97263" w:rsidRPr="00EF0034" w:rsidRDefault="00E97263" w:rsidP="003704E9">
            <w:pPr>
              <w:spacing w:after="0"/>
              <w:rPr>
                <w:rFonts w:asciiTheme="minorHAnsi" w:hAnsiTheme="minorHAnsi"/>
                <w:color w:val="auto"/>
              </w:rPr>
            </w:pPr>
            <w:r w:rsidRPr="00EF0034">
              <w:rPr>
                <w:rFonts w:asciiTheme="minorHAnsi" w:hAnsiTheme="minorHAnsi"/>
                <w:color w:val="auto"/>
              </w:rPr>
              <w:t>Rockwall</w:t>
            </w:r>
          </w:p>
          <w:p w14:paraId="5D7CBC59" w14:textId="77777777" w:rsidR="00E97263" w:rsidRPr="00624C21" w:rsidRDefault="00E97263" w:rsidP="003704E9">
            <w:pPr>
              <w:spacing w:after="0"/>
              <w:rPr>
                <w:rFonts w:asciiTheme="minorHAnsi" w:hAnsiTheme="minorHAnsi"/>
                <w:color w:val="auto"/>
              </w:rPr>
            </w:pPr>
            <w:r w:rsidRPr="00EF0034">
              <w:rPr>
                <w:rFonts w:asciiTheme="minorHAnsi" w:hAnsiTheme="minorHAnsi"/>
                <w:color w:val="auto"/>
              </w:rPr>
              <w:t>Wise</w:t>
            </w:r>
          </w:p>
        </w:tc>
        <w:tc>
          <w:tcPr>
            <w:tcW w:w="0" w:type="auto"/>
            <w:vAlign w:val="top"/>
            <w:hideMark/>
          </w:tcPr>
          <w:p w14:paraId="15528850" w14:textId="21FA29EF" w:rsidR="00E97263" w:rsidRPr="00624C21" w:rsidRDefault="00672503" w:rsidP="003704E9">
            <w:pPr>
              <w:spacing w:after="0"/>
              <w:rPr>
                <w:rFonts w:asciiTheme="minorHAnsi" w:hAnsiTheme="minorHAnsi"/>
                <w:color w:val="auto"/>
              </w:rPr>
            </w:pPr>
            <w:r>
              <w:t>North Cent</w:t>
            </w:r>
            <w:r w:rsidR="00AF5B36">
              <w:t>ral Texas Council of Governments (</w:t>
            </w:r>
            <w:r w:rsidR="00E97263">
              <w:t>NCTCOG</w:t>
            </w:r>
            <w:r w:rsidR="00AF5B36">
              <w:t>)</w:t>
            </w:r>
          </w:p>
        </w:tc>
        <w:tc>
          <w:tcPr>
            <w:tcW w:w="0" w:type="auto"/>
            <w:vAlign w:val="top"/>
            <w:hideMark/>
          </w:tcPr>
          <w:p w14:paraId="1A4420B5" w14:textId="77777777" w:rsidR="00E97263" w:rsidRPr="00624C21" w:rsidRDefault="00E97263" w:rsidP="003704E9">
            <w:pPr>
              <w:spacing w:after="0"/>
              <w:rPr>
                <w:rFonts w:asciiTheme="minorHAnsi" w:hAnsiTheme="minorHAnsi"/>
                <w:color w:val="auto"/>
              </w:rPr>
            </w:pPr>
            <w:r>
              <w:t>Mobility 2045-2022 Update</w:t>
            </w:r>
          </w:p>
        </w:tc>
        <w:tc>
          <w:tcPr>
            <w:tcW w:w="0" w:type="auto"/>
            <w:vAlign w:val="top"/>
          </w:tcPr>
          <w:p w14:paraId="42A789B5" w14:textId="77777777" w:rsidR="00E97263" w:rsidRPr="00624C21" w:rsidRDefault="00E97263" w:rsidP="003704E9">
            <w:pPr>
              <w:spacing w:after="0"/>
              <w:rPr>
                <w:color w:val="auto"/>
              </w:rPr>
            </w:pPr>
            <w:r>
              <w:t>November 21, 2024</w:t>
            </w:r>
          </w:p>
        </w:tc>
        <w:tc>
          <w:tcPr>
            <w:tcW w:w="0" w:type="auto"/>
            <w:vAlign w:val="top"/>
          </w:tcPr>
          <w:p w14:paraId="305AC94F" w14:textId="77777777" w:rsidR="00E97263" w:rsidRPr="00624C21" w:rsidRDefault="00E97263" w:rsidP="003704E9">
            <w:pPr>
              <w:spacing w:after="0"/>
              <w:rPr>
                <w:color w:val="auto"/>
              </w:rPr>
            </w:pPr>
            <w:r w:rsidRPr="0049448D">
              <w:t>December 15, 2026</w:t>
            </w:r>
          </w:p>
        </w:tc>
        <w:tc>
          <w:tcPr>
            <w:tcW w:w="0" w:type="auto"/>
            <w:vAlign w:val="top"/>
          </w:tcPr>
          <w:p w14:paraId="25E9AC66" w14:textId="77777777" w:rsidR="00E97263" w:rsidRPr="00624C21" w:rsidRDefault="00E97263" w:rsidP="003704E9">
            <w:pPr>
              <w:spacing w:after="0"/>
              <w:rPr>
                <w:color w:val="auto"/>
              </w:rPr>
            </w:pPr>
            <w:r>
              <w:t>2025-2028 TIP</w:t>
            </w:r>
          </w:p>
        </w:tc>
        <w:tc>
          <w:tcPr>
            <w:tcW w:w="0" w:type="auto"/>
            <w:vAlign w:val="top"/>
          </w:tcPr>
          <w:p w14:paraId="10879096" w14:textId="77777777" w:rsidR="00E97263" w:rsidRPr="00624C21" w:rsidRDefault="00E97263" w:rsidP="003704E9">
            <w:pPr>
              <w:spacing w:after="0"/>
              <w:rPr>
                <w:color w:val="auto"/>
              </w:rPr>
            </w:pPr>
            <w:r>
              <w:t>October 18, 2024</w:t>
            </w:r>
          </w:p>
        </w:tc>
        <w:tc>
          <w:tcPr>
            <w:tcW w:w="0" w:type="auto"/>
            <w:vAlign w:val="top"/>
          </w:tcPr>
          <w:p w14:paraId="3BC28191" w14:textId="77777777" w:rsidR="00E97263" w:rsidRPr="00624C21" w:rsidRDefault="00E97263" w:rsidP="003704E9">
            <w:pPr>
              <w:spacing w:after="0"/>
              <w:rPr>
                <w:color w:val="auto"/>
              </w:rPr>
            </w:pPr>
            <w:r>
              <w:rPr>
                <w:color w:val="auto"/>
              </w:rPr>
              <w:t>Severe Nonattainment</w:t>
            </w:r>
          </w:p>
        </w:tc>
      </w:tr>
      <w:tr w:rsidR="005D3D97" w:rsidRPr="00624C21" w14:paraId="429BE6F4" w14:textId="77777777" w:rsidTr="003704E9">
        <w:trPr>
          <w:cnfStyle w:val="000000100000" w:firstRow="0" w:lastRow="0" w:firstColumn="0" w:lastColumn="0" w:oddVBand="0" w:evenVBand="0" w:oddHBand="1" w:evenHBand="0" w:firstRowFirstColumn="0" w:firstRowLastColumn="0" w:lastRowFirstColumn="0" w:lastRowLastColumn="0"/>
        </w:trPr>
        <w:tc>
          <w:tcPr>
            <w:tcW w:w="0" w:type="auto"/>
            <w:vAlign w:val="top"/>
            <w:hideMark/>
          </w:tcPr>
          <w:p w14:paraId="59C56758" w14:textId="77777777" w:rsidR="00E97263" w:rsidRPr="00624C21" w:rsidRDefault="00E97263" w:rsidP="003704E9">
            <w:pPr>
              <w:spacing w:after="0"/>
              <w:rPr>
                <w:rFonts w:asciiTheme="minorHAnsi" w:hAnsiTheme="minorHAnsi"/>
                <w:color w:val="auto"/>
              </w:rPr>
            </w:pPr>
            <w:r w:rsidRPr="001D087E">
              <w:t>Dallas Fort Worth (DFW)</w:t>
            </w:r>
          </w:p>
        </w:tc>
        <w:tc>
          <w:tcPr>
            <w:tcW w:w="0" w:type="auto"/>
            <w:vAlign w:val="top"/>
            <w:hideMark/>
          </w:tcPr>
          <w:p w14:paraId="051A7B2E" w14:textId="77777777" w:rsidR="00E97263" w:rsidRPr="00624C21" w:rsidRDefault="00E97263" w:rsidP="003704E9">
            <w:pPr>
              <w:spacing w:after="0"/>
              <w:rPr>
                <w:rFonts w:asciiTheme="minorHAnsi" w:hAnsiTheme="minorHAnsi"/>
                <w:color w:val="auto"/>
              </w:rPr>
            </w:pPr>
            <w:r>
              <w:t>2015 ozone</w:t>
            </w:r>
          </w:p>
        </w:tc>
        <w:tc>
          <w:tcPr>
            <w:tcW w:w="0" w:type="auto"/>
            <w:vAlign w:val="top"/>
            <w:hideMark/>
          </w:tcPr>
          <w:p w14:paraId="63F44FE0" w14:textId="77777777" w:rsidR="00E97263" w:rsidRPr="00C57910" w:rsidRDefault="00E97263" w:rsidP="003704E9">
            <w:pPr>
              <w:pStyle w:val="TableText"/>
              <w:rPr>
                <w:sz w:val="24"/>
                <w:szCs w:val="24"/>
              </w:rPr>
            </w:pPr>
            <w:r w:rsidRPr="00C57910">
              <w:rPr>
                <w:sz w:val="24"/>
                <w:szCs w:val="24"/>
              </w:rPr>
              <w:t>Collin</w:t>
            </w:r>
          </w:p>
          <w:p w14:paraId="2EA93F1C" w14:textId="77777777" w:rsidR="00E97263" w:rsidRPr="00C57910" w:rsidRDefault="00E97263" w:rsidP="003704E9">
            <w:pPr>
              <w:pStyle w:val="TableText"/>
              <w:rPr>
                <w:sz w:val="24"/>
                <w:szCs w:val="24"/>
              </w:rPr>
            </w:pPr>
            <w:r w:rsidRPr="00C57910">
              <w:rPr>
                <w:sz w:val="24"/>
                <w:szCs w:val="24"/>
              </w:rPr>
              <w:t>Dallas</w:t>
            </w:r>
          </w:p>
          <w:p w14:paraId="2DE6DCE1" w14:textId="77777777" w:rsidR="00E97263" w:rsidRPr="00C57910" w:rsidRDefault="00E97263" w:rsidP="003704E9">
            <w:pPr>
              <w:pStyle w:val="TableText"/>
              <w:rPr>
                <w:sz w:val="24"/>
                <w:szCs w:val="24"/>
              </w:rPr>
            </w:pPr>
            <w:r w:rsidRPr="00C57910">
              <w:rPr>
                <w:sz w:val="24"/>
                <w:szCs w:val="24"/>
              </w:rPr>
              <w:t>Denton</w:t>
            </w:r>
          </w:p>
          <w:p w14:paraId="0CB47710" w14:textId="77777777" w:rsidR="00E97263" w:rsidRPr="00C57910" w:rsidRDefault="00E97263" w:rsidP="003704E9">
            <w:pPr>
              <w:pStyle w:val="TableText"/>
              <w:rPr>
                <w:sz w:val="24"/>
                <w:szCs w:val="24"/>
              </w:rPr>
            </w:pPr>
            <w:r w:rsidRPr="00C57910">
              <w:rPr>
                <w:sz w:val="24"/>
                <w:szCs w:val="24"/>
              </w:rPr>
              <w:t>Tarrant</w:t>
            </w:r>
          </w:p>
          <w:p w14:paraId="024853B1" w14:textId="77777777" w:rsidR="00E97263" w:rsidRPr="00C57910" w:rsidRDefault="00E97263" w:rsidP="003704E9">
            <w:pPr>
              <w:pStyle w:val="TableText"/>
              <w:rPr>
                <w:sz w:val="24"/>
                <w:szCs w:val="24"/>
              </w:rPr>
            </w:pPr>
            <w:r w:rsidRPr="00C57910">
              <w:rPr>
                <w:sz w:val="24"/>
                <w:szCs w:val="24"/>
              </w:rPr>
              <w:t>Ellis</w:t>
            </w:r>
          </w:p>
          <w:p w14:paraId="2BBF6D97" w14:textId="77777777" w:rsidR="00E97263" w:rsidRPr="00C57910" w:rsidRDefault="00E97263" w:rsidP="003704E9">
            <w:pPr>
              <w:pStyle w:val="TableText"/>
              <w:rPr>
                <w:sz w:val="24"/>
                <w:szCs w:val="24"/>
              </w:rPr>
            </w:pPr>
            <w:r w:rsidRPr="00C57910">
              <w:rPr>
                <w:sz w:val="24"/>
                <w:szCs w:val="24"/>
              </w:rPr>
              <w:t>Johnson</w:t>
            </w:r>
          </w:p>
          <w:p w14:paraId="69DC0DDA" w14:textId="77777777" w:rsidR="00E97263" w:rsidRPr="00C57910" w:rsidRDefault="00E97263" w:rsidP="003704E9">
            <w:pPr>
              <w:pStyle w:val="TableText"/>
              <w:rPr>
                <w:sz w:val="24"/>
                <w:szCs w:val="24"/>
              </w:rPr>
            </w:pPr>
            <w:r w:rsidRPr="00C57910">
              <w:rPr>
                <w:sz w:val="24"/>
                <w:szCs w:val="24"/>
              </w:rPr>
              <w:t>Kaufman</w:t>
            </w:r>
          </w:p>
          <w:p w14:paraId="3A0C466D" w14:textId="77777777" w:rsidR="00E97263" w:rsidRPr="00C57910" w:rsidRDefault="00E97263" w:rsidP="003704E9">
            <w:pPr>
              <w:pStyle w:val="TableText"/>
              <w:rPr>
                <w:sz w:val="24"/>
                <w:szCs w:val="24"/>
              </w:rPr>
            </w:pPr>
            <w:r w:rsidRPr="00C57910">
              <w:rPr>
                <w:sz w:val="24"/>
                <w:szCs w:val="24"/>
              </w:rPr>
              <w:lastRenderedPageBreak/>
              <w:t>Parker</w:t>
            </w:r>
          </w:p>
          <w:p w14:paraId="27C33AB2" w14:textId="2B73D54A" w:rsidR="00E97263" w:rsidRPr="007C58B2" w:rsidRDefault="00E97263" w:rsidP="007C58B2">
            <w:pPr>
              <w:pStyle w:val="TableText"/>
              <w:rPr>
                <w:sz w:val="24"/>
                <w:szCs w:val="24"/>
              </w:rPr>
            </w:pPr>
            <w:r w:rsidRPr="00C57910">
              <w:rPr>
                <w:sz w:val="24"/>
                <w:szCs w:val="24"/>
              </w:rPr>
              <w:t>Wise</w:t>
            </w:r>
          </w:p>
        </w:tc>
        <w:tc>
          <w:tcPr>
            <w:tcW w:w="0" w:type="auto"/>
            <w:vAlign w:val="top"/>
            <w:hideMark/>
          </w:tcPr>
          <w:p w14:paraId="07AF907D" w14:textId="77777777" w:rsidR="00E97263" w:rsidRPr="00624C21" w:rsidRDefault="00E97263" w:rsidP="003704E9">
            <w:pPr>
              <w:spacing w:after="0"/>
              <w:rPr>
                <w:rFonts w:asciiTheme="minorHAnsi" w:hAnsiTheme="minorHAnsi"/>
                <w:color w:val="auto"/>
              </w:rPr>
            </w:pPr>
            <w:r w:rsidRPr="00340249">
              <w:lastRenderedPageBreak/>
              <w:t>NCTCOG</w:t>
            </w:r>
          </w:p>
        </w:tc>
        <w:tc>
          <w:tcPr>
            <w:tcW w:w="0" w:type="auto"/>
            <w:vAlign w:val="top"/>
            <w:hideMark/>
          </w:tcPr>
          <w:p w14:paraId="7546CC5F" w14:textId="77777777" w:rsidR="00E97263" w:rsidRPr="00624C21" w:rsidRDefault="00E97263" w:rsidP="003704E9">
            <w:pPr>
              <w:spacing w:after="0"/>
              <w:rPr>
                <w:rFonts w:asciiTheme="minorHAnsi" w:hAnsiTheme="minorHAnsi"/>
                <w:color w:val="auto"/>
              </w:rPr>
            </w:pPr>
            <w:r w:rsidRPr="00340249">
              <w:t>Mobility 2045-2022 Update</w:t>
            </w:r>
          </w:p>
        </w:tc>
        <w:tc>
          <w:tcPr>
            <w:tcW w:w="0" w:type="auto"/>
            <w:vAlign w:val="top"/>
          </w:tcPr>
          <w:p w14:paraId="381B44DC" w14:textId="77777777" w:rsidR="00E97263" w:rsidRPr="00624C21" w:rsidRDefault="00E97263" w:rsidP="003704E9">
            <w:pPr>
              <w:spacing w:after="0"/>
              <w:rPr>
                <w:color w:val="auto"/>
              </w:rPr>
            </w:pPr>
            <w:r w:rsidRPr="00340249">
              <w:t>November 21, 2024</w:t>
            </w:r>
          </w:p>
        </w:tc>
        <w:tc>
          <w:tcPr>
            <w:tcW w:w="0" w:type="auto"/>
            <w:vAlign w:val="top"/>
          </w:tcPr>
          <w:p w14:paraId="092D7894" w14:textId="77777777" w:rsidR="00E97263" w:rsidRPr="00624C21" w:rsidRDefault="00E97263" w:rsidP="003704E9">
            <w:pPr>
              <w:spacing w:after="0"/>
              <w:rPr>
                <w:color w:val="auto"/>
              </w:rPr>
            </w:pPr>
            <w:r w:rsidRPr="00340249">
              <w:t>December 15, 2026</w:t>
            </w:r>
          </w:p>
        </w:tc>
        <w:tc>
          <w:tcPr>
            <w:tcW w:w="0" w:type="auto"/>
            <w:vAlign w:val="top"/>
          </w:tcPr>
          <w:p w14:paraId="30777246" w14:textId="77777777" w:rsidR="00E97263" w:rsidRPr="00624C21" w:rsidRDefault="00E97263" w:rsidP="003704E9">
            <w:pPr>
              <w:spacing w:after="0"/>
              <w:rPr>
                <w:color w:val="auto"/>
              </w:rPr>
            </w:pPr>
            <w:r w:rsidRPr="00340249">
              <w:t>2025-2028 TIP</w:t>
            </w:r>
          </w:p>
        </w:tc>
        <w:tc>
          <w:tcPr>
            <w:tcW w:w="0" w:type="auto"/>
            <w:vAlign w:val="top"/>
          </w:tcPr>
          <w:p w14:paraId="7167BD38" w14:textId="77777777" w:rsidR="00E97263" w:rsidRPr="00624C21" w:rsidRDefault="00E97263" w:rsidP="003704E9">
            <w:pPr>
              <w:spacing w:after="0"/>
              <w:rPr>
                <w:color w:val="auto"/>
              </w:rPr>
            </w:pPr>
            <w:r w:rsidRPr="00340249">
              <w:t>October 18, 2024</w:t>
            </w:r>
          </w:p>
        </w:tc>
        <w:tc>
          <w:tcPr>
            <w:tcW w:w="0" w:type="auto"/>
            <w:vAlign w:val="top"/>
          </w:tcPr>
          <w:p w14:paraId="33D30CB9" w14:textId="77777777" w:rsidR="00E97263" w:rsidRPr="00624C21" w:rsidRDefault="00E97263" w:rsidP="003704E9">
            <w:pPr>
              <w:spacing w:after="0"/>
              <w:rPr>
                <w:color w:val="auto"/>
              </w:rPr>
            </w:pPr>
            <w:r>
              <w:t>Serious Nonattainment</w:t>
            </w:r>
          </w:p>
        </w:tc>
      </w:tr>
      <w:tr w:rsidR="005D3D97" w:rsidRPr="00624C21" w14:paraId="2C1435E5" w14:textId="77777777" w:rsidTr="003704E9">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71F7FEFF" w14:textId="77777777" w:rsidR="00E97263" w:rsidRPr="001D087E" w:rsidRDefault="00E97263" w:rsidP="003704E9">
            <w:pPr>
              <w:spacing w:after="0"/>
            </w:pPr>
            <w:r>
              <w:t>El Paso (ELP)</w:t>
            </w:r>
          </w:p>
        </w:tc>
        <w:tc>
          <w:tcPr>
            <w:tcW w:w="0" w:type="auto"/>
            <w:vAlign w:val="top"/>
          </w:tcPr>
          <w:p w14:paraId="51FE6D1A" w14:textId="2EE11B18" w:rsidR="00E97263" w:rsidRDefault="005D3D97" w:rsidP="003704E9">
            <w:pPr>
              <w:spacing w:after="0"/>
            </w:pPr>
            <w:r>
              <w:t>Particulate Matter</w:t>
            </w:r>
            <w:r w:rsidR="00432C23">
              <w:t xml:space="preserve"> with </w:t>
            </w:r>
            <w:r w:rsidR="0001630B">
              <w:t xml:space="preserve">a diameter of </w:t>
            </w:r>
            <w:r>
              <w:t>10</w:t>
            </w:r>
            <w:r w:rsidR="0001630B">
              <w:t xml:space="preserve"> microns or less</w:t>
            </w:r>
            <w:r>
              <w:t xml:space="preserve"> (</w:t>
            </w:r>
            <w:r w:rsidR="00E97263" w:rsidRPr="001118E9">
              <w:t>PM</w:t>
            </w:r>
            <w:r w:rsidR="00827CE8">
              <w:rPr>
                <w:vertAlign w:val="subscript"/>
              </w:rPr>
              <w:t>10</w:t>
            </w:r>
            <w:r w:rsidRPr="00174248">
              <w:t>)</w:t>
            </w:r>
          </w:p>
        </w:tc>
        <w:tc>
          <w:tcPr>
            <w:tcW w:w="0" w:type="auto"/>
            <w:vAlign w:val="top"/>
          </w:tcPr>
          <w:p w14:paraId="28AC7103" w14:textId="77777777" w:rsidR="00E97263" w:rsidRPr="00C57910" w:rsidRDefault="00E97263" w:rsidP="003704E9">
            <w:pPr>
              <w:pStyle w:val="TableText"/>
              <w:rPr>
                <w:sz w:val="24"/>
                <w:szCs w:val="24"/>
              </w:rPr>
            </w:pPr>
            <w:r w:rsidRPr="009A7CBB">
              <w:rPr>
                <w:sz w:val="24"/>
                <w:szCs w:val="24"/>
              </w:rPr>
              <w:t>Portion of El Paso County</w:t>
            </w:r>
          </w:p>
        </w:tc>
        <w:tc>
          <w:tcPr>
            <w:tcW w:w="0" w:type="auto"/>
            <w:vAlign w:val="top"/>
          </w:tcPr>
          <w:p w14:paraId="7A784F83" w14:textId="77777777" w:rsidR="00E97263" w:rsidRPr="00340249" w:rsidRDefault="00E97263" w:rsidP="003704E9">
            <w:pPr>
              <w:spacing w:after="0"/>
            </w:pPr>
            <w:r w:rsidRPr="00D21E28">
              <w:t>El Paso MPO</w:t>
            </w:r>
          </w:p>
        </w:tc>
        <w:tc>
          <w:tcPr>
            <w:tcW w:w="0" w:type="auto"/>
            <w:vAlign w:val="top"/>
          </w:tcPr>
          <w:p w14:paraId="748F431B" w14:textId="4CA993A4" w:rsidR="00E97263" w:rsidRPr="00340249" w:rsidRDefault="00494DDD" w:rsidP="003704E9">
            <w:pPr>
              <w:spacing w:after="0"/>
            </w:pPr>
            <w:r>
              <w:t>Regional Mobility Strategy (</w:t>
            </w:r>
            <w:r w:rsidR="00E97263" w:rsidRPr="00D21E28">
              <w:t>RMS</w:t>
            </w:r>
            <w:r>
              <w:t>)</w:t>
            </w:r>
            <w:r w:rsidR="00E97263" w:rsidRPr="00D21E28">
              <w:t xml:space="preserve"> 2050 MTP</w:t>
            </w:r>
          </w:p>
        </w:tc>
        <w:tc>
          <w:tcPr>
            <w:tcW w:w="0" w:type="auto"/>
            <w:vAlign w:val="top"/>
          </w:tcPr>
          <w:p w14:paraId="370E6004" w14:textId="77777777" w:rsidR="00E97263" w:rsidRPr="00340249" w:rsidRDefault="00E97263" w:rsidP="003704E9">
            <w:pPr>
              <w:spacing w:after="0"/>
            </w:pPr>
            <w:r w:rsidRPr="00D21E28">
              <w:t>April 17, 2025</w:t>
            </w:r>
          </w:p>
        </w:tc>
        <w:tc>
          <w:tcPr>
            <w:tcW w:w="0" w:type="auto"/>
            <w:vAlign w:val="top"/>
          </w:tcPr>
          <w:p w14:paraId="3D864103" w14:textId="77777777" w:rsidR="00E97263" w:rsidRPr="00340249" w:rsidRDefault="00E97263" w:rsidP="003704E9">
            <w:pPr>
              <w:spacing w:after="0"/>
            </w:pPr>
            <w:r w:rsidRPr="00D21E28">
              <w:t>November 4, 2026</w:t>
            </w:r>
          </w:p>
        </w:tc>
        <w:tc>
          <w:tcPr>
            <w:tcW w:w="0" w:type="auto"/>
            <w:vAlign w:val="top"/>
          </w:tcPr>
          <w:p w14:paraId="6278D579" w14:textId="77777777" w:rsidR="00E97263" w:rsidRPr="00340249" w:rsidRDefault="00E97263" w:rsidP="003704E9">
            <w:pPr>
              <w:spacing w:after="0"/>
            </w:pPr>
            <w:r w:rsidRPr="00D21E28">
              <w:t>2025-2028 TIP</w:t>
            </w:r>
          </w:p>
        </w:tc>
        <w:tc>
          <w:tcPr>
            <w:tcW w:w="0" w:type="auto"/>
            <w:vAlign w:val="top"/>
          </w:tcPr>
          <w:p w14:paraId="50A26470" w14:textId="77777777" w:rsidR="00E97263" w:rsidRPr="00340249" w:rsidRDefault="00E97263" w:rsidP="003704E9">
            <w:pPr>
              <w:spacing w:after="0"/>
            </w:pPr>
            <w:r w:rsidRPr="00D21E28">
              <w:t>April 17, 2025</w:t>
            </w:r>
          </w:p>
        </w:tc>
        <w:tc>
          <w:tcPr>
            <w:tcW w:w="0" w:type="auto"/>
            <w:vAlign w:val="top"/>
          </w:tcPr>
          <w:p w14:paraId="00F40298" w14:textId="77777777" w:rsidR="00E97263" w:rsidRPr="00340249" w:rsidRDefault="00E97263" w:rsidP="003704E9">
            <w:pPr>
              <w:spacing w:after="0"/>
            </w:pPr>
            <w:r>
              <w:t>Moderate Nonattainment</w:t>
            </w:r>
          </w:p>
        </w:tc>
      </w:tr>
      <w:tr w:rsidR="005D3D97" w:rsidRPr="00624C21" w14:paraId="718BD75C" w14:textId="77777777" w:rsidTr="003704E9">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1E646045" w14:textId="77777777" w:rsidR="00E97263" w:rsidRDefault="00E97263" w:rsidP="003704E9">
            <w:pPr>
              <w:spacing w:after="0"/>
            </w:pPr>
            <w:r>
              <w:t>El Paso (ELP)</w:t>
            </w:r>
          </w:p>
        </w:tc>
        <w:tc>
          <w:tcPr>
            <w:tcW w:w="0" w:type="auto"/>
            <w:vAlign w:val="top"/>
          </w:tcPr>
          <w:p w14:paraId="0BCE0063" w14:textId="797C2B43" w:rsidR="00E97263" w:rsidRPr="001118E9" w:rsidRDefault="00665824" w:rsidP="003704E9">
            <w:pPr>
              <w:spacing w:after="0"/>
            </w:pPr>
            <w:r>
              <w:t>Carbon Monoxide (</w:t>
            </w:r>
            <w:r w:rsidR="00E97263">
              <w:t>CO</w:t>
            </w:r>
            <w:r>
              <w:t>)</w:t>
            </w:r>
          </w:p>
        </w:tc>
        <w:tc>
          <w:tcPr>
            <w:tcW w:w="0" w:type="auto"/>
            <w:vAlign w:val="top"/>
          </w:tcPr>
          <w:p w14:paraId="78F19277" w14:textId="77777777" w:rsidR="00E97263" w:rsidRPr="009A7CBB" w:rsidRDefault="00E97263" w:rsidP="003704E9">
            <w:pPr>
              <w:pStyle w:val="TableText"/>
              <w:rPr>
                <w:sz w:val="24"/>
                <w:szCs w:val="24"/>
              </w:rPr>
            </w:pPr>
            <w:r w:rsidRPr="009A7CBB">
              <w:rPr>
                <w:sz w:val="24"/>
                <w:szCs w:val="24"/>
              </w:rPr>
              <w:t>Portion of El Paso County</w:t>
            </w:r>
          </w:p>
        </w:tc>
        <w:tc>
          <w:tcPr>
            <w:tcW w:w="0" w:type="auto"/>
            <w:vAlign w:val="top"/>
          </w:tcPr>
          <w:p w14:paraId="668CE623" w14:textId="77777777" w:rsidR="00E97263" w:rsidRPr="00D21E28" w:rsidRDefault="00E97263" w:rsidP="003704E9">
            <w:pPr>
              <w:spacing w:after="0"/>
            </w:pPr>
            <w:r w:rsidRPr="00B54C58">
              <w:t>El Paso MPO</w:t>
            </w:r>
          </w:p>
        </w:tc>
        <w:tc>
          <w:tcPr>
            <w:tcW w:w="0" w:type="auto"/>
            <w:vAlign w:val="top"/>
          </w:tcPr>
          <w:p w14:paraId="4665BB89" w14:textId="77777777" w:rsidR="00E97263" w:rsidRPr="00D21E28" w:rsidRDefault="00E97263" w:rsidP="003704E9">
            <w:pPr>
              <w:spacing w:after="0"/>
            </w:pPr>
            <w:r w:rsidRPr="00B54C58">
              <w:t>RMS 2050 MTP</w:t>
            </w:r>
          </w:p>
        </w:tc>
        <w:tc>
          <w:tcPr>
            <w:tcW w:w="0" w:type="auto"/>
            <w:vAlign w:val="top"/>
          </w:tcPr>
          <w:p w14:paraId="47D8430C" w14:textId="77777777" w:rsidR="00E97263" w:rsidRPr="00D21E28" w:rsidRDefault="00E97263" w:rsidP="003704E9">
            <w:pPr>
              <w:spacing w:after="0"/>
            </w:pPr>
            <w:r w:rsidRPr="00B54C58">
              <w:t>April 17, 2025</w:t>
            </w:r>
          </w:p>
        </w:tc>
        <w:tc>
          <w:tcPr>
            <w:tcW w:w="0" w:type="auto"/>
            <w:vAlign w:val="top"/>
          </w:tcPr>
          <w:p w14:paraId="4E90F9C0" w14:textId="77777777" w:rsidR="00E97263" w:rsidRPr="00D21E28" w:rsidRDefault="00E97263" w:rsidP="003704E9">
            <w:pPr>
              <w:spacing w:after="0"/>
            </w:pPr>
            <w:r w:rsidRPr="00B54C58">
              <w:t>November 4, 2026</w:t>
            </w:r>
          </w:p>
        </w:tc>
        <w:tc>
          <w:tcPr>
            <w:tcW w:w="0" w:type="auto"/>
            <w:vAlign w:val="top"/>
          </w:tcPr>
          <w:p w14:paraId="2ACA2526" w14:textId="77777777" w:rsidR="00E97263" w:rsidRPr="00D21E28" w:rsidRDefault="00E97263" w:rsidP="003704E9">
            <w:pPr>
              <w:spacing w:after="0"/>
            </w:pPr>
            <w:r w:rsidRPr="00B54C58">
              <w:t>2025-2028 TIP</w:t>
            </w:r>
          </w:p>
        </w:tc>
        <w:tc>
          <w:tcPr>
            <w:tcW w:w="0" w:type="auto"/>
            <w:vAlign w:val="top"/>
          </w:tcPr>
          <w:p w14:paraId="27FFF9F3" w14:textId="77777777" w:rsidR="00E97263" w:rsidRPr="00D21E28" w:rsidRDefault="00E97263" w:rsidP="003704E9">
            <w:pPr>
              <w:spacing w:after="0"/>
            </w:pPr>
            <w:r w:rsidRPr="00B54C58">
              <w:t>April 17, 2025</w:t>
            </w:r>
          </w:p>
        </w:tc>
        <w:tc>
          <w:tcPr>
            <w:tcW w:w="0" w:type="auto"/>
            <w:vAlign w:val="top"/>
          </w:tcPr>
          <w:p w14:paraId="22249C45" w14:textId="77777777" w:rsidR="00E97263" w:rsidRDefault="00E97263" w:rsidP="003704E9">
            <w:pPr>
              <w:spacing w:after="0"/>
            </w:pPr>
            <w:r>
              <w:t>Attainment Maintenance</w:t>
            </w:r>
          </w:p>
        </w:tc>
      </w:tr>
      <w:tr w:rsidR="005D3D97" w:rsidRPr="00624C21" w14:paraId="442517CF" w14:textId="77777777" w:rsidTr="003704E9">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1CD1CB87" w14:textId="77777777" w:rsidR="00E97263" w:rsidRDefault="00E97263" w:rsidP="003704E9">
            <w:pPr>
              <w:spacing w:after="0"/>
            </w:pPr>
            <w:r>
              <w:t>El Paso (ELP)</w:t>
            </w:r>
          </w:p>
        </w:tc>
        <w:tc>
          <w:tcPr>
            <w:tcW w:w="0" w:type="auto"/>
            <w:vAlign w:val="top"/>
          </w:tcPr>
          <w:p w14:paraId="3779AB1F" w14:textId="64C0AE70" w:rsidR="00E97263" w:rsidRPr="001118E9" w:rsidRDefault="00E97263" w:rsidP="003704E9">
            <w:pPr>
              <w:spacing w:after="0"/>
            </w:pPr>
            <w:r w:rsidRPr="008D6F18">
              <w:t>2015 ozone</w:t>
            </w:r>
            <w:r w:rsidR="00FD119F">
              <w:rPr>
                <w:rStyle w:val="FootnoteReference"/>
              </w:rPr>
              <w:footnoteReference w:id="7"/>
            </w:r>
            <w:r w:rsidR="009D7C32">
              <w:t>,</w:t>
            </w:r>
            <w:r w:rsidR="00AA056C">
              <w:rPr>
                <w:rStyle w:val="FootnoteReference"/>
              </w:rPr>
              <w:footnoteReference w:id="8"/>
            </w:r>
            <w:r w:rsidRPr="008D6F18">
              <w:t xml:space="preserve"> </w:t>
            </w:r>
          </w:p>
        </w:tc>
        <w:tc>
          <w:tcPr>
            <w:tcW w:w="0" w:type="auto"/>
            <w:vAlign w:val="top"/>
          </w:tcPr>
          <w:p w14:paraId="51A69D20" w14:textId="77777777" w:rsidR="00E97263" w:rsidRPr="009A7CBB" w:rsidRDefault="00E97263" w:rsidP="003704E9">
            <w:pPr>
              <w:pStyle w:val="TableText"/>
              <w:rPr>
                <w:sz w:val="24"/>
                <w:szCs w:val="24"/>
              </w:rPr>
            </w:pPr>
            <w:r>
              <w:rPr>
                <w:sz w:val="24"/>
                <w:szCs w:val="24"/>
              </w:rPr>
              <w:t xml:space="preserve">Portion of Dona Ana County </w:t>
            </w:r>
          </w:p>
        </w:tc>
        <w:tc>
          <w:tcPr>
            <w:tcW w:w="0" w:type="auto"/>
            <w:vAlign w:val="top"/>
          </w:tcPr>
          <w:p w14:paraId="7FE6BECB" w14:textId="77777777" w:rsidR="00E97263" w:rsidRPr="00D21E28" w:rsidRDefault="00E97263" w:rsidP="003704E9">
            <w:pPr>
              <w:spacing w:after="0"/>
            </w:pPr>
            <w:r w:rsidRPr="00B54C58">
              <w:t>El Paso MPO</w:t>
            </w:r>
          </w:p>
        </w:tc>
        <w:tc>
          <w:tcPr>
            <w:tcW w:w="0" w:type="auto"/>
            <w:vAlign w:val="top"/>
          </w:tcPr>
          <w:p w14:paraId="523280B5" w14:textId="77777777" w:rsidR="00E97263" w:rsidRPr="00D21E28" w:rsidRDefault="00E97263" w:rsidP="003704E9">
            <w:pPr>
              <w:spacing w:after="0"/>
            </w:pPr>
            <w:r w:rsidRPr="00B54C58">
              <w:t>RMS 2050 MTP</w:t>
            </w:r>
          </w:p>
        </w:tc>
        <w:tc>
          <w:tcPr>
            <w:tcW w:w="0" w:type="auto"/>
            <w:vAlign w:val="top"/>
          </w:tcPr>
          <w:p w14:paraId="76808F78" w14:textId="77777777" w:rsidR="00E97263" w:rsidRPr="00D21E28" w:rsidRDefault="00E97263" w:rsidP="003704E9">
            <w:pPr>
              <w:spacing w:after="0"/>
            </w:pPr>
            <w:r w:rsidRPr="00B54C58">
              <w:t>April 17, 2025</w:t>
            </w:r>
          </w:p>
        </w:tc>
        <w:tc>
          <w:tcPr>
            <w:tcW w:w="0" w:type="auto"/>
            <w:vAlign w:val="top"/>
          </w:tcPr>
          <w:p w14:paraId="3D0CE821" w14:textId="77777777" w:rsidR="00E97263" w:rsidRPr="00D21E28" w:rsidRDefault="00E97263" w:rsidP="003704E9">
            <w:pPr>
              <w:spacing w:after="0"/>
            </w:pPr>
            <w:r w:rsidRPr="00B54C58">
              <w:t>November 4, 2026</w:t>
            </w:r>
          </w:p>
        </w:tc>
        <w:tc>
          <w:tcPr>
            <w:tcW w:w="0" w:type="auto"/>
            <w:vAlign w:val="top"/>
          </w:tcPr>
          <w:p w14:paraId="33320571" w14:textId="77777777" w:rsidR="00E97263" w:rsidRPr="00D21E28" w:rsidRDefault="00E97263" w:rsidP="003704E9">
            <w:pPr>
              <w:spacing w:after="0"/>
            </w:pPr>
            <w:r w:rsidRPr="00B54C58">
              <w:t>2025-2028 TIP</w:t>
            </w:r>
          </w:p>
        </w:tc>
        <w:tc>
          <w:tcPr>
            <w:tcW w:w="0" w:type="auto"/>
            <w:vAlign w:val="top"/>
          </w:tcPr>
          <w:p w14:paraId="21079685" w14:textId="77777777" w:rsidR="00E97263" w:rsidRPr="00D21E28" w:rsidRDefault="00E97263" w:rsidP="003704E9">
            <w:pPr>
              <w:spacing w:after="0"/>
            </w:pPr>
            <w:r w:rsidRPr="00B54C58">
              <w:t>April 17, 2025</w:t>
            </w:r>
          </w:p>
        </w:tc>
        <w:tc>
          <w:tcPr>
            <w:tcW w:w="0" w:type="auto"/>
            <w:vAlign w:val="top"/>
          </w:tcPr>
          <w:p w14:paraId="3B263752" w14:textId="77777777" w:rsidR="00E97263" w:rsidRDefault="00E97263" w:rsidP="003704E9">
            <w:pPr>
              <w:spacing w:after="0"/>
            </w:pPr>
            <w:r>
              <w:t>Marginal Nonattainment</w:t>
            </w:r>
          </w:p>
        </w:tc>
      </w:tr>
      <w:tr w:rsidR="005D3D97" w:rsidRPr="00624C21" w14:paraId="3AAFCBF4" w14:textId="77777777" w:rsidTr="003704E9">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5E0F43ED" w14:textId="77777777" w:rsidR="00E97263" w:rsidRDefault="00E97263" w:rsidP="003704E9">
            <w:pPr>
              <w:spacing w:after="0"/>
            </w:pPr>
            <w:r w:rsidRPr="00C41BA9">
              <w:t>San Antonio, Texas (SAT)</w:t>
            </w:r>
          </w:p>
        </w:tc>
        <w:tc>
          <w:tcPr>
            <w:tcW w:w="0" w:type="auto"/>
            <w:vAlign w:val="top"/>
          </w:tcPr>
          <w:p w14:paraId="0AADD23D" w14:textId="664C7B04" w:rsidR="00E97263" w:rsidRPr="008D6F18" w:rsidRDefault="00E97263" w:rsidP="003704E9">
            <w:pPr>
              <w:spacing w:after="0"/>
            </w:pPr>
            <w:r w:rsidRPr="00C41BA9">
              <w:t>2015 Ozone</w:t>
            </w:r>
            <w:r w:rsidR="008A1532">
              <w:rPr>
                <w:rStyle w:val="FootnoteReference"/>
              </w:rPr>
              <w:footnoteReference w:id="9"/>
            </w:r>
            <w:r w:rsidRPr="00C41BA9">
              <w:t xml:space="preserve"> </w:t>
            </w:r>
          </w:p>
        </w:tc>
        <w:tc>
          <w:tcPr>
            <w:tcW w:w="0" w:type="auto"/>
            <w:vAlign w:val="top"/>
          </w:tcPr>
          <w:p w14:paraId="49671A4B" w14:textId="77777777" w:rsidR="00E97263" w:rsidRPr="00A3118E" w:rsidRDefault="00E97263" w:rsidP="003704E9">
            <w:pPr>
              <w:pStyle w:val="TableText"/>
              <w:rPr>
                <w:sz w:val="24"/>
                <w:szCs w:val="24"/>
              </w:rPr>
            </w:pPr>
            <w:r w:rsidRPr="00A3118E">
              <w:rPr>
                <w:sz w:val="24"/>
                <w:szCs w:val="24"/>
              </w:rPr>
              <w:t>Bexar</w:t>
            </w:r>
          </w:p>
        </w:tc>
        <w:tc>
          <w:tcPr>
            <w:tcW w:w="0" w:type="auto"/>
            <w:vAlign w:val="top"/>
          </w:tcPr>
          <w:p w14:paraId="13688890" w14:textId="77777777" w:rsidR="00E97263" w:rsidRPr="00B54C58" w:rsidRDefault="00E97263" w:rsidP="003704E9">
            <w:pPr>
              <w:spacing w:after="0"/>
            </w:pPr>
            <w:r w:rsidRPr="00C41BA9">
              <w:t>Alamo Area MPO</w:t>
            </w:r>
          </w:p>
        </w:tc>
        <w:tc>
          <w:tcPr>
            <w:tcW w:w="0" w:type="auto"/>
            <w:vAlign w:val="top"/>
          </w:tcPr>
          <w:p w14:paraId="2C4BC392" w14:textId="77777777" w:rsidR="00E97263" w:rsidRPr="00B54C58" w:rsidRDefault="00E97263" w:rsidP="003704E9">
            <w:pPr>
              <w:spacing w:after="0"/>
            </w:pPr>
            <w:r w:rsidRPr="00C41BA9">
              <w:t>Mobility 2050 MTP</w:t>
            </w:r>
          </w:p>
        </w:tc>
        <w:tc>
          <w:tcPr>
            <w:tcW w:w="0" w:type="auto"/>
            <w:vAlign w:val="top"/>
          </w:tcPr>
          <w:p w14:paraId="719A87E9" w14:textId="77777777" w:rsidR="00E97263" w:rsidRPr="00B54C58" w:rsidRDefault="00E97263" w:rsidP="003704E9">
            <w:pPr>
              <w:spacing w:after="0"/>
            </w:pPr>
            <w:r w:rsidRPr="00C41BA9">
              <w:t>November 7, 2025</w:t>
            </w:r>
          </w:p>
        </w:tc>
        <w:tc>
          <w:tcPr>
            <w:tcW w:w="0" w:type="auto"/>
            <w:vAlign w:val="top"/>
          </w:tcPr>
          <w:p w14:paraId="505CE79C" w14:textId="77777777" w:rsidR="00E97263" w:rsidRPr="00B54C58" w:rsidRDefault="00E97263" w:rsidP="003704E9">
            <w:pPr>
              <w:spacing w:after="0"/>
            </w:pPr>
            <w:r w:rsidRPr="00C41BA9">
              <w:t>August 3, 2027</w:t>
            </w:r>
          </w:p>
        </w:tc>
        <w:tc>
          <w:tcPr>
            <w:tcW w:w="0" w:type="auto"/>
            <w:vAlign w:val="top"/>
          </w:tcPr>
          <w:p w14:paraId="172E3027" w14:textId="77777777" w:rsidR="00E97263" w:rsidRPr="00B54C58" w:rsidRDefault="00E97263" w:rsidP="003704E9">
            <w:pPr>
              <w:spacing w:after="0"/>
            </w:pPr>
            <w:r w:rsidRPr="00C41BA9">
              <w:t>2025-2028 TIP</w:t>
            </w:r>
          </w:p>
        </w:tc>
        <w:tc>
          <w:tcPr>
            <w:tcW w:w="0" w:type="auto"/>
            <w:vAlign w:val="top"/>
          </w:tcPr>
          <w:p w14:paraId="61FA11E5" w14:textId="00111940" w:rsidR="00E97263" w:rsidRPr="00B54C58" w:rsidRDefault="00E97263" w:rsidP="003704E9">
            <w:pPr>
              <w:spacing w:after="0"/>
            </w:pPr>
            <w:r w:rsidRPr="00C41BA9">
              <w:t xml:space="preserve">November 7, </w:t>
            </w:r>
            <w:r w:rsidR="00A3118E" w:rsidRPr="00C41BA9">
              <w:t>2025</w:t>
            </w:r>
          </w:p>
        </w:tc>
        <w:tc>
          <w:tcPr>
            <w:tcW w:w="0" w:type="auto"/>
            <w:vAlign w:val="top"/>
          </w:tcPr>
          <w:p w14:paraId="518D7434" w14:textId="498982E0" w:rsidR="00E97263" w:rsidRDefault="00E97263" w:rsidP="003704E9">
            <w:pPr>
              <w:spacing w:after="0"/>
            </w:pPr>
            <w:r w:rsidRPr="00C41BA9">
              <w:t>Serious Nonattainment</w:t>
            </w:r>
            <w:r w:rsidR="00EC7DD3">
              <w:rPr>
                <w:rStyle w:val="FootnoteReference"/>
              </w:rPr>
              <w:footnoteReference w:id="10"/>
            </w:r>
            <w:r w:rsidRPr="00C41BA9">
              <w:t xml:space="preserve"> </w:t>
            </w:r>
          </w:p>
        </w:tc>
      </w:tr>
    </w:tbl>
    <w:p w14:paraId="2A8DFBBD" w14:textId="77777777" w:rsidR="00422F56" w:rsidRDefault="00422F56" w:rsidP="00FE4D24">
      <w:pPr>
        <w:pStyle w:val="Caption"/>
        <w:keepNext/>
        <w:rPr>
          <w:b/>
          <w:bCs/>
          <w:sz w:val="24"/>
          <w:szCs w:val="24"/>
        </w:rPr>
      </w:pPr>
    </w:p>
    <w:p w14:paraId="15CAD629" w14:textId="77777777" w:rsidR="00422F56" w:rsidRDefault="00422F56">
      <w:pPr>
        <w:spacing w:after="0" w:line="240" w:lineRule="auto"/>
        <w:rPr>
          <w:b/>
          <w:bCs/>
          <w:i/>
          <w:iCs/>
          <w:color w:val="000000" w:themeColor="text2"/>
        </w:rPr>
      </w:pPr>
      <w:r>
        <w:rPr>
          <w:b/>
          <w:bCs/>
        </w:rPr>
        <w:br w:type="page"/>
      </w:r>
    </w:p>
    <w:p w14:paraId="75BB7E56" w14:textId="7564109A" w:rsidR="00FE4D24" w:rsidRPr="009C0C97" w:rsidRDefault="00FE4D24" w:rsidP="00FE4D24">
      <w:pPr>
        <w:pStyle w:val="Caption"/>
        <w:keepNext/>
        <w:rPr>
          <w:b/>
          <w:bCs/>
          <w:i w:val="0"/>
          <w:iCs w:val="0"/>
          <w:sz w:val="24"/>
          <w:szCs w:val="24"/>
        </w:rPr>
      </w:pPr>
      <w:r w:rsidRPr="009C0C97">
        <w:rPr>
          <w:b/>
          <w:bCs/>
          <w:i w:val="0"/>
          <w:iCs w:val="0"/>
          <w:sz w:val="24"/>
          <w:szCs w:val="24"/>
        </w:rPr>
        <w:lastRenderedPageBreak/>
        <w:t xml:space="preserve">Table </w:t>
      </w:r>
      <w:r w:rsidR="001465A3" w:rsidRPr="009C0C97">
        <w:rPr>
          <w:b/>
          <w:bCs/>
          <w:i w:val="0"/>
          <w:iCs w:val="0"/>
          <w:sz w:val="24"/>
          <w:szCs w:val="24"/>
        </w:rPr>
        <w:t>2</w:t>
      </w:r>
      <w:r w:rsidR="005B5232">
        <w:rPr>
          <w:b/>
          <w:bCs/>
          <w:i w:val="0"/>
          <w:iCs w:val="0"/>
          <w:sz w:val="24"/>
          <w:szCs w:val="24"/>
        </w:rPr>
        <w:t>.</w:t>
      </w:r>
      <w:r w:rsidRPr="009C0C97">
        <w:rPr>
          <w:b/>
          <w:bCs/>
          <w:i w:val="0"/>
          <w:iCs w:val="0"/>
          <w:sz w:val="24"/>
          <w:szCs w:val="24"/>
        </w:rPr>
        <w:t xml:space="preserve"> </w:t>
      </w:r>
      <w:r w:rsidR="00E733E7" w:rsidRPr="009C0C97">
        <w:rPr>
          <w:b/>
          <w:bCs/>
          <w:i w:val="0"/>
          <w:iCs w:val="0"/>
          <w:sz w:val="24"/>
          <w:szCs w:val="24"/>
        </w:rPr>
        <w:t>Lead (Pb) Nonattainment or Maintenance Areas</w:t>
      </w:r>
    </w:p>
    <w:tbl>
      <w:tblPr>
        <w:tblStyle w:val="ATFTxDOTTable"/>
        <w:tblW w:w="23001" w:type="dxa"/>
        <w:tblInd w:w="-5" w:type="dxa"/>
        <w:tblLook w:val="0420" w:firstRow="1" w:lastRow="0" w:firstColumn="0" w:lastColumn="0" w:noHBand="0" w:noVBand="1"/>
      </w:tblPr>
      <w:tblGrid>
        <w:gridCol w:w="1870"/>
        <w:gridCol w:w="5797"/>
        <w:gridCol w:w="7854"/>
        <w:gridCol w:w="7480"/>
      </w:tblGrid>
      <w:tr w:rsidR="004214FF" w:rsidRPr="00624C21" w14:paraId="7DB100AC" w14:textId="77777777" w:rsidTr="00185F5D">
        <w:trPr>
          <w:cnfStyle w:val="100000000000" w:firstRow="1" w:lastRow="0" w:firstColumn="0" w:lastColumn="0" w:oddVBand="0" w:evenVBand="0" w:oddHBand="0" w:evenHBand="0" w:firstRowFirstColumn="0" w:firstRowLastColumn="0" w:lastRowFirstColumn="0" w:lastRowLastColumn="0"/>
        </w:trPr>
        <w:tc>
          <w:tcPr>
            <w:tcW w:w="1870" w:type="dxa"/>
            <w:hideMark/>
          </w:tcPr>
          <w:p w14:paraId="34EA966A" w14:textId="4535817A" w:rsidR="004214FF" w:rsidRPr="00624C21" w:rsidRDefault="007623EF" w:rsidP="00624C21">
            <w:pPr>
              <w:spacing w:after="0" w:line="240" w:lineRule="auto"/>
              <w:rPr>
                <w:rFonts w:asciiTheme="minorHAnsi" w:hAnsiTheme="minorHAnsi"/>
                <w:color w:val="FFFFFF" w:themeColor="background1"/>
              </w:rPr>
            </w:pPr>
            <w:r>
              <w:rPr>
                <w:rFonts w:asciiTheme="minorHAnsi" w:hAnsiTheme="minorHAnsi"/>
                <w:color w:val="FFFFFF" w:themeColor="background1"/>
              </w:rPr>
              <w:t>County</w:t>
            </w:r>
          </w:p>
        </w:tc>
        <w:tc>
          <w:tcPr>
            <w:tcW w:w="5797" w:type="dxa"/>
            <w:hideMark/>
          </w:tcPr>
          <w:p w14:paraId="26992D03" w14:textId="73FC6808" w:rsidR="004214FF" w:rsidRPr="00624C21" w:rsidRDefault="007623EF" w:rsidP="00624C21">
            <w:pPr>
              <w:spacing w:after="0" w:line="240" w:lineRule="auto"/>
              <w:rPr>
                <w:rFonts w:asciiTheme="minorHAnsi" w:hAnsiTheme="minorHAnsi"/>
                <w:color w:val="FFFFFF" w:themeColor="background1"/>
              </w:rPr>
            </w:pPr>
            <w:r>
              <w:rPr>
                <w:rFonts w:asciiTheme="minorHAnsi" w:hAnsiTheme="minorHAnsi"/>
                <w:color w:val="FFFFFF" w:themeColor="background1"/>
              </w:rPr>
              <w:t>Affected Counties</w:t>
            </w:r>
          </w:p>
        </w:tc>
        <w:tc>
          <w:tcPr>
            <w:tcW w:w="7854" w:type="dxa"/>
            <w:hideMark/>
          </w:tcPr>
          <w:p w14:paraId="5D609106" w14:textId="0720B55E" w:rsidR="004214FF" w:rsidRPr="00624C21" w:rsidRDefault="00432DB8" w:rsidP="00624C21">
            <w:pPr>
              <w:spacing w:after="0" w:line="240" w:lineRule="auto"/>
              <w:rPr>
                <w:rFonts w:asciiTheme="minorHAnsi" w:hAnsiTheme="minorHAnsi"/>
                <w:color w:val="FFFFFF" w:themeColor="background1"/>
              </w:rPr>
            </w:pPr>
            <w:r>
              <w:rPr>
                <w:rFonts w:asciiTheme="minorHAnsi" w:hAnsiTheme="minorHAnsi"/>
                <w:color w:val="FFFFFF" w:themeColor="background1"/>
              </w:rPr>
              <w:t>Transportation Conformity</w:t>
            </w:r>
          </w:p>
        </w:tc>
        <w:tc>
          <w:tcPr>
            <w:tcW w:w="7480" w:type="dxa"/>
            <w:hideMark/>
          </w:tcPr>
          <w:p w14:paraId="5CA87137" w14:textId="17F9B544" w:rsidR="004214FF" w:rsidRPr="00624C21" w:rsidRDefault="009B35F6" w:rsidP="00624C21">
            <w:pPr>
              <w:spacing w:after="0" w:line="240" w:lineRule="auto"/>
              <w:rPr>
                <w:rFonts w:asciiTheme="minorHAnsi" w:hAnsiTheme="minorHAnsi"/>
                <w:color w:val="FFFFFF" w:themeColor="background1"/>
              </w:rPr>
            </w:pPr>
            <w:r>
              <w:rPr>
                <w:rFonts w:asciiTheme="minorHAnsi" w:hAnsiTheme="minorHAnsi"/>
                <w:color w:val="FFFFFF" w:themeColor="background1"/>
              </w:rPr>
              <w:t>Designation</w:t>
            </w:r>
            <w:r w:rsidR="00070D03">
              <w:rPr>
                <w:rFonts w:asciiTheme="minorHAnsi" w:hAnsiTheme="minorHAnsi"/>
                <w:color w:val="FFFFFF" w:themeColor="background1"/>
              </w:rPr>
              <w:t xml:space="preserve"> Classification</w:t>
            </w:r>
          </w:p>
        </w:tc>
      </w:tr>
      <w:tr w:rsidR="004214FF" w:rsidRPr="00624C21" w14:paraId="2602D140" w14:textId="77777777" w:rsidTr="00185F5D">
        <w:trPr>
          <w:cnfStyle w:val="000000100000" w:firstRow="0" w:lastRow="0" w:firstColumn="0" w:lastColumn="0" w:oddVBand="0" w:evenVBand="0" w:oddHBand="1" w:evenHBand="0" w:firstRowFirstColumn="0" w:firstRowLastColumn="0" w:lastRowFirstColumn="0" w:lastRowLastColumn="0"/>
          <w:trHeight w:val="25"/>
        </w:trPr>
        <w:tc>
          <w:tcPr>
            <w:tcW w:w="1870" w:type="dxa"/>
            <w:vAlign w:val="top"/>
            <w:hideMark/>
          </w:tcPr>
          <w:p w14:paraId="0A73D00E" w14:textId="447AA324" w:rsidR="004214FF" w:rsidRPr="00624C21" w:rsidRDefault="004214FF" w:rsidP="004214FF">
            <w:pPr>
              <w:spacing w:after="0"/>
              <w:rPr>
                <w:rFonts w:asciiTheme="minorHAnsi" w:hAnsiTheme="minorHAnsi"/>
                <w:color w:val="auto"/>
              </w:rPr>
            </w:pPr>
            <w:r w:rsidRPr="0028469D">
              <w:t>Collin County</w:t>
            </w:r>
          </w:p>
        </w:tc>
        <w:tc>
          <w:tcPr>
            <w:tcW w:w="5797" w:type="dxa"/>
            <w:vAlign w:val="top"/>
            <w:hideMark/>
          </w:tcPr>
          <w:p w14:paraId="18016F72" w14:textId="1337F7F1" w:rsidR="004214FF" w:rsidRPr="00624C21" w:rsidRDefault="004214FF" w:rsidP="004214FF">
            <w:pPr>
              <w:spacing w:after="0"/>
              <w:rPr>
                <w:rFonts w:asciiTheme="minorHAnsi" w:hAnsiTheme="minorHAnsi"/>
                <w:color w:val="auto"/>
              </w:rPr>
            </w:pPr>
            <w:r w:rsidRPr="0028469D">
              <w:t xml:space="preserve">Portion of Collin County in the Frisco City area </w:t>
            </w:r>
          </w:p>
        </w:tc>
        <w:tc>
          <w:tcPr>
            <w:tcW w:w="7854" w:type="dxa"/>
            <w:vAlign w:val="top"/>
            <w:hideMark/>
          </w:tcPr>
          <w:p w14:paraId="0A1D3166" w14:textId="4272978E" w:rsidR="004214FF" w:rsidRPr="00624C21" w:rsidRDefault="004214FF" w:rsidP="004214FF">
            <w:pPr>
              <w:spacing w:after="0"/>
              <w:rPr>
                <w:rFonts w:asciiTheme="minorHAnsi" w:hAnsiTheme="minorHAnsi"/>
                <w:color w:val="auto"/>
              </w:rPr>
            </w:pPr>
            <w:r w:rsidRPr="0028469D">
              <w:t xml:space="preserve">Transportation conformity does not apply </w:t>
            </w:r>
            <w:r w:rsidR="003319E5">
              <w:t>for the Lead NAAQS</w:t>
            </w:r>
          </w:p>
        </w:tc>
        <w:tc>
          <w:tcPr>
            <w:tcW w:w="7480" w:type="dxa"/>
            <w:vAlign w:val="top"/>
            <w:hideMark/>
          </w:tcPr>
          <w:p w14:paraId="1CFCC663" w14:textId="74AD4E0A" w:rsidR="004214FF" w:rsidRPr="00624C21" w:rsidRDefault="009B35F6" w:rsidP="004214FF">
            <w:pPr>
              <w:spacing w:after="0"/>
              <w:rPr>
                <w:rFonts w:asciiTheme="minorHAnsi" w:hAnsiTheme="minorHAnsi"/>
                <w:color w:val="auto"/>
              </w:rPr>
            </w:pPr>
            <w:r>
              <w:t>Attainment Maintenance</w:t>
            </w:r>
            <w:r w:rsidR="00725141">
              <w:rPr>
                <w:rStyle w:val="FootnoteReference"/>
              </w:rPr>
              <w:footnoteReference w:id="11"/>
            </w:r>
            <w:r>
              <w:t xml:space="preserve"> </w:t>
            </w:r>
          </w:p>
        </w:tc>
      </w:tr>
    </w:tbl>
    <w:p w14:paraId="7966BD1F" w14:textId="24E16172" w:rsidR="001465A3" w:rsidRPr="005B5232" w:rsidRDefault="001465A3" w:rsidP="00422F56">
      <w:pPr>
        <w:pStyle w:val="Caption"/>
        <w:keepNext/>
        <w:spacing w:before="240"/>
        <w:rPr>
          <w:b/>
          <w:bCs/>
          <w:i w:val="0"/>
          <w:iCs w:val="0"/>
          <w:sz w:val="24"/>
          <w:szCs w:val="24"/>
        </w:rPr>
      </w:pPr>
      <w:r w:rsidRPr="005B5232">
        <w:rPr>
          <w:b/>
          <w:bCs/>
          <w:i w:val="0"/>
          <w:iCs w:val="0"/>
          <w:sz w:val="24"/>
          <w:szCs w:val="24"/>
        </w:rPr>
        <w:t>Table 3</w:t>
      </w:r>
      <w:r w:rsidR="005B5232">
        <w:rPr>
          <w:b/>
          <w:bCs/>
          <w:i w:val="0"/>
          <w:iCs w:val="0"/>
          <w:sz w:val="24"/>
          <w:szCs w:val="24"/>
        </w:rPr>
        <w:t>.</w:t>
      </w:r>
      <w:r w:rsidRPr="005B5232">
        <w:rPr>
          <w:b/>
          <w:bCs/>
          <w:i w:val="0"/>
          <w:iCs w:val="0"/>
          <w:sz w:val="24"/>
          <w:szCs w:val="24"/>
        </w:rPr>
        <w:t xml:space="preserve"> </w:t>
      </w:r>
      <w:r w:rsidR="0063022A" w:rsidRPr="005B5232">
        <w:rPr>
          <w:b/>
          <w:bCs/>
          <w:i w:val="0"/>
          <w:iCs w:val="0"/>
          <w:sz w:val="24"/>
          <w:szCs w:val="24"/>
        </w:rPr>
        <w:t>Sulfur Dioxide (</w:t>
      </w:r>
      <w:r w:rsidR="00943BB8" w:rsidRPr="005B5232">
        <w:rPr>
          <w:b/>
          <w:bCs/>
          <w:i w:val="0"/>
          <w:iCs w:val="0"/>
          <w:sz w:val="24"/>
          <w:szCs w:val="24"/>
        </w:rPr>
        <w:t>SO</w:t>
      </w:r>
      <w:r w:rsidR="00943BB8" w:rsidRPr="005B5232">
        <w:rPr>
          <w:b/>
          <w:bCs/>
          <w:i w:val="0"/>
          <w:iCs w:val="0"/>
          <w:sz w:val="24"/>
          <w:szCs w:val="24"/>
          <w:vertAlign w:val="subscript"/>
        </w:rPr>
        <w:t>2</w:t>
      </w:r>
      <w:r w:rsidR="00A20B14" w:rsidRPr="005B5232">
        <w:rPr>
          <w:b/>
          <w:bCs/>
          <w:i w:val="0"/>
          <w:iCs w:val="0"/>
          <w:sz w:val="24"/>
          <w:szCs w:val="24"/>
        </w:rPr>
        <w:t>) Nonattainment or Maintenance Areas</w:t>
      </w:r>
    </w:p>
    <w:tbl>
      <w:tblPr>
        <w:tblStyle w:val="ATFTxDOTTable"/>
        <w:tblW w:w="23001" w:type="dxa"/>
        <w:tblInd w:w="-5" w:type="dxa"/>
        <w:tblLook w:val="0420" w:firstRow="1" w:lastRow="0" w:firstColumn="0" w:lastColumn="0" w:noHBand="0" w:noVBand="1"/>
      </w:tblPr>
      <w:tblGrid>
        <w:gridCol w:w="1870"/>
        <w:gridCol w:w="3170"/>
        <w:gridCol w:w="10481"/>
        <w:gridCol w:w="7480"/>
      </w:tblGrid>
      <w:tr w:rsidR="00A33B65" w:rsidRPr="00624C21" w14:paraId="17550A7B" w14:textId="77777777" w:rsidTr="00185F5D">
        <w:trPr>
          <w:cnfStyle w:val="100000000000" w:firstRow="1" w:lastRow="0" w:firstColumn="0" w:lastColumn="0" w:oddVBand="0" w:evenVBand="0" w:oddHBand="0" w:evenHBand="0" w:firstRowFirstColumn="0" w:firstRowLastColumn="0" w:lastRowFirstColumn="0" w:lastRowLastColumn="0"/>
          <w:tblHeader/>
        </w:trPr>
        <w:tc>
          <w:tcPr>
            <w:tcW w:w="1870" w:type="dxa"/>
            <w:hideMark/>
          </w:tcPr>
          <w:p w14:paraId="6D869889" w14:textId="77777777" w:rsidR="00A33B65" w:rsidRPr="00624C21" w:rsidRDefault="00A33B65" w:rsidP="0082144F">
            <w:pPr>
              <w:spacing w:after="0" w:line="240" w:lineRule="auto"/>
              <w:rPr>
                <w:rFonts w:asciiTheme="minorHAnsi" w:hAnsiTheme="minorHAnsi"/>
                <w:color w:val="FFFFFF" w:themeColor="background1"/>
              </w:rPr>
            </w:pPr>
            <w:r>
              <w:rPr>
                <w:rFonts w:asciiTheme="minorHAnsi" w:hAnsiTheme="minorHAnsi"/>
                <w:color w:val="FFFFFF" w:themeColor="background1"/>
              </w:rPr>
              <w:t>County</w:t>
            </w:r>
          </w:p>
        </w:tc>
        <w:tc>
          <w:tcPr>
            <w:tcW w:w="3170" w:type="dxa"/>
            <w:hideMark/>
          </w:tcPr>
          <w:p w14:paraId="5F96B315" w14:textId="77777777" w:rsidR="00A33B65" w:rsidRPr="00624C21" w:rsidRDefault="00A33B65" w:rsidP="0082144F">
            <w:pPr>
              <w:spacing w:after="0" w:line="240" w:lineRule="auto"/>
              <w:rPr>
                <w:rFonts w:asciiTheme="minorHAnsi" w:hAnsiTheme="minorHAnsi"/>
                <w:color w:val="FFFFFF" w:themeColor="background1"/>
              </w:rPr>
            </w:pPr>
            <w:r>
              <w:rPr>
                <w:rFonts w:asciiTheme="minorHAnsi" w:hAnsiTheme="minorHAnsi"/>
                <w:color w:val="FFFFFF" w:themeColor="background1"/>
              </w:rPr>
              <w:t>Affected Counties</w:t>
            </w:r>
          </w:p>
        </w:tc>
        <w:tc>
          <w:tcPr>
            <w:tcW w:w="10481" w:type="dxa"/>
            <w:hideMark/>
          </w:tcPr>
          <w:p w14:paraId="33611B73" w14:textId="77777777" w:rsidR="00A33B65" w:rsidRPr="00624C21" w:rsidRDefault="00A33B65" w:rsidP="0082144F">
            <w:pPr>
              <w:spacing w:after="0" w:line="240" w:lineRule="auto"/>
              <w:rPr>
                <w:rFonts w:asciiTheme="minorHAnsi" w:hAnsiTheme="minorHAnsi"/>
                <w:color w:val="FFFFFF" w:themeColor="background1"/>
              </w:rPr>
            </w:pPr>
            <w:r>
              <w:rPr>
                <w:rFonts w:asciiTheme="minorHAnsi" w:hAnsiTheme="minorHAnsi"/>
                <w:color w:val="FFFFFF" w:themeColor="background1"/>
              </w:rPr>
              <w:t>Transportation Conformity</w:t>
            </w:r>
          </w:p>
        </w:tc>
        <w:tc>
          <w:tcPr>
            <w:tcW w:w="7480" w:type="dxa"/>
            <w:hideMark/>
          </w:tcPr>
          <w:p w14:paraId="2F66D70E" w14:textId="77777777" w:rsidR="00A33B65" w:rsidRPr="00624C21" w:rsidRDefault="00A33B65" w:rsidP="0082144F">
            <w:pPr>
              <w:spacing w:after="0" w:line="240" w:lineRule="auto"/>
              <w:rPr>
                <w:rFonts w:asciiTheme="minorHAnsi" w:hAnsiTheme="minorHAnsi"/>
                <w:color w:val="FFFFFF" w:themeColor="background1"/>
              </w:rPr>
            </w:pPr>
            <w:r>
              <w:rPr>
                <w:rFonts w:asciiTheme="minorHAnsi" w:hAnsiTheme="minorHAnsi"/>
                <w:color w:val="FFFFFF" w:themeColor="background1"/>
              </w:rPr>
              <w:t>Designation Classification</w:t>
            </w:r>
          </w:p>
        </w:tc>
      </w:tr>
      <w:tr w:rsidR="00A33B65" w:rsidRPr="00624C21" w14:paraId="0F09DFB9" w14:textId="77777777" w:rsidTr="00185F5D">
        <w:trPr>
          <w:cnfStyle w:val="000000100000" w:firstRow="0" w:lastRow="0" w:firstColumn="0" w:lastColumn="0" w:oddVBand="0" w:evenVBand="0" w:oddHBand="1" w:evenHBand="0" w:firstRowFirstColumn="0" w:firstRowLastColumn="0" w:lastRowFirstColumn="0" w:lastRowLastColumn="0"/>
          <w:trHeight w:val="25"/>
        </w:trPr>
        <w:tc>
          <w:tcPr>
            <w:tcW w:w="1870" w:type="dxa"/>
            <w:vAlign w:val="top"/>
            <w:hideMark/>
          </w:tcPr>
          <w:p w14:paraId="347FD4B8" w14:textId="704DE152" w:rsidR="00A33B65" w:rsidRPr="00624C21" w:rsidRDefault="00A33B65" w:rsidP="0082144F">
            <w:pPr>
              <w:spacing w:after="0"/>
              <w:rPr>
                <w:rFonts w:asciiTheme="minorHAnsi" w:hAnsiTheme="minorHAnsi"/>
                <w:color w:val="auto"/>
              </w:rPr>
            </w:pPr>
            <w:r>
              <w:t>Freestone</w:t>
            </w:r>
          </w:p>
        </w:tc>
        <w:tc>
          <w:tcPr>
            <w:tcW w:w="3170" w:type="dxa"/>
            <w:vAlign w:val="top"/>
            <w:hideMark/>
          </w:tcPr>
          <w:p w14:paraId="27106DFD" w14:textId="18933271" w:rsidR="00A33B65" w:rsidRPr="00624C21" w:rsidRDefault="00A33B65" w:rsidP="0082144F">
            <w:pPr>
              <w:spacing w:after="0"/>
              <w:rPr>
                <w:rFonts w:asciiTheme="minorHAnsi" w:hAnsiTheme="minorHAnsi"/>
                <w:color w:val="auto"/>
              </w:rPr>
            </w:pPr>
            <w:r w:rsidRPr="0028469D">
              <w:t>Portion of Count</w:t>
            </w:r>
            <w:r>
              <w:t>ies</w:t>
            </w:r>
            <w:r w:rsidRPr="0028469D">
              <w:t xml:space="preserve"> </w:t>
            </w:r>
          </w:p>
        </w:tc>
        <w:tc>
          <w:tcPr>
            <w:tcW w:w="10481" w:type="dxa"/>
            <w:vAlign w:val="top"/>
            <w:hideMark/>
          </w:tcPr>
          <w:p w14:paraId="3C583FE7" w14:textId="53CD5FE8" w:rsidR="00A33B65" w:rsidRPr="00624C21" w:rsidRDefault="00A33B65" w:rsidP="0082144F">
            <w:pPr>
              <w:spacing w:after="0"/>
              <w:rPr>
                <w:rFonts w:asciiTheme="minorHAnsi" w:hAnsiTheme="minorHAnsi"/>
                <w:color w:val="auto"/>
              </w:rPr>
            </w:pPr>
            <w:r w:rsidRPr="0028469D">
              <w:t>Transportation conformity does not apply for</w:t>
            </w:r>
            <w:r w:rsidR="003319E5">
              <w:t xml:space="preserve"> </w:t>
            </w:r>
            <w:r w:rsidR="00107616">
              <w:t xml:space="preserve">the </w:t>
            </w:r>
            <w:r w:rsidR="00EE1773">
              <w:t>SO</w:t>
            </w:r>
            <w:r w:rsidR="00EE1773" w:rsidRPr="0026771D">
              <w:rPr>
                <w:vertAlign w:val="subscript"/>
              </w:rPr>
              <w:t>2</w:t>
            </w:r>
            <w:r w:rsidR="00107616">
              <w:t xml:space="preserve"> NAAQS</w:t>
            </w:r>
          </w:p>
        </w:tc>
        <w:tc>
          <w:tcPr>
            <w:tcW w:w="7480" w:type="dxa"/>
            <w:vAlign w:val="top"/>
            <w:hideMark/>
          </w:tcPr>
          <w:p w14:paraId="20985537" w14:textId="7C38BA72" w:rsidR="00A33B65" w:rsidRPr="00624C21" w:rsidRDefault="00E84551" w:rsidP="0082144F">
            <w:pPr>
              <w:spacing w:after="0"/>
              <w:rPr>
                <w:rFonts w:asciiTheme="minorHAnsi" w:hAnsiTheme="minorHAnsi"/>
                <w:color w:val="auto"/>
              </w:rPr>
            </w:pPr>
            <w:r>
              <w:t>Nona</w:t>
            </w:r>
            <w:r w:rsidR="00A33B65">
              <w:t>ttainment</w:t>
            </w:r>
            <w:bookmarkStart w:id="2" w:name="_Ref221035884"/>
            <w:r w:rsidR="00675D82" w:rsidRPr="00B13C80">
              <w:rPr>
                <w:rStyle w:val="FootnoteReference"/>
              </w:rPr>
              <w:footnoteReference w:id="12"/>
            </w:r>
            <w:bookmarkEnd w:id="2"/>
            <w:r w:rsidR="002D074E" w:rsidRPr="00B13C80">
              <w:t>,</w:t>
            </w:r>
            <w:bookmarkStart w:id="3" w:name="_Ref221035908"/>
            <w:r w:rsidR="00B506B3" w:rsidRPr="00B13C80">
              <w:rPr>
                <w:rStyle w:val="FootnoteReference"/>
              </w:rPr>
              <w:footnoteReference w:id="13"/>
            </w:r>
            <w:bookmarkEnd w:id="3"/>
            <w:r w:rsidR="00A33B65">
              <w:t xml:space="preserve"> </w:t>
            </w:r>
            <w:r>
              <w:t xml:space="preserve"> </w:t>
            </w:r>
          </w:p>
        </w:tc>
      </w:tr>
      <w:tr w:rsidR="00E84551" w:rsidRPr="00624C21" w14:paraId="4F3ED9A2" w14:textId="77777777" w:rsidTr="00185F5D">
        <w:trPr>
          <w:cnfStyle w:val="000000010000" w:firstRow="0" w:lastRow="0" w:firstColumn="0" w:lastColumn="0" w:oddVBand="0" w:evenVBand="0" w:oddHBand="0" w:evenHBand="1" w:firstRowFirstColumn="0" w:firstRowLastColumn="0" w:lastRowFirstColumn="0" w:lastRowLastColumn="0"/>
        </w:trPr>
        <w:tc>
          <w:tcPr>
            <w:tcW w:w="1870" w:type="dxa"/>
            <w:hideMark/>
          </w:tcPr>
          <w:p w14:paraId="08D86D4A" w14:textId="6DF57E49" w:rsidR="00E84551" w:rsidRPr="00624C21" w:rsidRDefault="00E84551" w:rsidP="00E84551">
            <w:pPr>
              <w:spacing w:after="0"/>
              <w:rPr>
                <w:rFonts w:asciiTheme="minorHAnsi" w:hAnsiTheme="minorHAnsi"/>
                <w:color w:val="auto"/>
              </w:rPr>
            </w:pPr>
            <w:r>
              <w:rPr>
                <w:rFonts w:asciiTheme="minorHAnsi" w:hAnsiTheme="minorHAnsi"/>
                <w:color w:val="auto"/>
              </w:rPr>
              <w:t>Anderson</w:t>
            </w:r>
          </w:p>
        </w:tc>
        <w:tc>
          <w:tcPr>
            <w:tcW w:w="3170" w:type="dxa"/>
            <w:vAlign w:val="top"/>
            <w:hideMark/>
          </w:tcPr>
          <w:p w14:paraId="71E56262" w14:textId="46ECB267" w:rsidR="00E84551" w:rsidRPr="00624C21" w:rsidRDefault="00E84551" w:rsidP="00E84551">
            <w:pPr>
              <w:spacing w:after="0"/>
              <w:rPr>
                <w:rFonts w:asciiTheme="minorHAnsi" w:hAnsiTheme="minorHAnsi"/>
                <w:color w:val="auto"/>
              </w:rPr>
            </w:pPr>
            <w:r w:rsidRPr="008B43F4">
              <w:t>Portion of Coun</w:t>
            </w:r>
            <w:r>
              <w:t>ties</w:t>
            </w:r>
            <w:r w:rsidRPr="008B43F4">
              <w:t xml:space="preserve"> </w:t>
            </w:r>
          </w:p>
        </w:tc>
        <w:tc>
          <w:tcPr>
            <w:tcW w:w="10481" w:type="dxa"/>
            <w:vAlign w:val="top"/>
            <w:hideMark/>
          </w:tcPr>
          <w:p w14:paraId="07FC33C7" w14:textId="57EFA28C" w:rsidR="00E84551" w:rsidRPr="00624C21" w:rsidRDefault="00E84551" w:rsidP="00E84551">
            <w:pPr>
              <w:spacing w:after="0"/>
              <w:rPr>
                <w:rFonts w:asciiTheme="minorHAnsi" w:hAnsiTheme="minorHAnsi"/>
                <w:color w:val="auto"/>
              </w:rPr>
            </w:pPr>
            <w:r w:rsidRPr="008C3E4F">
              <w:t xml:space="preserve">Transportation conformity does not apply for the </w:t>
            </w:r>
            <w:r w:rsidR="00EE1773">
              <w:t>SO</w:t>
            </w:r>
            <w:r w:rsidR="00EE1773" w:rsidRPr="0026771D">
              <w:rPr>
                <w:vertAlign w:val="subscript"/>
              </w:rPr>
              <w:t>2</w:t>
            </w:r>
            <w:r w:rsidRPr="008C3E4F">
              <w:t xml:space="preserve"> NAAQS</w:t>
            </w:r>
          </w:p>
        </w:tc>
        <w:tc>
          <w:tcPr>
            <w:tcW w:w="7480" w:type="dxa"/>
            <w:vAlign w:val="top"/>
            <w:hideMark/>
          </w:tcPr>
          <w:p w14:paraId="715B1B9A" w14:textId="5C7D3D87" w:rsidR="00E84551" w:rsidRPr="00624C21" w:rsidRDefault="00E84551" w:rsidP="00E84551">
            <w:pPr>
              <w:spacing w:after="0"/>
              <w:rPr>
                <w:rFonts w:asciiTheme="minorHAnsi" w:hAnsiTheme="minorHAnsi"/>
                <w:color w:val="auto"/>
              </w:rPr>
            </w:pPr>
            <w:r w:rsidRPr="00B526BE">
              <w:t>Nonattainment</w:t>
            </w:r>
            <w:r w:rsidR="00934B54">
              <w:fldChar w:fldCharType="begin"/>
            </w:r>
            <w:r w:rsidR="00934B54">
              <w:instrText xml:space="preserve"> NOTEREF _Ref221035884 \f \h </w:instrText>
            </w:r>
            <w:r w:rsidR="00934B54">
              <w:fldChar w:fldCharType="separate"/>
            </w:r>
            <w:r w:rsidR="00934B54" w:rsidRPr="00934B54">
              <w:rPr>
                <w:rStyle w:val="FootnoteReference"/>
              </w:rPr>
              <w:t>12</w:t>
            </w:r>
            <w:r w:rsidR="00934B54">
              <w:fldChar w:fldCharType="end"/>
            </w:r>
            <w:r w:rsidR="00934B54">
              <w:t>,</w:t>
            </w:r>
            <w:r w:rsidR="00934B54">
              <w:fldChar w:fldCharType="begin"/>
            </w:r>
            <w:r w:rsidR="00934B54">
              <w:instrText xml:space="preserve"> NOTEREF _Ref221035908 \f \h </w:instrText>
            </w:r>
            <w:r w:rsidR="00934B54">
              <w:fldChar w:fldCharType="separate"/>
            </w:r>
            <w:r w:rsidR="00934B54" w:rsidRPr="00934B54">
              <w:rPr>
                <w:rStyle w:val="FootnoteReference"/>
              </w:rPr>
              <w:t>13</w:t>
            </w:r>
            <w:r w:rsidR="00934B54">
              <w:fldChar w:fldCharType="end"/>
            </w:r>
            <w:r w:rsidRPr="00B526BE">
              <w:t xml:space="preserve"> </w:t>
            </w:r>
          </w:p>
        </w:tc>
      </w:tr>
      <w:tr w:rsidR="00E84551" w:rsidRPr="00624C21" w14:paraId="452435FA" w14:textId="77777777" w:rsidTr="00185F5D">
        <w:trPr>
          <w:cnfStyle w:val="000000100000" w:firstRow="0" w:lastRow="0" w:firstColumn="0" w:lastColumn="0" w:oddVBand="0" w:evenVBand="0" w:oddHBand="1" w:evenHBand="0" w:firstRowFirstColumn="0" w:firstRowLastColumn="0" w:lastRowFirstColumn="0" w:lastRowLastColumn="0"/>
        </w:trPr>
        <w:tc>
          <w:tcPr>
            <w:tcW w:w="1870" w:type="dxa"/>
          </w:tcPr>
          <w:p w14:paraId="4A2FA0C2" w14:textId="1EEC9069" w:rsidR="00E84551" w:rsidRPr="00624C21" w:rsidRDefault="00E84551" w:rsidP="00E84551">
            <w:pPr>
              <w:spacing w:after="0"/>
              <w:rPr>
                <w:color w:val="auto"/>
              </w:rPr>
            </w:pPr>
            <w:r>
              <w:rPr>
                <w:color w:val="auto"/>
              </w:rPr>
              <w:t>Howard</w:t>
            </w:r>
          </w:p>
        </w:tc>
        <w:tc>
          <w:tcPr>
            <w:tcW w:w="3170" w:type="dxa"/>
            <w:vAlign w:val="top"/>
          </w:tcPr>
          <w:p w14:paraId="20371FCD" w14:textId="5337975A" w:rsidR="00E84551" w:rsidRPr="00624C21" w:rsidRDefault="00E84551" w:rsidP="00E84551">
            <w:pPr>
              <w:spacing w:after="0"/>
              <w:rPr>
                <w:color w:val="auto"/>
              </w:rPr>
            </w:pPr>
            <w:r w:rsidRPr="008B43F4">
              <w:t>Portion of Count</w:t>
            </w:r>
            <w:r>
              <w:t>ies</w:t>
            </w:r>
            <w:r w:rsidRPr="008B43F4">
              <w:t xml:space="preserve"> </w:t>
            </w:r>
          </w:p>
        </w:tc>
        <w:tc>
          <w:tcPr>
            <w:tcW w:w="10481" w:type="dxa"/>
            <w:vAlign w:val="top"/>
          </w:tcPr>
          <w:p w14:paraId="7DCBAF78" w14:textId="5064B24B" w:rsidR="00E84551" w:rsidRPr="00624C21" w:rsidRDefault="00E84551" w:rsidP="00E84551">
            <w:pPr>
              <w:spacing w:after="0"/>
              <w:rPr>
                <w:color w:val="auto"/>
              </w:rPr>
            </w:pPr>
            <w:r w:rsidRPr="008C3E4F">
              <w:t xml:space="preserve">Transportation conformity does not apply for the </w:t>
            </w:r>
            <w:r w:rsidR="00EE1773">
              <w:t>SO</w:t>
            </w:r>
            <w:r w:rsidR="00EE1773" w:rsidRPr="0026771D">
              <w:rPr>
                <w:vertAlign w:val="subscript"/>
              </w:rPr>
              <w:t>2</w:t>
            </w:r>
            <w:r w:rsidRPr="008C3E4F">
              <w:t xml:space="preserve"> NAAQS</w:t>
            </w:r>
          </w:p>
        </w:tc>
        <w:tc>
          <w:tcPr>
            <w:tcW w:w="7480" w:type="dxa"/>
            <w:vAlign w:val="top"/>
          </w:tcPr>
          <w:p w14:paraId="0A17910C" w14:textId="0810346C" w:rsidR="00E84551" w:rsidRPr="00624C21" w:rsidRDefault="00E84551" w:rsidP="00E84551">
            <w:pPr>
              <w:spacing w:after="0"/>
              <w:rPr>
                <w:color w:val="auto"/>
              </w:rPr>
            </w:pPr>
            <w:r w:rsidRPr="00B526BE">
              <w:t>Nonattainment</w:t>
            </w:r>
            <w:r w:rsidR="00934B54">
              <w:fldChar w:fldCharType="begin"/>
            </w:r>
            <w:r w:rsidR="00934B54">
              <w:instrText xml:space="preserve"> NOTEREF _Ref221035884 \f \h </w:instrText>
            </w:r>
            <w:r w:rsidR="00934B54">
              <w:fldChar w:fldCharType="separate"/>
            </w:r>
            <w:r w:rsidR="00934B54" w:rsidRPr="00934B54">
              <w:rPr>
                <w:rStyle w:val="FootnoteReference"/>
              </w:rPr>
              <w:t>12</w:t>
            </w:r>
            <w:r w:rsidR="00934B54">
              <w:fldChar w:fldCharType="end"/>
            </w:r>
            <w:r w:rsidR="00934B54">
              <w:t>,</w:t>
            </w:r>
            <w:r w:rsidR="00B13C80">
              <w:fldChar w:fldCharType="begin"/>
            </w:r>
            <w:r w:rsidR="00B13C80">
              <w:instrText xml:space="preserve"> NOTEREF _Ref221035908 \f \h </w:instrText>
            </w:r>
            <w:r w:rsidR="00B13C80">
              <w:fldChar w:fldCharType="separate"/>
            </w:r>
            <w:r w:rsidR="00B13C80" w:rsidRPr="00B13C80">
              <w:rPr>
                <w:rStyle w:val="FootnoteReference"/>
              </w:rPr>
              <w:t>13</w:t>
            </w:r>
            <w:r w:rsidR="00B13C80">
              <w:fldChar w:fldCharType="end"/>
            </w:r>
            <w:r w:rsidRPr="00B526BE">
              <w:t xml:space="preserve">  </w:t>
            </w:r>
          </w:p>
        </w:tc>
      </w:tr>
      <w:tr w:rsidR="00E84551" w:rsidRPr="00624C21" w14:paraId="2E74AA31" w14:textId="77777777" w:rsidTr="00185F5D">
        <w:trPr>
          <w:cnfStyle w:val="000000010000" w:firstRow="0" w:lastRow="0" w:firstColumn="0" w:lastColumn="0" w:oddVBand="0" w:evenVBand="0" w:oddHBand="0" w:evenHBand="1" w:firstRowFirstColumn="0" w:firstRowLastColumn="0" w:lastRowFirstColumn="0" w:lastRowLastColumn="0"/>
        </w:trPr>
        <w:tc>
          <w:tcPr>
            <w:tcW w:w="1870" w:type="dxa"/>
          </w:tcPr>
          <w:p w14:paraId="40F681B6" w14:textId="6824668B" w:rsidR="00E84551" w:rsidRPr="00624C21" w:rsidRDefault="00E84551" w:rsidP="00E84551">
            <w:pPr>
              <w:spacing w:after="0"/>
              <w:rPr>
                <w:color w:val="auto"/>
              </w:rPr>
            </w:pPr>
            <w:r>
              <w:rPr>
                <w:color w:val="auto"/>
              </w:rPr>
              <w:t>Hutchinson</w:t>
            </w:r>
          </w:p>
        </w:tc>
        <w:tc>
          <w:tcPr>
            <w:tcW w:w="3170" w:type="dxa"/>
            <w:vAlign w:val="top"/>
          </w:tcPr>
          <w:p w14:paraId="4BDAE774" w14:textId="1104C5E2" w:rsidR="00E84551" w:rsidRPr="00624C21" w:rsidRDefault="00E84551" w:rsidP="00E84551">
            <w:pPr>
              <w:spacing w:after="0"/>
              <w:rPr>
                <w:color w:val="auto"/>
              </w:rPr>
            </w:pPr>
            <w:r w:rsidRPr="008B43F4">
              <w:t>Portion of Count</w:t>
            </w:r>
            <w:r>
              <w:t>ies</w:t>
            </w:r>
            <w:r w:rsidRPr="008B43F4">
              <w:t xml:space="preserve"> </w:t>
            </w:r>
          </w:p>
        </w:tc>
        <w:tc>
          <w:tcPr>
            <w:tcW w:w="10481" w:type="dxa"/>
            <w:vAlign w:val="top"/>
          </w:tcPr>
          <w:p w14:paraId="27EE19CB" w14:textId="4ABCDA47" w:rsidR="00E84551" w:rsidRPr="00624C21" w:rsidRDefault="00E84551" w:rsidP="00E84551">
            <w:pPr>
              <w:spacing w:after="0"/>
              <w:rPr>
                <w:color w:val="auto"/>
              </w:rPr>
            </w:pPr>
            <w:r w:rsidRPr="008C3E4F">
              <w:t xml:space="preserve">Transportation conformity does not apply for the </w:t>
            </w:r>
            <w:r w:rsidR="00EE1773">
              <w:t>SO</w:t>
            </w:r>
            <w:r w:rsidR="00EE1773" w:rsidRPr="0026771D">
              <w:rPr>
                <w:vertAlign w:val="subscript"/>
              </w:rPr>
              <w:t>2</w:t>
            </w:r>
            <w:r w:rsidRPr="008C3E4F">
              <w:t xml:space="preserve"> NAAQS</w:t>
            </w:r>
          </w:p>
        </w:tc>
        <w:tc>
          <w:tcPr>
            <w:tcW w:w="7480" w:type="dxa"/>
            <w:vAlign w:val="top"/>
          </w:tcPr>
          <w:p w14:paraId="7460539D" w14:textId="3308AD6E" w:rsidR="00E84551" w:rsidRPr="00624C21" w:rsidRDefault="00E84551" w:rsidP="00E84551">
            <w:pPr>
              <w:spacing w:after="0"/>
              <w:rPr>
                <w:color w:val="auto"/>
              </w:rPr>
            </w:pPr>
            <w:r w:rsidRPr="00B526BE">
              <w:t>Nonattainment</w:t>
            </w:r>
            <w:r w:rsidR="00B13C80">
              <w:fldChar w:fldCharType="begin"/>
            </w:r>
            <w:r w:rsidR="00B13C80">
              <w:instrText xml:space="preserve"> NOTEREF _Ref221035884 \f \h </w:instrText>
            </w:r>
            <w:r w:rsidR="00B13C80">
              <w:fldChar w:fldCharType="separate"/>
            </w:r>
            <w:r w:rsidR="00B13C80" w:rsidRPr="00B13C80">
              <w:rPr>
                <w:rStyle w:val="FootnoteReference"/>
              </w:rPr>
              <w:t>12</w:t>
            </w:r>
            <w:r w:rsidR="00B13C80">
              <w:fldChar w:fldCharType="end"/>
            </w:r>
            <w:r w:rsidR="00B13C80">
              <w:t>,</w:t>
            </w:r>
            <w:r w:rsidR="00B13C80">
              <w:fldChar w:fldCharType="begin"/>
            </w:r>
            <w:r w:rsidR="00B13C80">
              <w:instrText xml:space="preserve"> NOTEREF _Ref221035908 \f \h </w:instrText>
            </w:r>
            <w:r w:rsidR="00B13C80">
              <w:fldChar w:fldCharType="separate"/>
            </w:r>
            <w:r w:rsidR="00B13C80" w:rsidRPr="00B13C80">
              <w:rPr>
                <w:rStyle w:val="FootnoteReference"/>
              </w:rPr>
              <w:t>13</w:t>
            </w:r>
            <w:r w:rsidR="00B13C80">
              <w:fldChar w:fldCharType="end"/>
            </w:r>
            <w:r w:rsidRPr="00B526BE">
              <w:t xml:space="preserve">  </w:t>
            </w:r>
          </w:p>
        </w:tc>
      </w:tr>
      <w:tr w:rsidR="00E84551" w:rsidRPr="00624C21" w14:paraId="6BED4474" w14:textId="77777777" w:rsidTr="00185F5D">
        <w:trPr>
          <w:cnfStyle w:val="000000100000" w:firstRow="0" w:lastRow="0" w:firstColumn="0" w:lastColumn="0" w:oddVBand="0" w:evenVBand="0" w:oddHBand="1" w:evenHBand="0" w:firstRowFirstColumn="0" w:firstRowLastColumn="0" w:lastRowFirstColumn="0" w:lastRowLastColumn="0"/>
        </w:trPr>
        <w:tc>
          <w:tcPr>
            <w:tcW w:w="1870" w:type="dxa"/>
          </w:tcPr>
          <w:p w14:paraId="3ADAC9E6" w14:textId="6A4DE9FD" w:rsidR="00E84551" w:rsidRPr="00624C21" w:rsidRDefault="00E84551" w:rsidP="00E84551">
            <w:pPr>
              <w:spacing w:after="0"/>
              <w:rPr>
                <w:color w:val="auto"/>
              </w:rPr>
            </w:pPr>
            <w:r>
              <w:rPr>
                <w:color w:val="auto"/>
              </w:rPr>
              <w:t>Navarro</w:t>
            </w:r>
          </w:p>
        </w:tc>
        <w:tc>
          <w:tcPr>
            <w:tcW w:w="3170" w:type="dxa"/>
            <w:vAlign w:val="top"/>
          </w:tcPr>
          <w:p w14:paraId="768056C4" w14:textId="06545652" w:rsidR="00E84551" w:rsidRPr="00624C21" w:rsidRDefault="00E84551" w:rsidP="00E84551">
            <w:pPr>
              <w:spacing w:after="0"/>
              <w:rPr>
                <w:color w:val="auto"/>
              </w:rPr>
            </w:pPr>
            <w:r w:rsidRPr="008B43F4">
              <w:t>Portion of Count</w:t>
            </w:r>
            <w:r>
              <w:t>ies</w:t>
            </w:r>
            <w:r w:rsidRPr="008B43F4">
              <w:t xml:space="preserve"> </w:t>
            </w:r>
          </w:p>
        </w:tc>
        <w:tc>
          <w:tcPr>
            <w:tcW w:w="10481" w:type="dxa"/>
            <w:vAlign w:val="top"/>
          </w:tcPr>
          <w:p w14:paraId="348D91B8" w14:textId="2E8921A4" w:rsidR="00E84551" w:rsidRPr="00624C21" w:rsidRDefault="00E84551" w:rsidP="00E84551">
            <w:pPr>
              <w:spacing w:after="0"/>
              <w:rPr>
                <w:color w:val="auto"/>
              </w:rPr>
            </w:pPr>
            <w:r w:rsidRPr="008C3E4F">
              <w:t xml:space="preserve">Transportation conformity does not apply for the </w:t>
            </w:r>
            <w:r w:rsidR="00EE1773">
              <w:t>SO</w:t>
            </w:r>
            <w:r w:rsidR="00EE1773" w:rsidRPr="0026771D">
              <w:rPr>
                <w:vertAlign w:val="subscript"/>
              </w:rPr>
              <w:t>2</w:t>
            </w:r>
            <w:r w:rsidRPr="008C3E4F">
              <w:t xml:space="preserve"> NAAQS</w:t>
            </w:r>
          </w:p>
        </w:tc>
        <w:tc>
          <w:tcPr>
            <w:tcW w:w="7480" w:type="dxa"/>
            <w:vAlign w:val="top"/>
          </w:tcPr>
          <w:p w14:paraId="361C04B4" w14:textId="67D406B9" w:rsidR="00E84551" w:rsidRPr="00624C21" w:rsidRDefault="00E84551" w:rsidP="00E84551">
            <w:pPr>
              <w:spacing w:after="0"/>
              <w:rPr>
                <w:color w:val="auto"/>
              </w:rPr>
            </w:pPr>
            <w:r w:rsidRPr="00B526BE">
              <w:t>Nonattainment</w:t>
            </w:r>
            <w:r w:rsidR="00B13C80">
              <w:fldChar w:fldCharType="begin"/>
            </w:r>
            <w:r w:rsidR="00B13C80">
              <w:instrText xml:space="preserve"> NOTEREF _Ref221035884 \f \h </w:instrText>
            </w:r>
            <w:r w:rsidR="00B13C80">
              <w:fldChar w:fldCharType="separate"/>
            </w:r>
            <w:r w:rsidR="00B13C80" w:rsidRPr="00B13C80">
              <w:rPr>
                <w:rStyle w:val="FootnoteReference"/>
              </w:rPr>
              <w:t>12</w:t>
            </w:r>
            <w:r w:rsidR="00B13C80">
              <w:fldChar w:fldCharType="end"/>
            </w:r>
            <w:r w:rsidR="00B13C80">
              <w:t>,</w:t>
            </w:r>
            <w:r w:rsidR="00B13C80">
              <w:fldChar w:fldCharType="begin"/>
            </w:r>
            <w:r w:rsidR="00B13C80">
              <w:instrText xml:space="preserve"> NOTEREF _Ref221035908 \f \h </w:instrText>
            </w:r>
            <w:r w:rsidR="00B13C80">
              <w:fldChar w:fldCharType="separate"/>
            </w:r>
            <w:r w:rsidR="00B13C80" w:rsidRPr="00B13C80">
              <w:rPr>
                <w:rStyle w:val="FootnoteReference"/>
              </w:rPr>
              <w:t>13</w:t>
            </w:r>
            <w:r w:rsidR="00B13C80">
              <w:fldChar w:fldCharType="end"/>
            </w:r>
            <w:r w:rsidRPr="00B526BE">
              <w:t xml:space="preserve">  </w:t>
            </w:r>
          </w:p>
        </w:tc>
      </w:tr>
      <w:tr w:rsidR="00E84551" w:rsidRPr="00624C21" w14:paraId="6C9FADB5" w14:textId="77777777" w:rsidTr="00185F5D">
        <w:trPr>
          <w:cnfStyle w:val="000000010000" w:firstRow="0" w:lastRow="0" w:firstColumn="0" w:lastColumn="0" w:oddVBand="0" w:evenVBand="0" w:oddHBand="0" w:evenHBand="1" w:firstRowFirstColumn="0" w:firstRowLastColumn="0" w:lastRowFirstColumn="0" w:lastRowLastColumn="0"/>
        </w:trPr>
        <w:tc>
          <w:tcPr>
            <w:tcW w:w="1870" w:type="dxa"/>
          </w:tcPr>
          <w:p w14:paraId="79F4DF49" w14:textId="453EE810" w:rsidR="00E84551" w:rsidRPr="00624C21" w:rsidRDefault="00E84551" w:rsidP="00E84551">
            <w:pPr>
              <w:spacing w:after="0"/>
              <w:rPr>
                <w:color w:val="auto"/>
              </w:rPr>
            </w:pPr>
            <w:r>
              <w:rPr>
                <w:color w:val="auto"/>
              </w:rPr>
              <w:t>Titus</w:t>
            </w:r>
          </w:p>
        </w:tc>
        <w:tc>
          <w:tcPr>
            <w:tcW w:w="3170" w:type="dxa"/>
            <w:vAlign w:val="top"/>
          </w:tcPr>
          <w:p w14:paraId="4226FEA9" w14:textId="6CBD582A" w:rsidR="00E84551" w:rsidRPr="00624C21" w:rsidRDefault="00E84551" w:rsidP="00E84551">
            <w:pPr>
              <w:spacing w:after="0"/>
              <w:rPr>
                <w:color w:val="auto"/>
              </w:rPr>
            </w:pPr>
            <w:r w:rsidRPr="008B43F4">
              <w:t>Portion of Count</w:t>
            </w:r>
            <w:r>
              <w:t>ies</w:t>
            </w:r>
            <w:r w:rsidRPr="008B43F4">
              <w:t xml:space="preserve"> </w:t>
            </w:r>
          </w:p>
        </w:tc>
        <w:tc>
          <w:tcPr>
            <w:tcW w:w="10481" w:type="dxa"/>
            <w:vAlign w:val="top"/>
          </w:tcPr>
          <w:p w14:paraId="6D047F12" w14:textId="6839A717" w:rsidR="00E84551" w:rsidRPr="00624C21" w:rsidRDefault="00E84551" w:rsidP="00E84551">
            <w:pPr>
              <w:spacing w:after="0"/>
              <w:rPr>
                <w:color w:val="auto"/>
              </w:rPr>
            </w:pPr>
            <w:r w:rsidRPr="008C3E4F">
              <w:t xml:space="preserve">Transportation conformity does not apply for the </w:t>
            </w:r>
            <w:r w:rsidR="00EE1773">
              <w:t>SO</w:t>
            </w:r>
            <w:r w:rsidR="00EE1773" w:rsidRPr="0026771D">
              <w:rPr>
                <w:vertAlign w:val="subscript"/>
              </w:rPr>
              <w:t>2</w:t>
            </w:r>
            <w:r w:rsidRPr="008C3E4F">
              <w:t xml:space="preserve"> NAAQS</w:t>
            </w:r>
          </w:p>
        </w:tc>
        <w:tc>
          <w:tcPr>
            <w:tcW w:w="7480" w:type="dxa"/>
            <w:vAlign w:val="top"/>
          </w:tcPr>
          <w:p w14:paraId="608BC209" w14:textId="67CDB07A" w:rsidR="00E84551" w:rsidRPr="00624C21" w:rsidRDefault="00E84551" w:rsidP="00E84551">
            <w:pPr>
              <w:spacing w:after="0"/>
              <w:rPr>
                <w:color w:val="auto"/>
              </w:rPr>
            </w:pPr>
            <w:r w:rsidRPr="00B526BE">
              <w:t>Nonattainment</w:t>
            </w:r>
            <w:r w:rsidR="00B13C80">
              <w:fldChar w:fldCharType="begin"/>
            </w:r>
            <w:r w:rsidR="00B13C80">
              <w:instrText xml:space="preserve"> NOTEREF _Ref221035884 \f \h </w:instrText>
            </w:r>
            <w:r w:rsidR="00B13C80">
              <w:fldChar w:fldCharType="separate"/>
            </w:r>
            <w:r w:rsidR="00B13C80" w:rsidRPr="00B13C80">
              <w:rPr>
                <w:rStyle w:val="FootnoteReference"/>
              </w:rPr>
              <w:t>12</w:t>
            </w:r>
            <w:r w:rsidR="00B13C80">
              <w:fldChar w:fldCharType="end"/>
            </w:r>
            <w:r w:rsidR="00B13C80">
              <w:t>,</w:t>
            </w:r>
            <w:r w:rsidR="00B13C80">
              <w:fldChar w:fldCharType="begin"/>
            </w:r>
            <w:r w:rsidR="00B13C80">
              <w:instrText xml:space="preserve"> NOTEREF _Ref221035908 \f \h </w:instrText>
            </w:r>
            <w:r w:rsidR="00B13C80">
              <w:fldChar w:fldCharType="separate"/>
            </w:r>
            <w:r w:rsidR="00B13C80" w:rsidRPr="00B13C80">
              <w:rPr>
                <w:rStyle w:val="FootnoteReference"/>
              </w:rPr>
              <w:t>13</w:t>
            </w:r>
            <w:r w:rsidR="00B13C80">
              <w:fldChar w:fldCharType="end"/>
            </w:r>
            <w:r w:rsidRPr="00B526BE">
              <w:t xml:space="preserve">  </w:t>
            </w:r>
          </w:p>
        </w:tc>
      </w:tr>
    </w:tbl>
    <w:p w14:paraId="49FCE866" w14:textId="77777777" w:rsidR="00D83DC6" w:rsidRDefault="00D83DC6" w:rsidP="00E411D0">
      <w:pPr>
        <w:keepNext/>
        <w:keepLines/>
        <w:widowControl w:val="0"/>
        <w:spacing w:before="240" w:after="0" w:line="336" w:lineRule="auto"/>
        <w:outlineLvl w:val="1"/>
        <w:rPr>
          <w:rFonts w:asciiTheme="majorHAnsi" w:hAnsiTheme="majorHAnsi"/>
          <w:b/>
          <w:color w:val="0056A9"/>
          <w:sz w:val="32"/>
          <w:szCs w:val="32"/>
        </w:rPr>
      </w:pPr>
      <w:bookmarkStart w:id="4" w:name="_Toc220394566"/>
    </w:p>
    <w:p w14:paraId="0978976B" w14:textId="77777777" w:rsidR="00D83DC6" w:rsidRDefault="00D83DC6">
      <w:pPr>
        <w:spacing w:after="0" w:line="240" w:lineRule="auto"/>
        <w:rPr>
          <w:rFonts w:asciiTheme="majorHAnsi" w:hAnsiTheme="majorHAnsi"/>
          <w:b/>
          <w:color w:val="0056A9"/>
          <w:sz w:val="32"/>
          <w:szCs w:val="32"/>
        </w:rPr>
      </w:pPr>
      <w:r>
        <w:rPr>
          <w:rFonts w:asciiTheme="majorHAnsi" w:hAnsiTheme="majorHAnsi"/>
          <w:b/>
          <w:color w:val="0056A9"/>
          <w:sz w:val="32"/>
          <w:szCs w:val="32"/>
        </w:rPr>
        <w:br w:type="page"/>
      </w:r>
    </w:p>
    <w:p w14:paraId="44BC61B5" w14:textId="066C72B1" w:rsidR="00E411D0" w:rsidRPr="00E411D0" w:rsidRDefault="00E411D0" w:rsidP="00E411D0">
      <w:pPr>
        <w:keepNext/>
        <w:keepLines/>
        <w:widowControl w:val="0"/>
        <w:spacing w:before="240" w:after="0" w:line="336" w:lineRule="auto"/>
        <w:outlineLvl w:val="1"/>
        <w:rPr>
          <w:rFonts w:asciiTheme="majorHAnsi" w:hAnsiTheme="majorHAnsi"/>
          <w:b/>
          <w:color w:val="0056A9"/>
          <w:sz w:val="32"/>
          <w:szCs w:val="32"/>
        </w:rPr>
      </w:pPr>
      <w:r w:rsidRPr="00E411D0">
        <w:rPr>
          <w:rFonts w:asciiTheme="majorHAnsi" w:hAnsiTheme="majorHAnsi"/>
          <w:b/>
          <w:color w:val="0056A9"/>
          <w:sz w:val="32"/>
          <w:szCs w:val="32"/>
        </w:rPr>
        <w:lastRenderedPageBreak/>
        <w:t>Revision History</w:t>
      </w:r>
      <w:bookmarkEnd w:id="4"/>
    </w:p>
    <w:p w14:paraId="5329CB1F" w14:textId="2A23CB57" w:rsidR="00E411D0" w:rsidRPr="009C0C97" w:rsidRDefault="00E411D0" w:rsidP="00E411D0">
      <w:pPr>
        <w:rPr>
          <w:b/>
          <w:bCs/>
          <w:color w:val="auto"/>
          <w:szCs w:val="20"/>
        </w:rPr>
      </w:pPr>
      <w:r w:rsidRPr="009C0C97">
        <w:rPr>
          <w:b/>
          <w:bCs/>
          <w:color w:val="auto"/>
          <w:szCs w:val="20"/>
        </w:rPr>
        <w:t>Table 4</w:t>
      </w:r>
      <w:r w:rsidR="005B5232">
        <w:rPr>
          <w:b/>
          <w:bCs/>
          <w:color w:val="auto"/>
          <w:szCs w:val="20"/>
        </w:rPr>
        <w:t>.</w:t>
      </w:r>
      <w:r w:rsidRPr="009C0C97">
        <w:rPr>
          <w:b/>
          <w:bCs/>
          <w:color w:val="auto"/>
          <w:szCs w:val="20"/>
        </w:rPr>
        <w:t xml:space="preserve"> </w:t>
      </w:r>
      <w:r w:rsidR="008E45D3">
        <w:rPr>
          <w:b/>
          <w:bCs/>
          <w:color w:val="auto"/>
          <w:szCs w:val="20"/>
        </w:rPr>
        <w:t>Document revision history</w:t>
      </w:r>
    </w:p>
    <w:tbl>
      <w:tblPr>
        <w:tblStyle w:val="ATFTxDOTTable"/>
        <w:tblW w:w="5000" w:type="pct"/>
        <w:tblInd w:w="0" w:type="dxa"/>
        <w:tblLook w:val="0420" w:firstRow="1" w:lastRow="0" w:firstColumn="0" w:lastColumn="0" w:noHBand="0" w:noVBand="1"/>
      </w:tblPr>
      <w:tblGrid>
        <w:gridCol w:w="7651"/>
        <w:gridCol w:w="15379"/>
      </w:tblGrid>
      <w:tr w:rsidR="00E411D0" w:rsidRPr="00E411D0" w14:paraId="6331975E" w14:textId="77777777" w:rsidTr="00366909">
        <w:trPr>
          <w:cnfStyle w:val="100000000000" w:firstRow="1" w:lastRow="0" w:firstColumn="0" w:lastColumn="0" w:oddVBand="0" w:evenVBand="0" w:oddHBand="0" w:evenHBand="0" w:firstRowFirstColumn="0" w:firstRowLastColumn="0" w:lastRowFirstColumn="0" w:lastRowLastColumn="0"/>
        </w:trPr>
        <w:tc>
          <w:tcPr>
            <w:tcW w:w="1661" w:type="pct"/>
          </w:tcPr>
          <w:p w14:paraId="05624646" w14:textId="77777777" w:rsidR="00E411D0" w:rsidRPr="00E411D0" w:rsidRDefault="00E411D0" w:rsidP="00E411D0">
            <w:pPr>
              <w:rPr>
                <w:color w:val="FFFFFF" w:themeColor="background1"/>
                <w:szCs w:val="20"/>
              </w:rPr>
            </w:pPr>
            <w:r w:rsidRPr="00E411D0">
              <w:rPr>
                <w:color w:val="FFFFFF" w:themeColor="background1"/>
                <w:szCs w:val="20"/>
              </w:rPr>
              <w:t>Effective date (month year)</w:t>
            </w:r>
          </w:p>
        </w:tc>
        <w:tc>
          <w:tcPr>
            <w:tcW w:w="3339" w:type="pct"/>
          </w:tcPr>
          <w:p w14:paraId="262E8F06" w14:textId="77777777" w:rsidR="00E411D0" w:rsidRPr="00E411D0" w:rsidRDefault="00E411D0" w:rsidP="00E411D0">
            <w:pPr>
              <w:rPr>
                <w:color w:val="FFFFFF" w:themeColor="background1"/>
                <w:szCs w:val="20"/>
              </w:rPr>
            </w:pPr>
            <w:r w:rsidRPr="00E411D0">
              <w:rPr>
                <w:color w:val="FFFFFF" w:themeColor="background1"/>
                <w:szCs w:val="20"/>
              </w:rPr>
              <w:t>Reason for and description of change</w:t>
            </w:r>
          </w:p>
        </w:tc>
      </w:tr>
      <w:tr w:rsidR="00E411D0" w:rsidRPr="00E411D0" w14:paraId="6838151F"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0088E837" w14:textId="1328EA7F" w:rsidR="00E411D0" w:rsidRPr="00E411D0" w:rsidRDefault="001807C8" w:rsidP="00E411D0">
            <w:pPr>
              <w:rPr>
                <w:b/>
                <w:bCs/>
                <w:color w:val="auto"/>
                <w:szCs w:val="20"/>
              </w:rPr>
            </w:pPr>
            <w:r>
              <w:rPr>
                <w:color w:val="auto"/>
                <w:szCs w:val="20"/>
              </w:rPr>
              <w:t>February</w:t>
            </w:r>
            <w:r w:rsidR="00E411D0" w:rsidRPr="00E411D0">
              <w:rPr>
                <w:color w:val="auto"/>
                <w:szCs w:val="20"/>
              </w:rPr>
              <w:t xml:space="preserve"> 2026</w:t>
            </w:r>
          </w:p>
        </w:tc>
        <w:tc>
          <w:tcPr>
            <w:tcW w:w="3339" w:type="pct"/>
          </w:tcPr>
          <w:p w14:paraId="1F412B26" w14:textId="53FB53AF" w:rsidR="00E411D0" w:rsidRPr="00E411D0" w:rsidRDefault="00E411D0" w:rsidP="00E411D0">
            <w:pPr>
              <w:rPr>
                <w:color w:val="auto"/>
                <w:szCs w:val="20"/>
              </w:rPr>
            </w:pPr>
            <w:r w:rsidRPr="00E411D0">
              <w:rPr>
                <w:color w:val="auto"/>
                <w:szCs w:val="20"/>
              </w:rPr>
              <w:t xml:space="preserve">Version </w:t>
            </w:r>
            <w:r w:rsidR="00310AB1">
              <w:rPr>
                <w:color w:val="auto"/>
                <w:szCs w:val="20"/>
              </w:rPr>
              <w:t>33</w:t>
            </w:r>
          </w:p>
          <w:p w14:paraId="222107E1" w14:textId="77777777" w:rsidR="00E411D0" w:rsidRPr="00E411D0" w:rsidRDefault="00E411D0" w:rsidP="008E45D3">
            <w:pPr>
              <w:pStyle w:val="ListBullet"/>
            </w:pPr>
            <w:r w:rsidRPr="00E411D0">
              <w:t>Updated to comply with accessibility and TxDOT branding.</w:t>
            </w:r>
          </w:p>
        </w:tc>
      </w:tr>
      <w:tr w:rsidR="00E411D0" w:rsidRPr="00E411D0" w14:paraId="29C2AF55"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4A8F284E" w14:textId="2DF89845" w:rsidR="00E411D0" w:rsidRPr="00E411D0" w:rsidRDefault="00ED2A78" w:rsidP="00E411D0">
            <w:pPr>
              <w:rPr>
                <w:b/>
                <w:bCs/>
                <w:color w:val="auto"/>
                <w:szCs w:val="20"/>
              </w:rPr>
            </w:pPr>
            <w:r>
              <w:rPr>
                <w:color w:val="auto"/>
                <w:szCs w:val="20"/>
              </w:rPr>
              <w:t xml:space="preserve">November </w:t>
            </w:r>
            <w:r w:rsidR="00E411D0" w:rsidRPr="00E411D0">
              <w:rPr>
                <w:color w:val="auto"/>
                <w:szCs w:val="20"/>
              </w:rPr>
              <w:t>2025</w:t>
            </w:r>
          </w:p>
        </w:tc>
        <w:tc>
          <w:tcPr>
            <w:tcW w:w="3339" w:type="pct"/>
          </w:tcPr>
          <w:p w14:paraId="710A18FE" w14:textId="786C1F3B" w:rsidR="00E411D0" w:rsidRPr="00E411D0" w:rsidRDefault="00E411D0" w:rsidP="00E411D0">
            <w:pPr>
              <w:rPr>
                <w:color w:val="auto"/>
                <w:szCs w:val="20"/>
              </w:rPr>
            </w:pPr>
            <w:r w:rsidRPr="00E411D0">
              <w:rPr>
                <w:color w:val="auto"/>
                <w:szCs w:val="20"/>
              </w:rPr>
              <w:t xml:space="preserve">Version </w:t>
            </w:r>
            <w:r w:rsidR="00ED2A78">
              <w:rPr>
                <w:color w:val="auto"/>
                <w:szCs w:val="20"/>
              </w:rPr>
              <w:t>32</w:t>
            </w:r>
          </w:p>
          <w:p w14:paraId="2B6DAE41" w14:textId="1344CFE4" w:rsidR="00E411D0" w:rsidRPr="00E411D0" w:rsidRDefault="00FB6FD4" w:rsidP="00FB6FD4">
            <w:pPr>
              <w:pStyle w:val="ListBullet"/>
            </w:pPr>
            <w:r>
              <w:t>FHWA approved the Almo Area Metropolitan Planning Organization’s (AAMPO’s) MTP and TIP. Additionally, a column was added to include the 4-year conformity due date for each Metropolitan Planning Organization’s (MPO’s) metropolitan transportation plan or regional transportation plan.</w:t>
            </w:r>
          </w:p>
        </w:tc>
      </w:tr>
      <w:tr w:rsidR="00ED2A78" w:rsidRPr="00E411D0" w14:paraId="14DF1A2A"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707536E3" w14:textId="257B05F6" w:rsidR="00ED2A78" w:rsidRPr="00E411D0" w:rsidRDefault="00245D3B" w:rsidP="00E411D0">
            <w:pPr>
              <w:rPr>
                <w:b/>
                <w:bCs/>
                <w:color w:val="auto"/>
                <w:szCs w:val="20"/>
              </w:rPr>
            </w:pPr>
            <w:r>
              <w:rPr>
                <w:color w:val="auto"/>
                <w:szCs w:val="20"/>
              </w:rPr>
              <w:t>September 2025</w:t>
            </w:r>
          </w:p>
        </w:tc>
        <w:tc>
          <w:tcPr>
            <w:tcW w:w="3339" w:type="pct"/>
          </w:tcPr>
          <w:p w14:paraId="3207A27A" w14:textId="2703B4F4" w:rsidR="00ED2A78" w:rsidRDefault="00ED2A78" w:rsidP="00ED2A78">
            <w:pPr>
              <w:rPr>
                <w:color w:val="auto"/>
                <w:szCs w:val="20"/>
              </w:rPr>
            </w:pPr>
            <w:r w:rsidRPr="00E411D0">
              <w:rPr>
                <w:color w:val="auto"/>
                <w:szCs w:val="20"/>
              </w:rPr>
              <w:t xml:space="preserve">Version </w:t>
            </w:r>
            <w:r>
              <w:rPr>
                <w:color w:val="auto"/>
                <w:szCs w:val="20"/>
              </w:rPr>
              <w:t>31</w:t>
            </w:r>
          </w:p>
          <w:p w14:paraId="5BC7A3AD" w14:textId="703D91AE" w:rsidR="00ED2A78" w:rsidRPr="00E411D0" w:rsidRDefault="00245D3B" w:rsidP="00245D3B">
            <w:pPr>
              <w:pStyle w:val="ListBullet"/>
              <w:rPr>
                <w:color w:val="auto"/>
                <w:szCs w:val="20"/>
              </w:rPr>
            </w:pPr>
            <w:r>
              <w:t>The EPA found requirements from the nonattainment status for the Rusk and Panola SO</w:t>
            </w:r>
            <w:r w:rsidRPr="0026771D">
              <w:rPr>
                <w:vertAlign w:val="subscript"/>
              </w:rPr>
              <w:t>2</w:t>
            </w:r>
            <w:r>
              <w:t xml:space="preserve"> nonattainment areas as no longer applicable, effective September 5, 2025.</w:t>
            </w:r>
          </w:p>
        </w:tc>
      </w:tr>
      <w:tr w:rsidR="00ED2A78" w:rsidRPr="00E411D0" w14:paraId="07856165"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3210BD17" w14:textId="78A49EFB" w:rsidR="00ED2A78" w:rsidRPr="00E411D0" w:rsidRDefault="006B588E" w:rsidP="00E411D0">
            <w:pPr>
              <w:rPr>
                <w:b/>
                <w:bCs/>
                <w:color w:val="auto"/>
                <w:szCs w:val="20"/>
              </w:rPr>
            </w:pPr>
            <w:r>
              <w:rPr>
                <w:color w:val="auto"/>
                <w:szCs w:val="20"/>
              </w:rPr>
              <w:t>April 2025</w:t>
            </w:r>
          </w:p>
        </w:tc>
        <w:tc>
          <w:tcPr>
            <w:tcW w:w="3339" w:type="pct"/>
          </w:tcPr>
          <w:p w14:paraId="5DD29962" w14:textId="7656F302" w:rsidR="00ED2A78" w:rsidRDefault="00ED2A78" w:rsidP="00ED2A78">
            <w:pPr>
              <w:rPr>
                <w:color w:val="auto"/>
                <w:szCs w:val="20"/>
              </w:rPr>
            </w:pPr>
            <w:r w:rsidRPr="00E411D0">
              <w:rPr>
                <w:color w:val="auto"/>
                <w:szCs w:val="20"/>
              </w:rPr>
              <w:t xml:space="preserve">Version </w:t>
            </w:r>
            <w:r>
              <w:rPr>
                <w:color w:val="auto"/>
                <w:szCs w:val="20"/>
              </w:rPr>
              <w:t>30</w:t>
            </w:r>
          </w:p>
          <w:p w14:paraId="4732EB9B" w14:textId="5A52ADCA" w:rsidR="00ED2A78" w:rsidRPr="00E411D0" w:rsidRDefault="006B588E" w:rsidP="006B588E">
            <w:pPr>
              <w:pStyle w:val="ListBullet"/>
              <w:rPr>
                <w:color w:val="auto"/>
                <w:szCs w:val="20"/>
              </w:rPr>
            </w:pPr>
            <w:r>
              <w:t>FHWA approved the El Paso MPO’s Amended RMS 2050 Metropolitan Transportation Plan (MTP) and 2025-2028 TIP, effective April 17, 2025.</w:t>
            </w:r>
          </w:p>
        </w:tc>
      </w:tr>
      <w:tr w:rsidR="00ED2A78" w:rsidRPr="00E411D0" w14:paraId="379F865C"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6069EB49" w14:textId="52F7F43F" w:rsidR="00ED2A78" w:rsidRPr="00E411D0" w:rsidRDefault="00013BE5" w:rsidP="00E411D0">
            <w:pPr>
              <w:rPr>
                <w:b/>
                <w:bCs/>
                <w:color w:val="auto"/>
                <w:szCs w:val="20"/>
              </w:rPr>
            </w:pPr>
            <w:r>
              <w:rPr>
                <w:color w:val="auto"/>
                <w:szCs w:val="20"/>
              </w:rPr>
              <w:t>November 2024</w:t>
            </w:r>
          </w:p>
        </w:tc>
        <w:tc>
          <w:tcPr>
            <w:tcW w:w="3339" w:type="pct"/>
          </w:tcPr>
          <w:p w14:paraId="58D76ECC" w14:textId="5456CE0F" w:rsidR="00ED2A78" w:rsidRDefault="00ED2A78" w:rsidP="00ED2A78">
            <w:pPr>
              <w:rPr>
                <w:color w:val="auto"/>
                <w:szCs w:val="20"/>
              </w:rPr>
            </w:pPr>
            <w:r w:rsidRPr="00E411D0">
              <w:rPr>
                <w:color w:val="auto"/>
                <w:szCs w:val="20"/>
              </w:rPr>
              <w:t xml:space="preserve">Version </w:t>
            </w:r>
            <w:r>
              <w:rPr>
                <w:color w:val="auto"/>
                <w:szCs w:val="20"/>
              </w:rPr>
              <w:t>29</w:t>
            </w:r>
          </w:p>
          <w:p w14:paraId="5A743845" w14:textId="7FBF6604" w:rsidR="00ED2A78" w:rsidRPr="00E411D0" w:rsidRDefault="007477B7" w:rsidP="007477B7">
            <w:pPr>
              <w:pStyle w:val="ListBullet"/>
              <w:rPr>
                <w:color w:val="auto"/>
                <w:szCs w:val="20"/>
              </w:rPr>
            </w:pPr>
            <w:r>
              <w:t xml:space="preserve">On October 18, 2024, FHWA approved the 2025-2028 STIP </w:t>
            </w:r>
            <w:r w:rsidR="00013BE5">
              <w:t>except for</w:t>
            </w:r>
            <w:r>
              <w:t xml:space="preserve"> the </w:t>
            </w:r>
            <w:r w:rsidRPr="000742E7">
              <w:t xml:space="preserve">Southeast Texas Regional Planning Commission Metropolitan Planning Organization’s (SETRPC-MPO’s) </w:t>
            </w:r>
            <w:r>
              <w:t xml:space="preserve">TIP. On November 18, 2024, </w:t>
            </w:r>
            <w:r w:rsidR="0001509C">
              <w:t>Federal Highway Administration (</w:t>
            </w:r>
            <w:r>
              <w:t>FHWA</w:t>
            </w:r>
            <w:r w:rsidR="0001509C">
              <w:t>)</w:t>
            </w:r>
            <w:r>
              <w:t xml:space="preserve"> approved </w:t>
            </w:r>
            <w:r w:rsidRPr="000742E7">
              <w:t>SETRPC-MPO’s</w:t>
            </w:r>
            <w:r>
              <w:t xml:space="preserve"> </w:t>
            </w:r>
            <w:r w:rsidRPr="00BE1EFF">
              <w:t>2045 Metropolitan Transportation Plan (2050 MTP)</w:t>
            </w:r>
            <w:r>
              <w:t xml:space="preserve"> and </w:t>
            </w:r>
            <w:r w:rsidRPr="00BE1EFF">
              <w:t>2025-</w:t>
            </w:r>
            <w:r>
              <w:t>20</w:t>
            </w:r>
            <w:r w:rsidRPr="00BE1EFF">
              <w:t>28 TIP</w:t>
            </w:r>
            <w:r>
              <w:t>.</w:t>
            </w:r>
          </w:p>
        </w:tc>
      </w:tr>
      <w:tr w:rsidR="00ED2A78" w:rsidRPr="00E411D0" w14:paraId="4AF99ADB"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56558150" w14:textId="14C83716" w:rsidR="00ED2A78" w:rsidRPr="00E411D0" w:rsidRDefault="000A3FE2" w:rsidP="00E411D0">
            <w:pPr>
              <w:rPr>
                <w:b/>
                <w:bCs/>
                <w:color w:val="auto"/>
                <w:szCs w:val="20"/>
              </w:rPr>
            </w:pPr>
            <w:r>
              <w:rPr>
                <w:color w:val="auto"/>
                <w:szCs w:val="20"/>
              </w:rPr>
              <w:t>July 2024</w:t>
            </w:r>
          </w:p>
        </w:tc>
        <w:tc>
          <w:tcPr>
            <w:tcW w:w="3339" w:type="pct"/>
          </w:tcPr>
          <w:p w14:paraId="4BE0F130" w14:textId="66EB8ED4" w:rsidR="00ED2A78" w:rsidRDefault="00ED2A78" w:rsidP="00ED2A78">
            <w:pPr>
              <w:rPr>
                <w:color w:val="auto"/>
                <w:szCs w:val="20"/>
              </w:rPr>
            </w:pPr>
            <w:r w:rsidRPr="00E411D0">
              <w:rPr>
                <w:color w:val="auto"/>
                <w:szCs w:val="20"/>
              </w:rPr>
              <w:t xml:space="preserve">Version </w:t>
            </w:r>
            <w:r>
              <w:rPr>
                <w:color w:val="auto"/>
                <w:szCs w:val="20"/>
              </w:rPr>
              <w:t>28</w:t>
            </w:r>
          </w:p>
          <w:p w14:paraId="294EB16E" w14:textId="6C549890" w:rsidR="00ED2A78" w:rsidRPr="00E411D0" w:rsidRDefault="000A3FE2" w:rsidP="000A3FE2">
            <w:pPr>
              <w:pStyle w:val="ListBullet"/>
              <w:rPr>
                <w:color w:val="auto"/>
                <w:szCs w:val="20"/>
              </w:rPr>
            </w:pPr>
            <w:r>
              <w:lastRenderedPageBreak/>
              <w:t>On June 20, 2024, EPA reclassified the DFW, HGB, and SAT 2015 ozone nonattainment areas from moderate to serious with an effective date of July 22, 2024.</w:t>
            </w:r>
          </w:p>
        </w:tc>
      </w:tr>
      <w:tr w:rsidR="00ED2A78" w:rsidRPr="00E411D0" w14:paraId="540484B5"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419B5C1C" w14:textId="5A2F412C" w:rsidR="00ED2A78" w:rsidRPr="00E411D0" w:rsidRDefault="00857AAD" w:rsidP="00E411D0">
            <w:pPr>
              <w:rPr>
                <w:b/>
                <w:bCs/>
                <w:color w:val="auto"/>
                <w:szCs w:val="20"/>
              </w:rPr>
            </w:pPr>
            <w:r>
              <w:rPr>
                <w:color w:val="auto"/>
                <w:szCs w:val="20"/>
              </w:rPr>
              <w:lastRenderedPageBreak/>
              <w:t>December 2023</w:t>
            </w:r>
          </w:p>
        </w:tc>
        <w:tc>
          <w:tcPr>
            <w:tcW w:w="3339" w:type="pct"/>
          </w:tcPr>
          <w:p w14:paraId="62AAC983" w14:textId="5CB3A93D" w:rsidR="00ED2A78" w:rsidRDefault="00ED2A78" w:rsidP="00ED2A78">
            <w:pPr>
              <w:rPr>
                <w:color w:val="auto"/>
                <w:szCs w:val="20"/>
              </w:rPr>
            </w:pPr>
            <w:r w:rsidRPr="00E411D0">
              <w:rPr>
                <w:color w:val="auto"/>
                <w:szCs w:val="20"/>
              </w:rPr>
              <w:t xml:space="preserve">Version </w:t>
            </w:r>
            <w:r>
              <w:rPr>
                <w:color w:val="auto"/>
                <w:szCs w:val="20"/>
              </w:rPr>
              <w:t>27</w:t>
            </w:r>
          </w:p>
          <w:p w14:paraId="002985F4" w14:textId="43104B42" w:rsidR="00ED2A78" w:rsidRPr="00E411D0" w:rsidRDefault="00857AAD" w:rsidP="00857AAD">
            <w:pPr>
              <w:pStyle w:val="ListBullet"/>
              <w:rPr>
                <w:color w:val="auto"/>
                <w:szCs w:val="20"/>
              </w:rPr>
            </w:pPr>
            <w:r>
              <w:t>On June 30, 2023, the D.C. Circuit Court issued a decision to reverse the EPA’s multistate attainment area designation, which reverted El Paso County back to its prior attainment designation.</w:t>
            </w:r>
          </w:p>
        </w:tc>
      </w:tr>
      <w:tr w:rsidR="00ED2A78" w:rsidRPr="00E411D0" w14:paraId="0540F434"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0E5CDFF4" w14:textId="5D16DAE9" w:rsidR="00ED2A78" w:rsidRPr="00E411D0" w:rsidRDefault="00DC6661" w:rsidP="00E411D0">
            <w:pPr>
              <w:rPr>
                <w:b/>
                <w:bCs/>
                <w:color w:val="auto"/>
                <w:szCs w:val="20"/>
              </w:rPr>
            </w:pPr>
            <w:r>
              <w:rPr>
                <w:color w:val="auto"/>
                <w:szCs w:val="20"/>
              </w:rPr>
              <w:t>November 2023</w:t>
            </w:r>
          </w:p>
        </w:tc>
        <w:tc>
          <w:tcPr>
            <w:tcW w:w="3339" w:type="pct"/>
          </w:tcPr>
          <w:p w14:paraId="4E60C55B" w14:textId="54809CD2" w:rsidR="00ED2A78" w:rsidRDefault="00ED2A78" w:rsidP="00ED2A78">
            <w:pPr>
              <w:rPr>
                <w:color w:val="auto"/>
                <w:szCs w:val="20"/>
              </w:rPr>
            </w:pPr>
            <w:r w:rsidRPr="00E411D0">
              <w:rPr>
                <w:color w:val="auto"/>
                <w:szCs w:val="20"/>
              </w:rPr>
              <w:t xml:space="preserve">Version </w:t>
            </w:r>
            <w:r>
              <w:rPr>
                <w:color w:val="auto"/>
                <w:szCs w:val="20"/>
              </w:rPr>
              <w:t>26</w:t>
            </w:r>
          </w:p>
          <w:p w14:paraId="1C084B64" w14:textId="30207D47" w:rsidR="00ED2A78" w:rsidRPr="00E411D0" w:rsidRDefault="00DC6661" w:rsidP="00DC6661">
            <w:pPr>
              <w:pStyle w:val="ListBullet"/>
              <w:rPr>
                <w:color w:val="auto"/>
                <w:szCs w:val="20"/>
              </w:rPr>
            </w:pPr>
            <w:r>
              <w:t xml:space="preserve">FHWA approved the </w:t>
            </w:r>
            <w:r w:rsidRPr="009A002A">
              <w:t>Southeast Texas Regional Planning</w:t>
            </w:r>
            <w:r>
              <w:t xml:space="preserve"> </w:t>
            </w:r>
            <w:r w:rsidRPr="009A002A">
              <w:t>Commission Metropolitan Planning Organization’s (SETRPC-MPO</w:t>
            </w:r>
            <w:r>
              <w:t>’s</w:t>
            </w:r>
            <w:r w:rsidRPr="009A002A">
              <w:t>)</w:t>
            </w:r>
            <w:r>
              <w:t xml:space="preserve"> new conformity determination for their existing 2045 MTP and 2023-2026 TIP, effective November 20, 2023. This regional conformity determination restarts the four-year conformity clock; however, since this regional conformity determination is associated with the existing plan and not a new one, the five-year plan update clock has not restarted and is still set to expire on November 21, 2024.</w:t>
            </w:r>
          </w:p>
        </w:tc>
      </w:tr>
      <w:tr w:rsidR="00ED2A78" w:rsidRPr="00E411D0" w14:paraId="649F22FA"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1443643A" w14:textId="736C28F4" w:rsidR="00ED2A78" w:rsidRPr="00E411D0" w:rsidRDefault="00607A62" w:rsidP="00E411D0">
            <w:pPr>
              <w:rPr>
                <w:b/>
                <w:bCs/>
                <w:color w:val="auto"/>
                <w:szCs w:val="20"/>
              </w:rPr>
            </w:pPr>
            <w:r>
              <w:rPr>
                <w:color w:val="auto"/>
                <w:szCs w:val="20"/>
              </w:rPr>
              <w:t>November 2023</w:t>
            </w:r>
          </w:p>
        </w:tc>
        <w:tc>
          <w:tcPr>
            <w:tcW w:w="3339" w:type="pct"/>
          </w:tcPr>
          <w:p w14:paraId="5948BAB9" w14:textId="43711CDC" w:rsidR="00ED2A78" w:rsidRDefault="00ED2A78" w:rsidP="00ED2A78">
            <w:pPr>
              <w:rPr>
                <w:color w:val="auto"/>
                <w:szCs w:val="20"/>
              </w:rPr>
            </w:pPr>
            <w:r w:rsidRPr="00E411D0">
              <w:rPr>
                <w:color w:val="auto"/>
                <w:szCs w:val="20"/>
              </w:rPr>
              <w:t xml:space="preserve">Version </w:t>
            </w:r>
            <w:r>
              <w:rPr>
                <w:color w:val="auto"/>
                <w:szCs w:val="20"/>
              </w:rPr>
              <w:t>25</w:t>
            </w:r>
          </w:p>
          <w:p w14:paraId="7868B971" w14:textId="09C6FB17" w:rsidR="00ED2A78" w:rsidRPr="00E411D0" w:rsidRDefault="00607A62" w:rsidP="00607A62">
            <w:pPr>
              <w:pStyle w:val="ListBullet"/>
              <w:rPr>
                <w:color w:val="auto"/>
                <w:szCs w:val="20"/>
              </w:rPr>
            </w:pPr>
            <w:r>
              <w:t>FHWA approved Houston-Galveston MPO’s 2045 Regional Transportation Plan Update (2045 RTP Update) and 2023-2026 TIP, effective November 1, 2023.</w:t>
            </w:r>
          </w:p>
        </w:tc>
      </w:tr>
      <w:tr w:rsidR="00ED2A78" w:rsidRPr="00E411D0" w14:paraId="46F57E82"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33AA3934" w14:textId="7E6D74B3" w:rsidR="00ED2A78" w:rsidRPr="00E411D0" w:rsidRDefault="009B319A" w:rsidP="00E411D0">
            <w:pPr>
              <w:rPr>
                <w:b/>
                <w:bCs/>
                <w:color w:val="auto"/>
                <w:szCs w:val="20"/>
              </w:rPr>
            </w:pPr>
            <w:r>
              <w:rPr>
                <w:color w:val="auto"/>
                <w:szCs w:val="20"/>
              </w:rPr>
              <w:t>August 2023</w:t>
            </w:r>
          </w:p>
        </w:tc>
        <w:tc>
          <w:tcPr>
            <w:tcW w:w="3339" w:type="pct"/>
          </w:tcPr>
          <w:p w14:paraId="14655CDB" w14:textId="1749C453" w:rsidR="00ED2A78" w:rsidRDefault="00ED2A78" w:rsidP="00ED2A78">
            <w:pPr>
              <w:rPr>
                <w:color w:val="auto"/>
                <w:szCs w:val="20"/>
              </w:rPr>
            </w:pPr>
            <w:r w:rsidRPr="00E411D0">
              <w:rPr>
                <w:color w:val="auto"/>
                <w:szCs w:val="20"/>
              </w:rPr>
              <w:t xml:space="preserve">Version </w:t>
            </w:r>
            <w:r>
              <w:rPr>
                <w:color w:val="auto"/>
                <w:szCs w:val="20"/>
              </w:rPr>
              <w:t>24</w:t>
            </w:r>
          </w:p>
          <w:p w14:paraId="246161E6" w14:textId="59DB88DC" w:rsidR="00ED2A78" w:rsidRPr="00E411D0" w:rsidRDefault="009B319A" w:rsidP="009B319A">
            <w:pPr>
              <w:pStyle w:val="ListBullet"/>
              <w:rPr>
                <w:color w:val="auto"/>
                <w:szCs w:val="20"/>
              </w:rPr>
            </w:pPr>
            <w:r>
              <w:t>FHWA approved AAMPO’s 2050 Metropolitan Transportation Plan (2050 MTP) and 2023-2026 TIP, effective August 3, 2023</w:t>
            </w:r>
          </w:p>
        </w:tc>
      </w:tr>
      <w:tr w:rsidR="00ED2A78" w:rsidRPr="00E411D0" w14:paraId="5C398C6B"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6E448095" w14:textId="758C438C" w:rsidR="00ED2A78" w:rsidRPr="00E411D0" w:rsidRDefault="00751316" w:rsidP="00E411D0">
            <w:pPr>
              <w:rPr>
                <w:b/>
                <w:bCs/>
                <w:color w:val="auto"/>
                <w:szCs w:val="20"/>
              </w:rPr>
            </w:pPr>
            <w:r>
              <w:rPr>
                <w:color w:val="auto"/>
                <w:szCs w:val="20"/>
              </w:rPr>
              <w:t>March 2023</w:t>
            </w:r>
          </w:p>
        </w:tc>
        <w:tc>
          <w:tcPr>
            <w:tcW w:w="3339" w:type="pct"/>
          </w:tcPr>
          <w:p w14:paraId="3A9CE382" w14:textId="63FCEDF5" w:rsidR="00ED2A78" w:rsidRDefault="00ED2A78" w:rsidP="00ED2A78">
            <w:pPr>
              <w:rPr>
                <w:color w:val="auto"/>
                <w:szCs w:val="20"/>
              </w:rPr>
            </w:pPr>
            <w:r w:rsidRPr="00E411D0">
              <w:rPr>
                <w:color w:val="auto"/>
                <w:szCs w:val="20"/>
              </w:rPr>
              <w:t xml:space="preserve">Version </w:t>
            </w:r>
            <w:r>
              <w:rPr>
                <w:color w:val="auto"/>
                <w:szCs w:val="20"/>
              </w:rPr>
              <w:t>23</w:t>
            </w:r>
          </w:p>
          <w:p w14:paraId="5505D7ED" w14:textId="01B3ABBB" w:rsidR="00ED2A78" w:rsidRPr="00E411D0" w:rsidRDefault="00751316" w:rsidP="00751316">
            <w:pPr>
              <w:pStyle w:val="ListBullet"/>
              <w:rPr>
                <w:color w:val="auto"/>
                <w:szCs w:val="20"/>
              </w:rPr>
            </w:pPr>
            <w:r w:rsidRPr="003F3305">
              <w:t>Footnotes pertaining to the re-designation of the 2008 ozone nonattainment areas of DFW and HGB from serious to severe were elaborated upon to include the specific designation of severe-15 nonattainment for the 2008 NAAQS, as identified in EPA’s Greenbook.</w:t>
            </w:r>
          </w:p>
        </w:tc>
      </w:tr>
      <w:tr w:rsidR="00ED2A78" w:rsidRPr="00E411D0" w14:paraId="1E5D1EDE"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51198D02" w14:textId="03A9F360" w:rsidR="00ED2A78" w:rsidRPr="00E411D0" w:rsidRDefault="00645E61" w:rsidP="00E411D0">
            <w:pPr>
              <w:rPr>
                <w:b/>
                <w:bCs/>
                <w:color w:val="auto"/>
                <w:szCs w:val="20"/>
              </w:rPr>
            </w:pPr>
            <w:r>
              <w:rPr>
                <w:color w:val="auto"/>
                <w:szCs w:val="20"/>
              </w:rPr>
              <w:t>January 2023</w:t>
            </w:r>
          </w:p>
        </w:tc>
        <w:tc>
          <w:tcPr>
            <w:tcW w:w="3339" w:type="pct"/>
          </w:tcPr>
          <w:p w14:paraId="784878CF" w14:textId="6922FDDC" w:rsidR="00ED2A78" w:rsidRDefault="00ED2A78" w:rsidP="00ED2A78">
            <w:pPr>
              <w:rPr>
                <w:color w:val="auto"/>
                <w:szCs w:val="20"/>
              </w:rPr>
            </w:pPr>
            <w:r w:rsidRPr="00E411D0">
              <w:rPr>
                <w:color w:val="auto"/>
                <w:szCs w:val="20"/>
              </w:rPr>
              <w:t xml:space="preserve">Version </w:t>
            </w:r>
            <w:r>
              <w:rPr>
                <w:color w:val="auto"/>
                <w:szCs w:val="20"/>
              </w:rPr>
              <w:t>22</w:t>
            </w:r>
          </w:p>
          <w:p w14:paraId="5C435693" w14:textId="58E28750" w:rsidR="00ED2A78" w:rsidRPr="00E411D0" w:rsidRDefault="00645E61" w:rsidP="00645E61">
            <w:pPr>
              <w:pStyle w:val="ListBullet"/>
              <w:rPr>
                <w:color w:val="auto"/>
                <w:szCs w:val="20"/>
              </w:rPr>
            </w:pPr>
            <w:r>
              <w:t>FHWA approved DFW’s Mobility 2045 – 2022 Update and 2023-2026 TIP, effective December 15, 2022.</w:t>
            </w:r>
          </w:p>
        </w:tc>
      </w:tr>
      <w:tr w:rsidR="00ED2A78" w:rsidRPr="00E411D0" w14:paraId="6CA81ADE"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4603B6CC" w14:textId="5FABD464" w:rsidR="00ED2A78" w:rsidRPr="00E411D0" w:rsidRDefault="00536914" w:rsidP="00E411D0">
            <w:pPr>
              <w:rPr>
                <w:b/>
                <w:bCs/>
                <w:color w:val="auto"/>
                <w:szCs w:val="20"/>
              </w:rPr>
            </w:pPr>
            <w:r>
              <w:rPr>
                <w:color w:val="auto"/>
                <w:szCs w:val="20"/>
              </w:rPr>
              <w:lastRenderedPageBreak/>
              <w:t>December 2022</w:t>
            </w:r>
          </w:p>
        </w:tc>
        <w:tc>
          <w:tcPr>
            <w:tcW w:w="3339" w:type="pct"/>
          </w:tcPr>
          <w:p w14:paraId="7D1401A0" w14:textId="76EA2264" w:rsidR="00ED2A78" w:rsidRDefault="00ED2A78" w:rsidP="00ED2A78">
            <w:pPr>
              <w:rPr>
                <w:color w:val="auto"/>
                <w:szCs w:val="20"/>
              </w:rPr>
            </w:pPr>
            <w:r w:rsidRPr="00E411D0">
              <w:rPr>
                <w:color w:val="auto"/>
                <w:szCs w:val="20"/>
              </w:rPr>
              <w:t xml:space="preserve">Version </w:t>
            </w:r>
            <w:r>
              <w:rPr>
                <w:color w:val="auto"/>
                <w:szCs w:val="20"/>
              </w:rPr>
              <w:t>21</w:t>
            </w:r>
          </w:p>
          <w:p w14:paraId="17888D79" w14:textId="2E92B6F8" w:rsidR="00ED2A78" w:rsidRPr="00E411D0" w:rsidRDefault="00536914" w:rsidP="00536914">
            <w:pPr>
              <w:pStyle w:val="ListBullet"/>
              <w:rPr>
                <w:color w:val="auto"/>
                <w:szCs w:val="20"/>
              </w:rPr>
            </w:pPr>
            <w:r>
              <w:t>FHWA</w:t>
            </w:r>
            <w:r w:rsidR="009F0E2A">
              <w:t xml:space="preserve"> and </w:t>
            </w:r>
            <w:r>
              <w:t>FTA approved the 2023-2026 STIP, effective November 18, 2022.</w:t>
            </w:r>
          </w:p>
        </w:tc>
      </w:tr>
      <w:tr w:rsidR="00ED2A78" w:rsidRPr="00E411D0" w14:paraId="504C384F"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7DB53D6D" w14:textId="7EC8AC51" w:rsidR="00ED2A78" w:rsidRPr="00E411D0" w:rsidRDefault="00E17FF9" w:rsidP="00E411D0">
            <w:pPr>
              <w:rPr>
                <w:b/>
                <w:bCs/>
                <w:color w:val="auto"/>
                <w:szCs w:val="20"/>
              </w:rPr>
            </w:pPr>
            <w:r>
              <w:rPr>
                <w:color w:val="auto"/>
                <w:szCs w:val="20"/>
              </w:rPr>
              <w:t>November 2022</w:t>
            </w:r>
          </w:p>
        </w:tc>
        <w:tc>
          <w:tcPr>
            <w:tcW w:w="3339" w:type="pct"/>
          </w:tcPr>
          <w:p w14:paraId="2D8BDDE3" w14:textId="620C5204" w:rsidR="00ED2A78" w:rsidRDefault="00ED2A78" w:rsidP="00ED2A78">
            <w:pPr>
              <w:rPr>
                <w:color w:val="auto"/>
                <w:szCs w:val="20"/>
              </w:rPr>
            </w:pPr>
            <w:r w:rsidRPr="00E411D0">
              <w:rPr>
                <w:color w:val="auto"/>
                <w:szCs w:val="20"/>
              </w:rPr>
              <w:t xml:space="preserve">Version </w:t>
            </w:r>
            <w:r>
              <w:rPr>
                <w:color w:val="auto"/>
                <w:szCs w:val="20"/>
              </w:rPr>
              <w:t>20</w:t>
            </w:r>
          </w:p>
          <w:p w14:paraId="2D026793" w14:textId="35AD40BD" w:rsidR="00ED2A78" w:rsidRPr="00E411D0" w:rsidRDefault="00E17FF9" w:rsidP="00E17FF9">
            <w:pPr>
              <w:pStyle w:val="ListBullet"/>
              <w:rPr>
                <w:color w:val="auto"/>
                <w:szCs w:val="20"/>
              </w:rPr>
            </w:pPr>
            <w:r>
              <w:t>FHWA</w:t>
            </w:r>
            <w:r w:rsidR="009F0E2A">
              <w:t xml:space="preserve"> and </w:t>
            </w:r>
            <w:r>
              <w:t>FTA approved ELP’s RMS 2050 MTP and RMS 2023-2026 TIP, effective November 4, 2022.</w:t>
            </w:r>
          </w:p>
        </w:tc>
      </w:tr>
      <w:tr w:rsidR="00ED2A78" w:rsidRPr="00E411D0" w14:paraId="11DE8D4B"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5509D2E0" w14:textId="332E2DA9" w:rsidR="00ED2A78" w:rsidRPr="00E411D0" w:rsidRDefault="00115ADD" w:rsidP="00E411D0">
            <w:pPr>
              <w:rPr>
                <w:b/>
                <w:bCs/>
                <w:color w:val="auto"/>
                <w:szCs w:val="20"/>
              </w:rPr>
            </w:pPr>
            <w:r>
              <w:rPr>
                <w:color w:val="auto"/>
                <w:szCs w:val="20"/>
              </w:rPr>
              <w:t>October 2022</w:t>
            </w:r>
          </w:p>
        </w:tc>
        <w:tc>
          <w:tcPr>
            <w:tcW w:w="3339" w:type="pct"/>
          </w:tcPr>
          <w:p w14:paraId="55A8688E" w14:textId="36A400CF" w:rsidR="00ED2A78" w:rsidRDefault="00ED2A78" w:rsidP="00ED2A78">
            <w:pPr>
              <w:rPr>
                <w:color w:val="auto"/>
                <w:szCs w:val="20"/>
              </w:rPr>
            </w:pPr>
            <w:r w:rsidRPr="00E411D0">
              <w:rPr>
                <w:color w:val="auto"/>
                <w:szCs w:val="20"/>
              </w:rPr>
              <w:t xml:space="preserve">Version </w:t>
            </w:r>
            <w:r>
              <w:rPr>
                <w:color w:val="auto"/>
                <w:szCs w:val="20"/>
              </w:rPr>
              <w:t>19</w:t>
            </w:r>
          </w:p>
          <w:p w14:paraId="74EBB729" w14:textId="30C3D1E1" w:rsidR="00ED2A78" w:rsidRPr="00E411D0" w:rsidRDefault="00115ADD" w:rsidP="00115ADD">
            <w:pPr>
              <w:pStyle w:val="ListBullet"/>
              <w:rPr>
                <w:color w:val="auto"/>
                <w:szCs w:val="20"/>
              </w:rPr>
            </w:pPr>
            <w:r>
              <w:t>EPA re-designated the 2008 ozone nonattainment areas for DFW and HGB from serious to severe, effective November 7, 2022.</w:t>
            </w:r>
            <w:r w:rsidR="007B7787">
              <w:rPr>
                <w:rStyle w:val="FootnoteReference"/>
              </w:rPr>
              <w:footnoteReference w:id="14"/>
            </w:r>
            <w:r>
              <w:t xml:space="preserve"> EPA re-designated the 2015 ozone nonattainment areas for DFW, HGB, and SAT from marginal to moderate, effective November 7, 2022.</w:t>
            </w:r>
            <w:r w:rsidR="0015781E">
              <w:rPr>
                <w:rStyle w:val="FootnoteReference"/>
              </w:rPr>
              <w:footnoteReference w:id="15"/>
            </w:r>
          </w:p>
        </w:tc>
      </w:tr>
      <w:tr w:rsidR="00ED2A78" w:rsidRPr="00E411D0" w14:paraId="13C2EEA3"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01624133" w14:textId="69803CEC" w:rsidR="00ED2A78" w:rsidRPr="00E411D0" w:rsidRDefault="006716C5" w:rsidP="00E411D0">
            <w:pPr>
              <w:rPr>
                <w:b/>
                <w:bCs/>
                <w:color w:val="auto"/>
                <w:szCs w:val="20"/>
              </w:rPr>
            </w:pPr>
            <w:r>
              <w:rPr>
                <w:color w:val="auto"/>
                <w:szCs w:val="20"/>
              </w:rPr>
              <w:t>December 2021</w:t>
            </w:r>
          </w:p>
        </w:tc>
        <w:tc>
          <w:tcPr>
            <w:tcW w:w="3339" w:type="pct"/>
          </w:tcPr>
          <w:p w14:paraId="34AA34EF" w14:textId="744D8B68" w:rsidR="00ED2A78" w:rsidRDefault="00ED2A78" w:rsidP="00ED2A78">
            <w:pPr>
              <w:rPr>
                <w:color w:val="auto"/>
                <w:szCs w:val="20"/>
              </w:rPr>
            </w:pPr>
            <w:r w:rsidRPr="00E411D0">
              <w:rPr>
                <w:color w:val="auto"/>
                <w:szCs w:val="20"/>
              </w:rPr>
              <w:t xml:space="preserve">Version </w:t>
            </w:r>
            <w:r>
              <w:rPr>
                <w:color w:val="auto"/>
                <w:szCs w:val="20"/>
              </w:rPr>
              <w:t>18</w:t>
            </w:r>
          </w:p>
          <w:p w14:paraId="316BE87E" w14:textId="6F4B08A4" w:rsidR="00ED2A78" w:rsidRPr="00E411D0" w:rsidRDefault="006716C5" w:rsidP="006716C5">
            <w:pPr>
              <w:pStyle w:val="ListBullet"/>
              <w:rPr>
                <w:color w:val="auto"/>
                <w:szCs w:val="20"/>
              </w:rPr>
            </w:pPr>
            <w:r>
              <w:t>EPA designated El Paso County as marginal nonattainment for the 2015 ozone standard, effective December 30, 2021.</w:t>
            </w:r>
          </w:p>
        </w:tc>
      </w:tr>
      <w:tr w:rsidR="00ED2A78" w:rsidRPr="00E411D0" w14:paraId="32048374"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6DF6BB25" w14:textId="4A36494B" w:rsidR="00ED2A78" w:rsidRPr="00E411D0" w:rsidRDefault="00CF6A46" w:rsidP="00E411D0">
            <w:pPr>
              <w:rPr>
                <w:b/>
                <w:bCs/>
                <w:color w:val="auto"/>
                <w:szCs w:val="20"/>
              </w:rPr>
            </w:pPr>
            <w:r>
              <w:rPr>
                <w:color w:val="auto"/>
                <w:szCs w:val="20"/>
              </w:rPr>
              <w:t xml:space="preserve">August </w:t>
            </w:r>
            <w:r w:rsidR="00DE1E35">
              <w:rPr>
                <w:color w:val="auto"/>
                <w:szCs w:val="20"/>
              </w:rPr>
              <w:t>2021</w:t>
            </w:r>
          </w:p>
        </w:tc>
        <w:tc>
          <w:tcPr>
            <w:tcW w:w="3339" w:type="pct"/>
          </w:tcPr>
          <w:p w14:paraId="0427F526" w14:textId="2F187BE4" w:rsidR="00ED2A78" w:rsidRDefault="00ED2A78" w:rsidP="00ED2A78">
            <w:pPr>
              <w:rPr>
                <w:color w:val="auto"/>
                <w:szCs w:val="20"/>
              </w:rPr>
            </w:pPr>
            <w:r w:rsidRPr="00E411D0">
              <w:rPr>
                <w:color w:val="auto"/>
                <w:szCs w:val="20"/>
              </w:rPr>
              <w:t xml:space="preserve">Version </w:t>
            </w:r>
            <w:r>
              <w:rPr>
                <w:color w:val="auto"/>
                <w:szCs w:val="20"/>
              </w:rPr>
              <w:t>17</w:t>
            </w:r>
          </w:p>
          <w:p w14:paraId="2D7664C4" w14:textId="6C48BD49" w:rsidR="00ED2A78" w:rsidRPr="00E411D0" w:rsidRDefault="00CF6A46" w:rsidP="00CF6A46">
            <w:pPr>
              <w:pStyle w:val="ListBullet"/>
              <w:rPr>
                <w:color w:val="auto"/>
                <w:szCs w:val="20"/>
              </w:rPr>
            </w:pPr>
            <w:r>
              <w:t>FHWA</w:t>
            </w:r>
            <w:r w:rsidR="008E45D3">
              <w:t xml:space="preserve"> </w:t>
            </w:r>
            <w:r w:rsidR="008E45D3" w:rsidRPr="00174248">
              <w:t>and</w:t>
            </w:r>
            <w:r w:rsidR="008E45D3">
              <w:t xml:space="preserve"> </w:t>
            </w:r>
            <w:r>
              <w:t xml:space="preserve">FTA issued joint approval of the 2021-2024 STIP on July 22, 2021. Also updated </w:t>
            </w:r>
            <w:r w:rsidR="00E503A5">
              <w:t>SO</w:t>
            </w:r>
            <w:r w:rsidR="00E503A5" w:rsidRPr="0026771D">
              <w:rPr>
                <w:vertAlign w:val="subscript"/>
              </w:rPr>
              <w:t>2</w:t>
            </w:r>
            <w:r>
              <w:t xml:space="preserve"> nonattainment designations as identified in EPA’s Greenbook.</w:t>
            </w:r>
          </w:p>
        </w:tc>
      </w:tr>
      <w:tr w:rsidR="00ED2A78" w:rsidRPr="00E411D0" w14:paraId="66C5920D"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7C5D7AEF" w14:textId="3835F476" w:rsidR="00ED2A78" w:rsidRPr="00E411D0" w:rsidRDefault="00FA7E6C" w:rsidP="00E411D0">
            <w:pPr>
              <w:rPr>
                <w:b/>
                <w:bCs/>
                <w:color w:val="auto"/>
                <w:szCs w:val="20"/>
              </w:rPr>
            </w:pPr>
            <w:r>
              <w:rPr>
                <w:color w:val="auto"/>
                <w:szCs w:val="20"/>
              </w:rPr>
              <w:t>March 2020</w:t>
            </w:r>
          </w:p>
        </w:tc>
        <w:tc>
          <w:tcPr>
            <w:tcW w:w="3339" w:type="pct"/>
          </w:tcPr>
          <w:p w14:paraId="38C5A3AE" w14:textId="3388E681" w:rsidR="00ED2A78" w:rsidRDefault="00ED2A78" w:rsidP="00ED2A78">
            <w:pPr>
              <w:rPr>
                <w:color w:val="auto"/>
                <w:szCs w:val="20"/>
              </w:rPr>
            </w:pPr>
            <w:r w:rsidRPr="00E411D0">
              <w:rPr>
                <w:color w:val="auto"/>
                <w:szCs w:val="20"/>
              </w:rPr>
              <w:t xml:space="preserve">Version </w:t>
            </w:r>
            <w:r>
              <w:rPr>
                <w:color w:val="auto"/>
                <w:szCs w:val="20"/>
              </w:rPr>
              <w:t>16</w:t>
            </w:r>
          </w:p>
          <w:p w14:paraId="29421252" w14:textId="2486F8A4" w:rsidR="00ED2A78" w:rsidRPr="00E411D0" w:rsidRDefault="00FA7E6C" w:rsidP="00FA7E6C">
            <w:pPr>
              <w:pStyle w:val="ListBullet"/>
              <w:rPr>
                <w:color w:val="auto"/>
                <w:szCs w:val="20"/>
              </w:rPr>
            </w:pPr>
            <w:bookmarkStart w:id="5" w:name="_Hlk33003918"/>
            <w:r>
              <w:t>EPA clarified in their final rule for HGB SIP Revision</w:t>
            </w:r>
            <w:r w:rsidR="00EA2E96">
              <w:rPr>
                <w:rStyle w:val="FootnoteReference"/>
              </w:rPr>
              <w:footnoteReference w:id="16"/>
            </w:r>
            <w:r w:rsidR="00EA2E96">
              <w:t xml:space="preserve"> t</w:t>
            </w:r>
            <w:r>
              <w:t>hat designations and classifications for revoked 1979 and 1997 ozone standards were also revoked and therefore have no designation.</w:t>
            </w:r>
            <w:bookmarkEnd w:id="5"/>
          </w:p>
        </w:tc>
      </w:tr>
      <w:tr w:rsidR="00ED2A78" w:rsidRPr="00E411D0" w14:paraId="7F4DC17B"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31AF1D21" w14:textId="65C779D5" w:rsidR="00ED2A78" w:rsidRPr="00E411D0" w:rsidRDefault="00624D1F" w:rsidP="00E411D0">
            <w:pPr>
              <w:rPr>
                <w:b/>
                <w:bCs/>
                <w:color w:val="auto"/>
                <w:szCs w:val="20"/>
              </w:rPr>
            </w:pPr>
            <w:r>
              <w:rPr>
                <w:color w:val="auto"/>
                <w:szCs w:val="20"/>
              </w:rPr>
              <w:t>November 2019</w:t>
            </w:r>
          </w:p>
        </w:tc>
        <w:tc>
          <w:tcPr>
            <w:tcW w:w="3339" w:type="pct"/>
          </w:tcPr>
          <w:p w14:paraId="5970FA1B" w14:textId="6E323C04" w:rsidR="00ED2A78" w:rsidRDefault="00ED2A78" w:rsidP="00ED2A78">
            <w:pPr>
              <w:rPr>
                <w:color w:val="auto"/>
                <w:szCs w:val="20"/>
              </w:rPr>
            </w:pPr>
            <w:r w:rsidRPr="00E411D0">
              <w:rPr>
                <w:color w:val="auto"/>
                <w:szCs w:val="20"/>
              </w:rPr>
              <w:t xml:space="preserve">Version </w:t>
            </w:r>
            <w:r>
              <w:rPr>
                <w:color w:val="auto"/>
                <w:szCs w:val="20"/>
              </w:rPr>
              <w:t>15</w:t>
            </w:r>
          </w:p>
          <w:p w14:paraId="25FD3E5A" w14:textId="4F3BE136" w:rsidR="00ED2A78" w:rsidRPr="00E411D0" w:rsidRDefault="00712258" w:rsidP="00712258">
            <w:pPr>
              <w:pStyle w:val="ListBullet"/>
              <w:rPr>
                <w:color w:val="auto"/>
                <w:szCs w:val="20"/>
              </w:rPr>
            </w:pPr>
            <w:r>
              <w:lastRenderedPageBreak/>
              <w:t>FHWA approved SAT’s Mobility 2045 and BMT’s MTP 2045. Also updating TIP</w:t>
            </w:r>
            <w:r w:rsidR="009F0E2A">
              <w:t xml:space="preserve"> and </w:t>
            </w:r>
            <w:r>
              <w:t>STIP conformity dates to coincide with new plans.</w:t>
            </w:r>
          </w:p>
        </w:tc>
      </w:tr>
      <w:tr w:rsidR="00ED2A78" w:rsidRPr="00E411D0" w14:paraId="7F9BB2D0"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314E58F3" w14:textId="08F9A2A2" w:rsidR="00ED2A78" w:rsidRPr="00E411D0" w:rsidRDefault="008E0EA0" w:rsidP="00E411D0">
            <w:pPr>
              <w:rPr>
                <w:b/>
                <w:bCs/>
                <w:color w:val="auto"/>
                <w:szCs w:val="20"/>
              </w:rPr>
            </w:pPr>
            <w:r>
              <w:rPr>
                <w:color w:val="auto"/>
                <w:szCs w:val="20"/>
              </w:rPr>
              <w:lastRenderedPageBreak/>
              <w:t>August 2019</w:t>
            </w:r>
          </w:p>
        </w:tc>
        <w:tc>
          <w:tcPr>
            <w:tcW w:w="3339" w:type="pct"/>
          </w:tcPr>
          <w:p w14:paraId="1F21F837" w14:textId="0EC83BA5" w:rsidR="00ED2A78" w:rsidRDefault="00ED2A78" w:rsidP="00ED2A78">
            <w:pPr>
              <w:rPr>
                <w:color w:val="auto"/>
                <w:szCs w:val="20"/>
              </w:rPr>
            </w:pPr>
            <w:r w:rsidRPr="00E411D0">
              <w:rPr>
                <w:color w:val="auto"/>
                <w:szCs w:val="20"/>
              </w:rPr>
              <w:t xml:space="preserve">Version </w:t>
            </w:r>
            <w:r>
              <w:rPr>
                <w:color w:val="auto"/>
                <w:szCs w:val="20"/>
              </w:rPr>
              <w:t>14</w:t>
            </w:r>
          </w:p>
          <w:p w14:paraId="25B72F3B" w14:textId="4F3E5FEC" w:rsidR="00ED2A78" w:rsidRPr="00E411D0" w:rsidRDefault="008E0EA0" w:rsidP="008E0EA0">
            <w:pPr>
              <w:pStyle w:val="ListBullet"/>
              <w:rPr>
                <w:color w:val="auto"/>
                <w:szCs w:val="20"/>
              </w:rPr>
            </w:pPr>
            <w:r>
              <w:t>EPA re-designated the 2008 ozone nonattainment areas for DFW and HGB from moderate to serious.</w:t>
            </w:r>
          </w:p>
        </w:tc>
      </w:tr>
      <w:tr w:rsidR="00ED2A78" w:rsidRPr="00E411D0" w14:paraId="30817CD0"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12CEA199" w14:textId="74F9EB57" w:rsidR="00ED2A78" w:rsidRPr="00E411D0" w:rsidRDefault="005D6E73" w:rsidP="00E411D0">
            <w:pPr>
              <w:rPr>
                <w:b/>
                <w:bCs/>
                <w:color w:val="auto"/>
                <w:szCs w:val="20"/>
              </w:rPr>
            </w:pPr>
            <w:r>
              <w:rPr>
                <w:color w:val="auto"/>
                <w:szCs w:val="20"/>
              </w:rPr>
              <w:t>August 2019</w:t>
            </w:r>
          </w:p>
        </w:tc>
        <w:tc>
          <w:tcPr>
            <w:tcW w:w="3339" w:type="pct"/>
          </w:tcPr>
          <w:p w14:paraId="1C2F5493" w14:textId="56B3F1D4" w:rsidR="00ED2A78" w:rsidRDefault="00ED2A78" w:rsidP="00ED2A78">
            <w:pPr>
              <w:rPr>
                <w:color w:val="auto"/>
                <w:szCs w:val="20"/>
              </w:rPr>
            </w:pPr>
            <w:r w:rsidRPr="00E411D0">
              <w:rPr>
                <w:color w:val="auto"/>
                <w:szCs w:val="20"/>
              </w:rPr>
              <w:t xml:space="preserve">Version </w:t>
            </w:r>
            <w:r>
              <w:rPr>
                <w:color w:val="auto"/>
                <w:szCs w:val="20"/>
              </w:rPr>
              <w:t>13</w:t>
            </w:r>
          </w:p>
          <w:p w14:paraId="1C1A1AC3" w14:textId="57158BF1" w:rsidR="00ED2A78" w:rsidRPr="00E411D0" w:rsidRDefault="005D6E73" w:rsidP="005D6E73">
            <w:pPr>
              <w:pStyle w:val="ListBullet"/>
              <w:rPr>
                <w:color w:val="auto"/>
                <w:szCs w:val="20"/>
              </w:rPr>
            </w:pPr>
            <w:r>
              <w:t>FHWA approved BMT’s Revised 2040 MTP and HOU’s 2045 Regional Transportation Plan.</w:t>
            </w:r>
          </w:p>
        </w:tc>
      </w:tr>
      <w:tr w:rsidR="00ED2A78" w:rsidRPr="00E411D0" w14:paraId="0D0620EB"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2179DDB6" w14:textId="2D490903" w:rsidR="00ED2A78" w:rsidRPr="00E411D0" w:rsidRDefault="0020119D" w:rsidP="00E411D0">
            <w:pPr>
              <w:rPr>
                <w:b/>
                <w:bCs/>
                <w:color w:val="auto"/>
                <w:szCs w:val="20"/>
              </w:rPr>
            </w:pPr>
            <w:r>
              <w:rPr>
                <w:color w:val="auto"/>
                <w:szCs w:val="20"/>
              </w:rPr>
              <w:t>February 2019</w:t>
            </w:r>
          </w:p>
        </w:tc>
        <w:tc>
          <w:tcPr>
            <w:tcW w:w="3339" w:type="pct"/>
          </w:tcPr>
          <w:p w14:paraId="5D9D8383" w14:textId="73988252" w:rsidR="00ED2A78" w:rsidRDefault="00ED2A78" w:rsidP="00ED2A78">
            <w:pPr>
              <w:rPr>
                <w:color w:val="auto"/>
                <w:szCs w:val="20"/>
              </w:rPr>
            </w:pPr>
            <w:r w:rsidRPr="00E411D0">
              <w:rPr>
                <w:color w:val="auto"/>
                <w:szCs w:val="20"/>
              </w:rPr>
              <w:t xml:space="preserve">Version </w:t>
            </w:r>
            <w:r>
              <w:rPr>
                <w:color w:val="auto"/>
                <w:szCs w:val="20"/>
              </w:rPr>
              <w:t>12</w:t>
            </w:r>
          </w:p>
          <w:p w14:paraId="5B3B4D02" w14:textId="6C37AF74" w:rsidR="00ED2A78" w:rsidRPr="00E411D0" w:rsidRDefault="0020119D" w:rsidP="0020119D">
            <w:pPr>
              <w:pStyle w:val="ListBullet"/>
              <w:rPr>
                <w:color w:val="auto"/>
                <w:szCs w:val="20"/>
              </w:rPr>
            </w:pPr>
            <w:r>
              <w:t>Updates status of the 1997 ozone designations for HGB and DFW since South Coast ruling became effective on February 16, 2019.</w:t>
            </w:r>
          </w:p>
        </w:tc>
      </w:tr>
      <w:tr w:rsidR="00ED2A78" w:rsidRPr="00E411D0" w14:paraId="47F45EA2"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6BD5C514" w14:textId="4F041368" w:rsidR="0020119D" w:rsidRPr="00E411D0" w:rsidRDefault="00446CB3" w:rsidP="00E411D0">
            <w:pPr>
              <w:rPr>
                <w:b/>
                <w:bCs/>
                <w:color w:val="auto"/>
                <w:szCs w:val="20"/>
              </w:rPr>
            </w:pPr>
            <w:r>
              <w:rPr>
                <w:color w:val="auto"/>
                <w:szCs w:val="20"/>
              </w:rPr>
              <w:t>November 2018</w:t>
            </w:r>
          </w:p>
        </w:tc>
        <w:tc>
          <w:tcPr>
            <w:tcW w:w="3339" w:type="pct"/>
          </w:tcPr>
          <w:p w14:paraId="502A10A6" w14:textId="708A0341" w:rsidR="00ED2A78" w:rsidRDefault="00ED2A78" w:rsidP="00ED2A78">
            <w:pPr>
              <w:rPr>
                <w:color w:val="auto"/>
                <w:szCs w:val="20"/>
              </w:rPr>
            </w:pPr>
            <w:r w:rsidRPr="00E411D0">
              <w:rPr>
                <w:color w:val="auto"/>
                <w:szCs w:val="20"/>
              </w:rPr>
              <w:t xml:space="preserve">Version </w:t>
            </w:r>
            <w:r>
              <w:rPr>
                <w:color w:val="auto"/>
                <w:szCs w:val="20"/>
              </w:rPr>
              <w:t>11</w:t>
            </w:r>
          </w:p>
          <w:p w14:paraId="02F68FB9" w14:textId="1DF262F4" w:rsidR="00ED2A78" w:rsidRPr="00E411D0" w:rsidRDefault="00446CB3" w:rsidP="00446CB3">
            <w:pPr>
              <w:pStyle w:val="ListBullet"/>
              <w:rPr>
                <w:color w:val="auto"/>
                <w:szCs w:val="20"/>
              </w:rPr>
            </w:pPr>
            <w:r>
              <w:t>FHWA approved DFW’s Mobility 2045.</w:t>
            </w:r>
          </w:p>
        </w:tc>
      </w:tr>
      <w:tr w:rsidR="00ED2A78" w:rsidRPr="00E411D0" w14:paraId="67BB9393"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0F36E77B" w14:textId="191B380E" w:rsidR="00ED2A78" w:rsidRPr="00E411D0" w:rsidRDefault="00AF7DF0" w:rsidP="00E411D0">
            <w:pPr>
              <w:rPr>
                <w:b/>
                <w:bCs/>
                <w:color w:val="auto"/>
                <w:szCs w:val="20"/>
              </w:rPr>
            </w:pPr>
            <w:r>
              <w:rPr>
                <w:color w:val="auto"/>
                <w:szCs w:val="20"/>
              </w:rPr>
              <w:t>November 2018</w:t>
            </w:r>
          </w:p>
        </w:tc>
        <w:tc>
          <w:tcPr>
            <w:tcW w:w="3339" w:type="pct"/>
          </w:tcPr>
          <w:p w14:paraId="014D72B4" w14:textId="030F3AA4" w:rsidR="00ED2A78" w:rsidRDefault="00ED2A78" w:rsidP="00ED2A78">
            <w:pPr>
              <w:rPr>
                <w:color w:val="auto"/>
                <w:szCs w:val="20"/>
              </w:rPr>
            </w:pPr>
            <w:r w:rsidRPr="00E411D0">
              <w:rPr>
                <w:color w:val="auto"/>
                <w:szCs w:val="20"/>
              </w:rPr>
              <w:t xml:space="preserve">Version </w:t>
            </w:r>
            <w:r>
              <w:rPr>
                <w:color w:val="auto"/>
                <w:szCs w:val="20"/>
              </w:rPr>
              <w:t>10</w:t>
            </w:r>
          </w:p>
          <w:p w14:paraId="485B0AD6" w14:textId="53CB0822" w:rsidR="00ED2A78" w:rsidRPr="00E411D0" w:rsidRDefault="00AF7DF0" w:rsidP="00AF7DF0">
            <w:pPr>
              <w:pStyle w:val="ListBullet"/>
              <w:rPr>
                <w:color w:val="auto"/>
                <w:szCs w:val="20"/>
              </w:rPr>
            </w:pPr>
            <w:r>
              <w:t>FHWA approved ELP’s Destino 2045.</w:t>
            </w:r>
          </w:p>
        </w:tc>
      </w:tr>
      <w:tr w:rsidR="00ED2A78" w:rsidRPr="00E411D0" w14:paraId="52325C76"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191B77BC" w14:textId="7F06E4F0" w:rsidR="00ED2A78" w:rsidRPr="00E411D0" w:rsidRDefault="00244E46" w:rsidP="00E411D0">
            <w:pPr>
              <w:rPr>
                <w:b/>
                <w:bCs/>
                <w:color w:val="auto"/>
                <w:szCs w:val="20"/>
              </w:rPr>
            </w:pPr>
            <w:r>
              <w:rPr>
                <w:color w:val="auto"/>
                <w:szCs w:val="20"/>
              </w:rPr>
              <w:t>September 2018</w:t>
            </w:r>
          </w:p>
        </w:tc>
        <w:tc>
          <w:tcPr>
            <w:tcW w:w="3339" w:type="pct"/>
          </w:tcPr>
          <w:p w14:paraId="1B40A989" w14:textId="6B491B7D" w:rsidR="00ED2A78" w:rsidRDefault="00ED2A78" w:rsidP="00ED2A78">
            <w:pPr>
              <w:rPr>
                <w:color w:val="auto"/>
                <w:szCs w:val="20"/>
              </w:rPr>
            </w:pPr>
            <w:r w:rsidRPr="00E411D0">
              <w:rPr>
                <w:color w:val="auto"/>
                <w:szCs w:val="20"/>
              </w:rPr>
              <w:t xml:space="preserve">Version </w:t>
            </w:r>
            <w:r>
              <w:rPr>
                <w:color w:val="auto"/>
                <w:szCs w:val="20"/>
              </w:rPr>
              <w:t>9</w:t>
            </w:r>
          </w:p>
          <w:p w14:paraId="4DCD25DD" w14:textId="2A567E59" w:rsidR="00ED2A78" w:rsidRPr="00E411D0" w:rsidRDefault="00244E46" w:rsidP="00244E46">
            <w:pPr>
              <w:pStyle w:val="ListBullet"/>
              <w:rPr>
                <w:color w:val="auto"/>
                <w:szCs w:val="20"/>
              </w:rPr>
            </w:pPr>
            <w:r>
              <w:t>FHWA approved the 2019-2022 STIP. Also adds back in 1997 ozone standard and updates the attainment status for the lead maintenance area in Collin County.</w:t>
            </w:r>
          </w:p>
        </w:tc>
      </w:tr>
      <w:tr w:rsidR="00ED2A78" w:rsidRPr="00E411D0" w14:paraId="43789C71"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4B4956F5" w14:textId="1C594A48" w:rsidR="00ED2A78" w:rsidRPr="00E411D0" w:rsidRDefault="00F119A1" w:rsidP="00E411D0">
            <w:pPr>
              <w:rPr>
                <w:b/>
                <w:bCs/>
                <w:color w:val="auto"/>
                <w:szCs w:val="20"/>
              </w:rPr>
            </w:pPr>
            <w:r>
              <w:rPr>
                <w:color w:val="auto"/>
                <w:szCs w:val="20"/>
              </w:rPr>
              <w:t>August 2018</w:t>
            </w:r>
          </w:p>
        </w:tc>
        <w:tc>
          <w:tcPr>
            <w:tcW w:w="3339" w:type="pct"/>
          </w:tcPr>
          <w:p w14:paraId="1DE8F8D5" w14:textId="0601B7F1" w:rsidR="00ED2A78" w:rsidRDefault="00ED2A78" w:rsidP="00ED2A78">
            <w:pPr>
              <w:rPr>
                <w:color w:val="auto"/>
                <w:szCs w:val="20"/>
              </w:rPr>
            </w:pPr>
            <w:r w:rsidRPr="00E411D0">
              <w:rPr>
                <w:color w:val="auto"/>
                <w:szCs w:val="20"/>
              </w:rPr>
              <w:t xml:space="preserve">Version </w:t>
            </w:r>
            <w:r>
              <w:rPr>
                <w:color w:val="auto"/>
                <w:szCs w:val="20"/>
              </w:rPr>
              <w:t>8</w:t>
            </w:r>
          </w:p>
          <w:p w14:paraId="5799D476" w14:textId="2B0F4460" w:rsidR="00ED2A78" w:rsidRPr="00E411D0" w:rsidRDefault="00F119A1" w:rsidP="00F119A1">
            <w:pPr>
              <w:pStyle w:val="ListBullet"/>
              <w:rPr>
                <w:color w:val="auto"/>
                <w:szCs w:val="20"/>
              </w:rPr>
            </w:pPr>
            <w:r>
              <w:t>This revision incorporates the EPA designations for the 2015 ozone standards.</w:t>
            </w:r>
          </w:p>
        </w:tc>
      </w:tr>
      <w:tr w:rsidR="00ED2A78" w:rsidRPr="00E411D0" w14:paraId="573406FF"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7F3E2DB6" w14:textId="71112D2D" w:rsidR="00ED2A78" w:rsidRPr="00E411D0" w:rsidRDefault="00675A65" w:rsidP="00E411D0">
            <w:pPr>
              <w:rPr>
                <w:b/>
                <w:bCs/>
                <w:color w:val="auto"/>
                <w:szCs w:val="20"/>
              </w:rPr>
            </w:pPr>
            <w:r>
              <w:rPr>
                <w:color w:val="auto"/>
                <w:szCs w:val="20"/>
              </w:rPr>
              <w:t>March 2018</w:t>
            </w:r>
          </w:p>
        </w:tc>
        <w:tc>
          <w:tcPr>
            <w:tcW w:w="3339" w:type="pct"/>
          </w:tcPr>
          <w:p w14:paraId="20DD6300" w14:textId="6D6003E9" w:rsidR="00ED2A78" w:rsidRDefault="00ED2A78" w:rsidP="00ED2A78">
            <w:pPr>
              <w:rPr>
                <w:color w:val="auto"/>
                <w:szCs w:val="20"/>
              </w:rPr>
            </w:pPr>
            <w:r w:rsidRPr="00E411D0">
              <w:rPr>
                <w:color w:val="auto"/>
                <w:szCs w:val="20"/>
              </w:rPr>
              <w:t xml:space="preserve">Version </w:t>
            </w:r>
            <w:r w:rsidR="005B232B">
              <w:rPr>
                <w:color w:val="auto"/>
                <w:szCs w:val="20"/>
              </w:rPr>
              <w:t>7</w:t>
            </w:r>
          </w:p>
          <w:p w14:paraId="0F6CACF6" w14:textId="07AD50F6" w:rsidR="00ED2A78" w:rsidRPr="00E411D0" w:rsidRDefault="00675A65" w:rsidP="00675A65">
            <w:pPr>
              <w:pStyle w:val="ListBullet"/>
              <w:rPr>
                <w:color w:val="auto"/>
                <w:szCs w:val="20"/>
              </w:rPr>
            </w:pPr>
            <w:r>
              <w:t>FHWA approved ELP’s Amended Horizon 2040 MTP.</w:t>
            </w:r>
          </w:p>
        </w:tc>
      </w:tr>
      <w:tr w:rsidR="00ED2A78" w:rsidRPr="00E411D0" w14:paraId="59176E70"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6901CC01" w14:textId="76C4C626" w:rsidR="00ED2A78" w:rsidRPr="00E411D0" w:rsidRDefault="00B07EE8" w:rsidP="00E411D0">
            <w:pPr>
              <w:rPr>
                <w:b/>
                <w:bCs/>
                <w:color w:val="auto"/>
                <w:szCs w:val="20"/>
              </w:rPr>
            </w:pPr>
            <w:r>
              <w:rPr>
                <w:color w:val="auto"/>
                <w:szCs w:val="20"/>
              </w:rPr>
              <w:lastRenderedPageBreak/>
              <w:t>December 2016</w:t>
            </w:r>
          </w:p>
        </w:tc>
        <w:tc>
          <w:tcPr>
            <w:tcW w:w="3339" w:type="pct"/>
          </w:tcPr>
          <w:p w14:paraId="6EB4E65D" w14:textId="53047BDD" w:rsidR="00ED2A78" w:rsidRDefault="00ED2A78" w:rsidP="00ED2A78">
            <w:pPr>
              <w:rPr>
                <w:color w:val="auto"/>
                <w:szCs w:val="20"/>
              </w:rPr>
            </w:pPr>
            <w:r w:rsidRPr="00E411D0">
              <w:rPr>
                <w:color w:val="auto"/>
                <w:szCs w:val="20"/>
              </w:rPr>
              <w:t xml:space="preserve">Version </w:t>
            </w:r>
            <w:r>
              <w:rPr>
                <w:color w:val="auto"/>
                <w:szCs w:val="20"/>
              </w:rPr>
              <w:t>6</w:t>
            </w:r>
          </w:p>
          <w:p w14:paraId="04FC2B57" w14:textId="1E5A2097" w:rsidR="00ED2A78" w:rsidRPr="00E411D0" w:rsidRDefault="00B07EE8" w:rsidP="00B07EE8">
            <w:pPr>
              <w:pStyle w:val="ListBullet"/>
              <w:rPr>
                <w:color w:val="auto"/>
                <w:szCs w:val="20"/>
              </w:rPr>
            </w:pPr>
            <w:r>
              <w:t>FHWA approved the 2017-2020 STIP.</w:t>
            </w:r>
          </w:p>
        </w:tc>
      </w:tr>
      <w:tr w:rsidR="00ED2A78" w:rsidRPr="00E411D0" w14:paraId="114C7C4F"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5CEA31D6" w14:textId="63C076AF" w:rsidR="00ED2A78" w:rsidRPr="00E411D0" w:rsidRDefault="00FE1DF7" w:rsidP="00E411D0">
            <w:pPr>
              <w:rPr>
                <w:b/>
                <w:bCs/>
                <w:color w:val="auto"/>
                <w:szCs w:val="20"/>
              </w:rPr>
            </w:pPr>
            <w:r>
              <w:rPr>
                <w:color w:val="auto"/>
                <w:szCs w:val="20"/>
              </w:rPr>
              <w:t>September 201</w:t>
            </w:r>
            <w:r w:rsidR="008C3D3A">
              <w:rPr>
                <w:color w:val="auto"/>
                <w:szCs w:val="20"/>
              </w:rPr>
              <w:t>6</w:t>
            </w:r>
          </w:p>
        </w:tc>
        <w:tc>
          <w:tcPr>
            <w:tcW w:w="3339" w:type="pct"/>
          </w:tcPr>
          <w:p w14:paraId="063B10DF" w14:textId="11BB95CC" w:rsidR="00ED2A78" w:rsidRDefault="00ED2A78" w:rsidP="00ED2A78">
            <w:pPr>
              <w:rPr>
                <w:color w:val="auto"/>
                <w:szCs w:val="20"/>
              </w:rPr>
            </w:pPr>
            <w:r w:rsidRPr="00E411D0">
              <w:rPr>
                <w:color w:val="auto"/>
                <w:szCs w:val="20"/>
              </w:rPr>
              <w:t xml:space="preserve">Version </w:t>
            </w:r>
            <w:r>
              <w:rPr>
                <w:color w:val="auto"/>
                <w:szCs w:val="20"/>
              </w:rPr>
              <w:t>5</w:t>
            </w:r>
          </w:p>
          <w:p w14:paraId="1F86CBFD" w14:textId="484D84DE" w:rsidR="00ED2A78" w:rsidRPr="00E411D0" w:rsidRDefault="00FE1DF7" w:rsidP="008C3D3A">
            <w:pPr>
              <w:pStyle w:val="ListBullet"/>
              <w:rPr>
                <w:color w:val="auto"/>
                <w:szCs w:val="20"/>
              </w:rPr>
            </w:pPr>
            <w:r>
              <w:t>FHWA approved DFW’s Mobility 2040 MTP.</w:t>
            </w:r>
          </w:p>
        </w:tc>
      </w:tr>
      <w:tr w:rsidR="00ED2A78" w:rsidRPr="00E411D0" w14:paraId="4BE1450F"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6305CC8F" w14:textId="5EEB58A2" w:rsidR="00ED2A78" w:rsidRPr="00E411D0" w:rsidRDefault="00E044FF" w:rsidP="00E411D0">
            <w:pPr>
              <w:rPr>
                <w:b/>
                <w:bCs/>
                <w:color w:val="auto"/>
                <w:szCs w:val="20"/>
              </w:rPr>
            </w:pPr>
            <w:r>
              <w:rPr>
                <w:color w:val="auto"/>
                <w:szCs w:val="20"/>
              </w:rPr>
              <w:t>September 2015</w:t>
            </w:r>
          </w:p>
        </w:tc>
        <w:tc>
          <w:tcPr>
            <w:tcW w:w="3339" w:type="pct"/>
          </w:tcPr>
          <w:p w14:paraId="0317901F" w14:textId="797984A3" w:rsidR="00ED2A78" w:rsidRDefault="00ED2A78" w:rsidP="00ED2A78">
            <w:pPr>
              <w:rPr>
                <w:color w:val="auto"/>
                <w:szCs w:val="20"/>
              </w:rPr>
            </w:pPr>
            <w:r w:rsidRPr="00E411D0">
              <w:rPr>
                <w:color w:val="auto"/>
                <w:szCs w:val="20"/>
              </w:rPr>
              <w:t xml:space="preserve">Version </w:t>
            </w:r>
            <w:r>
              <w:rPr>
                <w:color w:val="auto"/>
                <w:szCs w:val="20"/>
              </w:rPr>
              <w:t>4</w:t>
            </w:r>
          </w:p>
          <w:p w14:paraId="70857B8A" w14:textId="77AC7007" w:rsidR="00ED2A78" w:rsidRPr="00E411D0" w:rsidRDefault="00E044FF" w:rsidP="00E044FF">
            <w:pPr>
              <w:pStyle w:val="ListBullet"/>
              <w:rPr>
                <w:color w:val="auto"/>
                <w:szCs w:val="20"/>
              </w:rPr>
            </w:pPr>
            <w:r w:rsidRPr="00E27956">
              <w:t>FHWA approved Houston’s 2040 Regional Transportation Plan.</w:t>
            </w:r>
          </w:p>
        </w:tc>
      </w:tr>
      <w:tr w:rsidR="00ED2A78" w:rsidRPr="00E411D0" w14:paraId="4932AF4E"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1A12267A" w14:textId="05B69746" w:rsidR="00ED2A78" w:rsidRPr="00E411D0" w:rsidRDefault="00B04F3C" w:rsidP="00E411D0">
            <w:pPr>
              <w:rPr>
                <w:b/>
                <w:bCs/>
                <w:color w:val="auto"/>
                <w:szCs w:val="20"/>
              </w:rPr>
            </w:pPr>
            <w:r>
              <w:rPr>
                <w:color w:val="auto"/>
                <w:szCs w:val="20"/>
              </w:rPr>
              <w:t>December 2014</w:t>
            </w:r>
          </w:p>
        </w:tc>
        <w:tc>
          <w:tcPr>
            <w:tcW w:w="3339" w:type="pct"/>
          </w:tcPr>
          <w:p w14:paraId="43B88177" w14:textId="16F70C1C" w:rsidR="00ED2A78" w:rsidRDefault="00ED2A78" w:rsidP="00ED2A78">
            <w:pPr>
              <w:rPr>
                <w:color w:val="auto"/>
                <w:szCs w:val="20"/>
              </w:rPr>
            </w:pPr>
            <w:r w:rsidRPr="00E411D0">
              <w:rPr>
                <w:color w:val="auto"/>
                <w:szCs w:val="20"/>
              </w:rPr>
              <w:t xml:space="preserve">Version </w:t>
            </w:r>
            <w:r>
              <w:rPr>
                <w:color w:val="auto"/>
                <w:szCs w:val="20"/>
              </w:rPr>
              <w:t>3</w:t>
            </w:r>
          </w:p>
          <w:p w14:paraId="455AD88F" w14:textId="77CC33D0" w:rsidR="00ED2A78" w:rsidRPr="00E411D0" w:rsidRDefault="00B04F3C" w:rsidP="00B04F3C">
            <w:pPr>
              <w:pStyle w:val="ListBullet"/>
              <w:rPr>
                <w:color w:val="auto"/>
                <w:szCs w:val="20"/>
              </w:rPr>
            </w:pPr>
            <w:r w:rsidRPr="0023634A">
              <w:t>The reason for the change is that an update to the table was needed because FHWA and FTA approved the 2015-2018 STIP.</w:t>
            </w:r>
          </w:p>
        </w:tc>
      </w:tr>
      <w:tr w:rsidR="00ED2A78" w:rsidRPr="00E411D0" w14:paraId="539A5B98" w14:textId="77777777" w:rsidTr="00366909">
        <w:trPr>
          <w:cnfStyle w:val="000000010000" w:firstRow="0" w:lastRow="0" w:firstColumn="0" w:lastColumn="0" w:oddVBand="0" w:evenVBand="0" w:oddHBand="0" w:evenHBand="1" w:firstRowFirstColumn="0" w:firstRowLastColumn="0" w:lastRowFirstColumn="0" w:lastRowLastColumn="0"/>
        </w:trPr>
        <w:tc>
          <w:tcPr>
            <w:tcW w:w="1661" w:type="pct"/>
          </w:tcPr>
          <w:p w14:paraId="1FE9DDF0" w14:textId="10417376" w:rsidR="00ED2A78" w:rsidRPr="00E411D0" w:rsidRDefault="007364F1" w:rsidP="00E411D0">
            <w:pPr>
              <w:rPr>
                <w:b/>
                <w:bCs/>
                <w:color w:val="auto"/>
                <w:szCs w:val="20"/>
              </w:rPr>
            </w:pPr>
            <w:r>
              <w:rPr>
                <w:color w:val="auto"/>
                <w:szCs w:val="20"/>
              </w:rPr>
              <w:t>June 2014</w:t>
            </w:r>
          </w:p>
        </w:tc>
        <w:tc>
          <w:tcPr>
            <w:tcW w:w="3339" w:type="pct"/>
          </w:tcPr>
          <w:p w14:paraId="22E23BE4" w14:textId="527FEA73" w:rsidR="00ED2A78" w:rsidRDefault="00ED2A78" w:rsidP="00ED2A78">
            <w:pPr>
              <w:rPr>
                <w:color w:val="auto"/>
                <w:szCs w:val="20"/>
              </w:rPr>
            </w:pPr>
            <w:r w:rsidRPr="00E411D0">
              <w:rPr>
                <w:color w:val="auto"/>
                <w:szCs w:val="20"/>
              </w:rPr>
              <w:t xml:space="preserve">Version </w:t>
            </w:r>
            <w:r w:rsidRPr="00520101">
              <w:rPr>
                <w:color w:val="auto"/>
                <w:szCs w:val="20"/>
              </w:rPr>
              <w:t>2</w:t>
            </w:r>
          </w:p>
          <w:p w14:paraId="69F4136E" w14:textId="44FB1FF0" w:rsidR="00ED2A78" w:rsidRPr="00E411D0" w:rsidRDefault="007364F1" w:rsidP="008D173C">
            <w:pPr>
              <w:pStyle w:val="ListBullet"/>
              <w:rPr>
                <w:color w:val="auto"/>
                <w:szCs w:val="20"/>
              </w:rPr>
            </w:pPr>
            <w:r>
              <w:t xml:space="preserve">This document has been updated to account for the approval of EL Paso’s 2040 Metropolitan Transportation Plan. June 5, </w:t>
            </w:r>
            <w:r w:rsidR="008D173C">
              <w:t>2014,</w:t>
            </w:r>
            <w:r>
              <w:t xml:space="preserve"> is both the date of the regional conformity determination by FHWA</w:t>
            </w:r>
            <w:r w:rsidR="00174248">
              <w:t xml:space="preserve"> and </w:t>
            </w:r>
            <w:r>
              <w:t>FTA for the new MTP and the effective date for the new MTP.</w:t>
            </w:r>
          </w:p>
        </w:tc>
      </w:tr>
      <w:tr w:rsidR="006B6BD2" w:rsidRPr="00E411D0" w14:paraId="104BDE50" w14:textId="77777777" w:rsidTr="00366909">
        <w:trPr>
          <w:cnfStyle w:val="000000100000" w:firstRow="0" w:lastRow="0" w:firstColumn="0" w:lastColumn="0" w:oddVBand="0" w:evenVBand="0" w:oddHBand="1" w:evenHBand="0" w:firstRowFirstColumn="0" w:firstRowLastColumn="0" w:lastRowFirstColumn="0" w:lastRowLastColumn="0"/>
        </w:trPr>
        <w:tc>
          <w:tcPr>
            <w:tcW w:w="1661" w:type="pct"/>
          </w:tcPr>
          <w:p w14:paraId="213C66C6" w14:textId="2BC4045A" w:rsidR="006B6BD2" w:rsidRPr="00660F1A" w:rsidRDefault="009F1C09" w:rsidP="00E411D0">
            <w:pPr>
              <w:rPr>
                <w:b/>
                <w:bCs/>
                <w:color w:val="auto"/>
                <w:szCs w:val="20"/>
              </w:rPr>
            </w:pPr>
            <w:r w:rsidRPr="00660F1A">
              <w:rPr>
                <w:color w:val="auto"/>
                <w:szCs w:val="20"/>
              </w:rPr>
              <w:t>September 2013</w:t>
            </w:r>
          </w:p>
        </w:tc>
        <w:tc>
          <w:tcPr>
            <w:tcW w:w="3339" w:type="pct"/>
          </w:tcPr>
          <w:p w14:paraId="661F73D9" w14:textId="77777777" w:rsidR="006B6BD2" w:rsidRDefault="00CD5886" w:rsidP="00ED2A78">
            <w:pPr>
              <w:rPr>
                <w:color w:val="auto"/>
                <w:szCs w:val="20"/>
              </w:rPr>
            </w:pPr>
            <w:r>
              <w:rPr>
                <w:color w:val="auto"/>
                <w:szCs w:val="20"/>
              </w:rPr>
              <w:t>Version 1</w:t>
            </w:r>
          </w:p>
          <w:p w14:paraId="253F8130" w14:textId="65CF6B73" w:rsidR="00CD5886" w:rsidRPr="00E411D0" w:rsidRDefault="007911C6" w:rsidP="00CD5886">
            <w:pPr>
              <w:pStyle w:val="ListBullet"/>
            </w:pPr>
            <w:r>
              <w:t>Used to p</w:t>
            </w:r>
            <w:r w:rsidRPr="007911C6">
              <w:t>rovide tabular information on nonattainment</w:t>
            </w:r>
            <w:r>
              <w:t xml:space="preserve"> and or </w:t>
            </w:r>
            <w:r w:rsidRPr="007911C6">
              <w:t>maintenance counties and transportation plan conformity dates</w:t>
            </w:r>
            <w:r>
              <w:t>.</w:t>
            </w:r>
          </w:p>
        </w:tc>
      </w:tr>
    </w:tbl>
    <w:p w14:paraId="074281F3" w14:textId="77777777" w:rsidR="009260DC" w:rsidRDefault="009260DC">
      <w:pPr>
        <w:spacing w:after="0" w:line="240" w:lineRule="auto"/>
      </w:pPr>
    </w:p>
    <w:sectPr w:rsidR="009260DC" w:rsidSect="008B4EC6">
      <w:headerReference w:type="default" r:id="rId11"/>
      <w:footerReference w:type="default" r:id="rId12"/>
      <w:headerReference w:type="first" r:id="rId13"/>
      <w:pgSz w:w="24480" w:h="15840" w:orient="landscape" w:code="17"/>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2772" w14:textId="77777777" w:rsidR="00AB7CB5" w:rsidRDefault="00AB7CB5" w:rsidP="00CE2B96">
      <w:pPr>
        <w:spacing w:after="0"/>
      </w:pPr>
      <w:r>
        <w:separator/>
      </w:r>
    </w:p>
  </w:endnote>
  <w:endnote w:type="continuationSeparator" w:id="0">
    <w:p w14:paraId="4C2DFA0B" w14:textId="77777777" w:rsidR="00AB7CB5" w:rsidRDefault="00AB7CB5"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BD4" w14:textId="26C36D6D"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8240" behindDoc="0" locked="0" layoutInCell="1" allowOverlap="1" wp14:anchorId="3D1C8CBC" wp14:editId="60A8F989">
              <wp:simplePos x="0" y="0"/>
              <wp:positionH relativeFrom="margin">
                <wp:posOffset>-1905</wp:posOffset>
              </wp:positionH>
              <wp:positionV relativeFrom="paragraph">
                <wp:posOffset>129540</wp:posOffset>
              </wp:positionV>
              <wp:extent cx="14630400" cy="45719"/>
              <wp:effectExtent l="0" t="0" r="19050" b="31115"/>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0400" cy="45719"/>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D75F6" id="_x0000_t32" coordsize="21600,21600" o:spt="32" o:oned="t" path="m,l21600,21600e" filled="f">
              <v:path arrowok="t" fillok="f" o:connecttype="none"/>
              <o:lock v:ext="edit" shapetype="t"/>
            </v:shapetype>
            <v:shape id="AutoShape 12" o:spid="_x0000_s1026" type="#_x0000_t32" alt="&quot;&quot;" style="position:absolute;margin-left:-.15pt;margin-top:10.2pt;width:16in;height:3.6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" strokecolor="#d81f26">
              <w10:wrap anchorx="margin"/>
            </v:shape>
          </w:pict>
        </mc:Fallback>
      </mc:AlternateContent>
    </w:r>
    <w:r w:rsidR="00BE5256">
      <w:rPr>
        <w:color w:val="0056A9"/>
      </w:rPr>
      <w:t>Texas Air Quality Nonattainment or Attainment-Maintenance Areas and Counties November 20,2025</w:t>
    </w:r>
    <w:r w:rsidR="0032481A">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444DAA60"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FB47" w14:textId="77777777" w:rsidR="00AB7CB5" w:rsidRDefault="00AB7CB5" w:rsidP="00CE2B96">
      <w:pPr>
        <w:spacing w:after="0"/>
      </w:pPr>
      <w:r>
        <w:separator/>
      </w:r>
    </w:p>
  </w:footnote>
  <w:footnote w:type="continuationSeparator" w:id="0">
    <w:p w14:paraId="17BF3F76" w14:textId="77777777" w:rsidR="00AB7CB5" w:rsidRDefault="00AB7CB5" w:rsidP="00CE2B96">
      <w:pPr>
        <w:spacing w:after="0"/>
      </w:pPr>
      <w:r>
        <w:continuationSeparator/>
      </w:r>
    </w:p>
  </w:footnote>
  <w:footnote w:id="1">
    <w:p w14:paraId="3FE9B89D" w14:textId="0AEDE964" w:rsidR="00CB3937" w:rsidRPr="00CB3937" w:rsidRDefault="00FC7736" w:rsidP="00CB3937">
      <w:pPr>
        <w:pStyle w:val="EndnoteText"/>
        <w:rPr>
          <w:rFonts w:asciiTheme="minorHAnsi" w:hAnsiTheme="minorHAnsi"/>
          <w:sz w:val="24"/>
          <w:szCs w:val="24"/>
        </w:rPr>
      </w:pPr>
      <w:r w:rsidRPr="00CB3937">
        <w:rPr>
          <w:rStyle w:val="FootnoteReference"/>
          <w:rFonts w:asciiTheme="minorHAnsi" w:hAnsiTheme="minorHAnsi"/>
          <w:sz w:val="24"/>
          <w:szCs w:val="24"/>
        </w:rPr>
        <w:footnoteRef/>
      </w:r>
      <w:r w:rsidRPr="00CB3937">
        <w:rPr>
          <w:rFonts w:asciiTheme="minorHAnsi" w:hAnsiTheme="minorHAnsi"/>
          <w:sz w:val="24"/>
          <w:szCs w:val="24"/>
        </w:rPr>
        <w:t xml:space="preserve"> </w:t>
      </w:r>
      <w:r w:rsidR="00036200" w:rsidRPr="00CB3937">
        <w:rPr>
          <w:rFonts w:asciiTheme="minorHAnsi" w:hAnsiTheme="minorHAnsi"/>
          <w:sz w:val="24"/>
          <w:szCs w:val="24"/>
        </w:rPr>
        <w:t xml:space="preserve">The </w:t>
      </w:r>
      <w:r w:rsidR="00CB3937" w:rsidRPr="00CB3937">
        <w:rPr>
          <w:rFonts w:asciiTheme="minorHAnsi" w:hAnsiTheme="minorHAnsi"/>
          <w:sz w:val="24"/>
          <w:szCs w:val="24"/>
        </w:rPr>
        <w:t xml:space="preserve">term </w:t>
      </w:r>
      <w:r w:rsidR="00CB3937" w:rsidRPr="00582A27">
        <w:rPr>
          <w:rFonts w:asciiTheme="minorHAnsi" w:hAnsiTheme="minorHAnsi"/>
          <w:sz w:val="24"/>
          <w:szCs w:val="24"/>
        </w:rPr>
        <w:t>“initial”</w:t>
      </w:r>
      <w:r w:rsidR="00CB3937" w:rsidRPr="00CB3937">
        <w:rPr>
          <w:rFonts w:asciiTheme="minorHAnsi" w:hAnsiTheme="minorHAnsi"/>
          <w:sz w:val="24"/>
          <w:szCs w:val="24"/>
        </w:rPr>
        <w:t xml:space="preserve"> here refers to the original conformity date for the current plan which started its 4-y</w:t>
      </w:r>
      <w:r w:rsidR="008C6D04">
        <w:rPr>
          <w:rFonts w:asciiTheme="minorHAnsi" w:hAnsiTheme="minorHAnsi"/>
          <w:sz w:val="24"/>
          <w:szCs w:val="24"/>
        </w:rPr>
        <w:t>ea</w:t>
      </w:r>
      <w:r w:rsidR="00CB3937" w:rsidRPr="00CB3937">
        <w:rPr>
          <w:rFonts w:asciiTheme="minorHAnsi" w:hAnsiTheme="minorHAnsi"/>
          <w:sz w:val="24"/>
          <w:szCs w:val="24"/>
        </w:rPr>
        <w:t>r conformity clock. This is the date that should be used in the environmental review document.</w:t>
      </w:r>
    </w:p>
    <w:p w14:paraId="2B3D5073" w14:textId="045C4252" w:rsidR="00FC7736" w:rsidRDefault="00FC7736">
      <w:pPr>
        <w:pStyle w:val="FootnoteText"/>
      </w:pPr>
    </w:p>
  </w:footnote>
  <w:footnote w:id="2">
    <w:p w14:paraId="35EA473B" w14:textId="564E988E" w:rsidR="00CB3937" w:rsidRDefault="00CB3937" w:rsidP="009C4FE4">
      <w:pPr>
        <w:pStyle w:val="FootnoteText"/>
        <w:spacing w:after="240"/>
      </w:pPr>
      <w:r w:rsidRPr="002D1F0D">
        <w:rPr>
          <w:rStyle w:val="FootnoteReference"/>
          <w:rFonts w:asciiTheme="minorHAnsi" w:hAnsiTheme="minorHAnsi"/>
          <w:sz w:val="24"/>
          <w:szCs w:val="24"/>
        </w:rPr>
        <w:footnoteRef/>
      </w:r>
      <w:r w:rsidRPr="002D1F0D">
        <w:rPr>
          <w:rFonts w:asciiTheme="minorHAnsi" w:hAnsiTheme="minorHAnsi"/>
          <w:sz w:val="24"/>
          <w:szCs w:val="24"/>
        </w:rPr>
        <w:t xml:space="preserve"> </w:t>
      </w:r>
      <w:r w:rsidR="002D1F0D" w:rsidRPr="002D1F0D">
        <w:rPr>
          <w:rFonts w:ascii="Verdana" w:hAnsi="Verdana"/>
          <w:sz w:val="24"/>
          <w:szCs w:val="24"/>
        </w:rPr>
        <w:t>The TIP</w:t>
      </w:r>
      <w:r w:rsidR="008C6D04">
        <w:rPr>
          <w:rFonts w:ascii="Verdana" w:hAnsi="Verdana"/>
          <w:sz w:val="24"/>
          <w:szCs w:val="24"/>
        </w:rPr>
        <w:t xml:space="preserve"> and </w:t>
      </w:r>
      <w:r w:rsidR="001671E1">
        <w:rPr>
          <w:rFonts w:ascii="Verdana" w:hAnsi="Verdana"/>
          <w:sz w:val="24"/>
          <w:szCs w:val="24"/>
        </w:rPr>
        <w:t>Statewide Transportation Improvement Program</w:t>
      </w:r>
      <w:r w:rsidR="001671E1" w:rsidRPr="002D1F0D">
        <w:rPr>
          <w:rFonts w:ascii="Verdana" w:hAnsi="Verdana"/>
          <w:sz w:val="24"/>
          <w:szCs w:val="24"/>
        </w:rPr>
        <w:t xml:space="preserve"> </w:t>
      </w:r>
      <w:r w:rsidR="001671E1">
        <w:rPr>
          <w:rFonts w:ascii="Verdana" w:hAnsi="Verdana"/>
          <w:sz w:val="24"/>
          <w:szCs w:val="24"/>
        </w:rPr>
        <w:t>(</w:t>
      </w:r>
      <w:r w:rsidR="002D1F0D" w:rsidRPr="002D1F0D">
        <w:rPr>
          <w:rFonts w:ascii="Verdana" w:hAnsi="Verdana"/>
          <w:sz w:val="24"/>
          <w:szCs w:val="24"/>
        </w:rPr>
        <w:t>STIP</w:t>
      </w:r>
      <w:r w:rsidR="001671E1">
        <w:rPr>
          <w:rFonts w:ascii="Verdana" w:hAnsi="Verdana"/>
          <w:sz w:val="24"/>
          <w:szCs w:val="24"/>
        </w:rPr>
        <w:t>)</w:t>
      </w:r>
      <w:r w:rsidR="00FB26C6">
        <w:rPr>
          <w:rFonts w:ascii="Verdana" w:hAnsi="Verdana"/>
          <w:sz w:val="24"/>
          <w:szCs w:val="24"/>
        </w:rPr>
        <w:t xml:space="preserve"> </w:t>
      </w:r>
      <w:r w:rsidR="002D1F0D" w:rsidRPr="002D1F0D">
        <w:rPr>
          <w:rFonts w:ascii="Verdana" w:hAnsi="Verdana"/>
          <w:sz w:val="24"/>
          <w:szCs w:val="24"/>
        </w:rPr>
        <w:t>conformity date is the determination for the initial STIP</w:t>
      </w:r>
      <w:r w:rsidR="004125B0">
        <w:rPr>
          <w:rFonts w:ascii="Verdana" w:hAnsi="Verdana"/>
          <w:sz w:val="24"/>
          <w:szCs w:val="24"/>
        </w:rPr>
        <w:t xml:space="preserve"> </w:t>
      </w:r>
      <w:r w:rsidR="002D1F0D" w:rsidRPr="002D1F0D">
        <w:rPr>
          <w:rFonts w:ascii="Verdana" w:hAnsi="Verdana"/>
          <w:sz w:val="24"/>
          <w:szCs w:val="24"/>
        </w:rPr>
        <w:t>or for the plan that starts the 4-y</w:t>
      </w:r>
      <w:r w:rsidR="008C6D04">
        <w:rPr>
          <w:rFonts w:ascii="Verdana" w:hAnsi="Verdana"/>
          <w:sz w:val="24"/>
          <w:szCs w:val="24"/>
        </w:rPr>
        <w:t>ear</w:t>
      </w:r>
      <w:r w:rsidR="002D1F0D" w:rsidRPr="002D1F0D">
        <w:rPr>
          <w:rFonts w:ascii="Verdana" w:hAnsi="Verdana"/>
          <w:sz w:val="24"/>
          <w:szCs w:val="24"/>
        </w:rPr>
        <w:t xml:space="preserve"> clock.</w:t>
      </w:r>
    </w:p>
  </w:footnote>
  <w:footnote w:id="3">
    <w:p w14:paraId="62353EEF" w14:textId="18346993" w:rsidR="00802582" w:rsidRPr="00802582" w:rsidRDefault="00542AC9" w:rsidP="00802582">
      <w:pPr>
        <w:pStyle w:val="EndnoteText"/>
        <w:rPr>
          <w:rFonts w:asciiTheme="minorHAnsi" w:hAnsiTheme="minorHAnsi"/>
          <w:sz w:val="24"/>
          <w:szCs w:val="24"/>
        </w:rPr>
      </w:pPr>
      <w:r w:rsidRPr="00802582">
        <w:rPr>
          <w:rStyle w:val="FootnoteReference"/>
          <w:rFonts w:asciiTheme="minorHAnsi" w:hAnsiTheme="minorHAnsi"/>
          <w:sz w:val="24"/>
          <w:szCs w:val="24"/>
        </w:rPr>
        <w:footnoteRef/>
      </w:r>
      <w:r w:rsidRPr="00802582">
        <w:rPr>
          <w:rFonts w:asciiTheme="minorHAnsi" w:hAnsiTheme="minorHAnsi"/>
          <w:sz w:val="24"/>
          <w:szCs w:val="24"/>
        </w:rPr>
        <w:t xml:space="preserve"> </w:t>
      </w:r>
      <w:bookmarkStart w:id="0" w:name="_Hlk116039928"/>
      <w:r w:rsidR="008C6D04">
        <w:rPr>
          <w:rFonts w:asciiTheme="minorHAnsi" w:hAnsiTheme="minorHAnsi"/>
          <w:sz w:val="24"/>
          <w:szCs w:val="24"/>
        </w:rPr>
        <w:t>Dallas Fort Worth (</w:t>
      </w:r>
      <w:r w:rsidR="00802582" w:rsidRPr="00802582">
        <w:rPr>
          <w:rFonts w:asciiTheme="minorHAnsi" w:hAnsiTheme="minorHAnsi"/>
          <w:sz w:val="24"/>
          <w:szCs w:val="24"/>
        </w:rPr>
        <w:t>DFW</w:t>
      </w:r>
      <w:r w:rsidR="008C6D04">
        <w:rPr>
          <w:rFonts w:asciiTheme="minorHAnsi" w:hAnsiTheme="minorHAnsi"/>
          <w:sz w:val="24"/>
          <w:szCs w:val="24"/>
        </w:rPr>
        <w:t>)</w:t>
      </w:r>
      <w:r w:rsidR="00802582" w:rsidRPr="00802582">
        <w:rPr>
          <w:rFonts w:asciiTheme="minorHAnsi" w:hAnsiTheme="minorHAnsi"/>
          <w:sz w:val="24"/>
          <w:szCs w:val="24"/>
        </w:rPr>
        <w:t xml:space="preserve"> and </w:t>
      </w:r>
      <w:r w:rsidR="008C6D04">
        <w:rPr>
          <w:rFonts w:asciiTheme="minorHAnsi" w:hAnsiTheme="minorHAnsi"/>
          <w:sz w:val="24"/>
          <w:szCs w:val="24"/>
        </w:rPr>
        <w:t>Houston, Galveston, Brazoria (</w:t>
      </w:r>
      <w:r w:rsidR="00802582" w:rsidRPr="00802582">
        <w:rPr>
          <w:rFonts w:asciiTheme="minorHAnsi" w:hAnsiTheme="minorHAnsi"/>
          <w:sz w:val="24"/>
          <w:szCs w:val="24"/>
        </w:rPr>
        <w:t>HGB</w:t>
      </w:r>
      <w:r w:rsidR="008C6D04">
        <w:rPr>
          <w:rFonts w:asciiTheme="minorHAnsi" w:hAnsiTheme="minorHAnsi"/>
          <w:sz w:val="24"/>
          <w:szCs w:val="24"/>
        </w:rPr>
        <w:t>)</w:t>
      </w:r>
      <w:r w:rsidR="00802582" w:rsidRPr="00802582">
        <w:rPr>
          <w:rFonts w:asciiTheme="minorHAnsi" w:hAnsiTheme="minorHAnsi"/>
          <w:sz w:val="24"/>
          <w:szCs w:val="24"/>
        </w:rPr>
        <w:t xml:space="preserve"> were reclassified from serious to severe nonattainment for the 2008 ozone NAAQS, effective November 7, 2022 (</w:t>
      </w:r>
      <w:r w:rsidR="00802582" w:rsidRPr="004A359A">
        <w:rPr>
          <w:rFonts w:asciiTheme="minorHAnsi" w:hAnsiTheme="minorHAnsi"/>
          <w:i/>
          <w:iCs/>
          <w:sz w:val="24"/>
          <w:szCs w:val="24"/>
        </w:rPr>
        <w:t>Federal Register</w:t>
      </w:r>
      <w:r w:rsidR="00802582" w:rsidRPr="00802582">
        <w:rPr>
          <w:rFonts w:asciiTheme="minorHAnsi" w:hAnsiTheme="minorHAnsi"/>
          <w:sz w:val="24"/>
          <w:szCs w:val="24"/>
        </w:rPr>
        <w:t xml:space="preserve">: October 7, 2022, Vol. 87, No. 194, page 60927). </w:t>
      </w:r>
      <w:bookmarkEnd w:id="0"/>
      <w:r w:rsidR="00802582" w:rsidRPr="00802582">
        <w:rPr>
          <w:rFonts w:asciiTheme="minorHAnsi" w:hAnsiTheme="minorHAnsi"/>
          <w:sz w:val="24"/>
          <w:szCs w:val="24"/>
        </w:rPr>
        <w:t>DFW and HGB are classified as severe-15 nonattainment for the 8-hour 2008 ozone NAAQS (</w:t>
      </w:r>
      <w:r w:rsidR="00802582" w:rsidRPr="004A359A">
        <w:rPr>
          <w:rFonts w:asciiTheme="minorHAnsi" w:hAnsiTheme="minorHAnsi"/>
          <w:i/>
          <w:iCs/>
          <w:sz w:val="24"/>
          <w:szCs w:val="24"/>
        </w:rPr>
        <w:t>EPA Green Book</w:t>
      </w:r>
      <w:r w:rsidR="00802582" w:rsidRPr="00802582">
        <w:rPr>
          <w:rFonts w:asciiTheme="minorHAnsi" w:hAnsiTheme="minorHAnsi"/>
          <w:sz w:val="24"/>
          <w:szCs w:val="24"/>
        </w:rPr>
        <w:t>, 8-Hour Ozone (2008) Nonattainment Area State</w:t>
      </w:r>
      <w:r w:rsidR="00522D09">
        <w:rPr>
          <w:rFonts w:asciiTheme="minorHAnsi" w:hAnsiTheme="minorHAnsi"/>
          <w:sz w:val="24"/>
          <w:szCs w:val="24"/>
        </w:rPr>
        <w:t xml:space="preserve">, </w:t>
      </w:r>
      <w:r w:rsidR="00802582" w:rsidRPr="00802582">
        <w:rPr>
          <w:rFonts w:asciiTheme="minorHAnsi" w:hAnsiTheme="minorHAnsi"/>
          <w:sz w:val="24"/>
          <w:szCs w:val="24"/>
        </w:rPr>
        <w:t>Area</w:t>
      </w:r>
      <w:r w:rsidR="00522D09">
        <w:rPr>
          <w:rFonts w:asciiTheme="minorHAnsi" w:hAnsiTheme="minorHAnsi"/>
          <w:sz w:val="24"/>
          <w:szCs w:val="24"/>
        </w:rPr>
        <w:t xml:space="preserve">, and </w:t>
      </w:r>
      <w:r w:rsidR="00802582" w:rsidRPr="00802582">
        <w:rPr>
          <w:rFonts w:asciiTheme="minorHAnsi" w:hAnsiTheme="minorHAnsi"/>
          <w:sz w:val="24"/>
          <w:szCs w:val="24"/>
        </w:rPr>
        <w:t>County Report).</w:t>
      </w:r>
    </w:p>
    <w:p w14:paraId="7B364FBC" w14:textId="2FBC3E9A" w:rsidR="00542AC9" w:rsidRDefault="00542AC9">
      <w:pPr>
        <w:pStyle w:val="FootnoteText"/>
      </w:pPr>
    </w:p>
  </w:footnote>
  <w:footnote w:id="4">
    <w:p w14:paraId="373DF288" w14:textId="4D0D6AB4" w:rsidR="00A11FEC" w:rsidRPr="00A11FEC" w:rsidRDefault="00460EA4" w:rsidP="00A11FEC">
      <w:pPr>
        <w:pStyle w:val="EndnoteText"/>
        <w:rPr>
          <w:rFonts w:ascii="Verdana" w:hAnsi="Verdana"/>
          <w:sz w:val="24"/>
          <w:szCs w:val="24"/>
        </w:rPr>
      </w:pPr>
      <w:r w:rsidRPr="00A11FEC">
        <w:rPr>
          <w:rStyle w:val="FootnoteReference"/>
          <w:rFonts w:ascii="Verdana" w:hAnsi="Verdana"/>
          <w:sz w:val="24"/>
          <w:szCs w:val="24"/>
        </w:rPr>
        <w:footnoteRef/>
      </w:r>
      <w:r w:rsidRPr="00A11FEC">
        <w:rPr>
          <w:rFonts w:ascii="Verdana" w:hAnsi="Verdana"/>
          <w:sz w:val="24"/>
          <w:szCs w:val="24"/>
        </w:rPr>
        <w:t xml:space="preserve"> </w:t>
      </w:r>
      <w:r w:rsidR="00A11FEC" w:rsidRPr="00A11FEC">
        <w:rPr>
          <w:rFonts w:ascii="Verdana" w:hAnsi="Verdana"/>
          <w:sz w:val="24"/>
          <w:szCs w:val="24"/>
        </w:rPr>
        <w:t xml:space="preserve">DFW, HGB, and </w:t>
      </w:r>
      <w:r w:rsidR="00A11FEC">
        <w:rPr>
          <w:rFonts w:ascii="Verdana" w:hAnsi="Verdana"/>
          <w:sz w:val="24"/>
          <w:szCs w:val="24"/>
        </w:rPr>
        <w:t>San Antonio (</w:t>
      </w:r>
      <w:r w:rsidR="00A11FEC" w:rsidRPr="00A11FEC">
        <w:rPr>
          <w:rFonts w:ascii="Verdana" w:hAnsi="Verdana"/>
          <w:sz w:val="24"/>
          <w:szCs w:val="24"/>
        </w:rPr>
        <w:t>SAT</w:t>
      </w:r>
      <w:r w:rsidR="00A11FEC">
        <w:rPr>
          <w:rFonts w:ascii="Verdana" w:hAnsi="Verdana"/>
          <w:sz w:val="24"/>
          <w:szCs w:val="24"/>
        </w:rPr>
        <w:t>)</w:t>
      </w:r>
      <w:r w:rsidR="00A11FEC" w:rsidRPr="00A11FEC">
        <w:rPr>
          <w:rFonts w:ascii="Verdana" w:hAnsi="Verdana"/>
          <w:sz w:val="24"/>
          <w:szCs w:val="24"/>
        </w:rPr>
        <w:t xml:space="preserve"> were reclassified from marginal to moderate nonattainment for the 2015 ozone NAAQS, effective November 7, 2022 (</w:t>
      </w:r>
      <w:r w:rsidR="00A11FEC" w:rsidRPr="00D61CC6">
        <w:rPr>
          <w:rFonts w:ascii="Verdana" w:hAnsi="Verdana"/>
          <w:i/>
          <w:iCs/>
          <w:sz w:val="24"/>
          <w:szCs w:val="24"/>
        </w:rPr>
        <w:t>Federal Register</w:t>
      </w:r>
      <w:r w:rsidR="00A11FEC" w:rsidRPr="00A11FEC">
        <w:rPr>
          <w:rFonts w:ascii="Verdana" w:hAnsi="Verdana"/>
          <w:sz w:val="24"/>
          <w:szCs w:val="24"/>
        </w:rPr>
        <w:t xml:space="preserve">: October 7, 2022, Vol. 87, No. 194, page 60898). </w:t>
      </w:r>
      <w:bookmarkStart w:id="1" w:name="_Hlk172105272"/>
      <w:r w:rsidR="00A11FEC" w:rsidRPr="00A11FEC">
        <w:rPr>
          <w:rFonts w:ascii="Verdana" w:hAnsi="Verdana"/>
          <w:sz w:val="24"/>
          <w:szCs w:val="24"/>
        </w:rPr>
        <w:t>They were subsequently and voluntarily reclassified from moderate nonattainment to serious nonattainment, effective July 22, 2024 (</w:t>
      </w:r>
      <w:r w:rsidR="00A11FEC" w:rsidRPr="00D61CC6">
        <w:rPr>
          <w:rFonts w:ascii="Verdana" w:hAnsi="Verdana"/>
          <w:i/>
          <w:iCs/>
          <w:sz w:val="24"/>
          <w:szCs w:val="24"/>
        </w:rPr>
        <w:t>Federal Register</w:t>
      </w:r>
      <w:r w:rsidR="00A11FEC" w:rsidRPr="00A11FEC">
        <w:rPr>
          <w:rFonts w:ascii="Verdana" w:hAnsi="Verdana"/>
          <w:sz w:val="24"/>
          <w:szCs w:val="24"/>
        </w:rPr>
        <w:t>: June 20, 2024, Vol. 89, No.119, page 51829).</w:t>
      </w:r>
      <w:bookmarkEnd w:id="1"/>
    </w:p>
    <w:p w14:paraId="45EC4D54" w14:textId="5E8E1CC7" w:rsidR="00460EA4" w:rsidRDefault="00460EA4">
      <w:pPr>
        <w:pStyle w:val="FootnoteText"/>
      </w:pPr>
    </w:p>
  </w:footnote>
  <w:footnote w:id="5">
    <w:p w14:paraId="6F022F57" w14:textId="53A97227" w:rsidR="00886F4F" w:rsidRPr="00886F4F" w:rsidRDefault="00F809F3" w:rsidP="00886F4F">
      <w:pPr>
        <w:pStyle w:val="EndnoteText"/>
        <w:rPr>
          <w:rFonts w:ascii="Verdana" w:hAnsi="Verdana"/>
          <w:sz w:val="24"/>
          <w:szCs w:val="24"/>
        </w:rPr>
      </w:pPr>
      <w:r w:rsidRPr="00886F4F">
        <w:rPr>
          <w:rStyle w:val="FootnoteReference"/>
          <w:rFonts w:ascii="Verdana" w:hAnsi="Verdana"/>
          <w:sz w:val="24"/>
          <w:szCs w:val="24"/>
        </w:rPr>
        <w:footnoteRef/>
      </w:r>
      <w:r w:rsidRPr="00886F4F">
        <w:rPr>
          <w:rFonts w:ascii="Verdana" w:hAnsi="Verdana"/>
          <w:sz w:val="24"/>
          <w:szCs w:val="24"/>
        </w:rPr>
        <w:t xml:space="preserve"> </w:t>
      </w:r>
      <w:r w:rsidR="00886F4F" w:rsidRPr="00886F4F">
        <w:rPr>
          <w:rFonts w:ascii="Verdana" w:hAnsi="Verdana"/>
          <w:sz w:val="24"/>
          <w:szCs w:val="24"/>
        </w:rPr>
        <w:t>Conformity to 1997 ozone standard is required by February 16, 2019; however, a less stringent analysis was performed (</w:t>
      </w:r>
      <w:r w:rsidR="009C1C16">
        <w:rPr>
          <w:rFonts w:ascii="Verdana" w:hAnsi="Verdana"/>
          <w:sz w:val="24"/>
          <w:szCs w:val="24"/>
        </w:rPr>
        <w:t>for example</w:t>
      </w:r>
      <w:r w:rsidR="00886F4F" w:rsidRPr="00886F4F">
        <w:rPr>
          <w:rFonts w:ascii="Verdana" w:hAnsi="Verdana"/>
          <w:sz w:val="24"/>
          <w:szCs w:val="24"/>
        </w:rPr>
        <w:t>, no regional travel or emissions analysis).</w:t>
      </w:r>
    </w:p>
    <w:p w14:paraId="30DA8A5B" w14:textId="41DEFE89" w:rsidR="00F809F3" w:rsidRDefault="00F809F3">
      <w:pPr>
        <w:pStyle w:val="FootnoteText"/>
      </w:pPr>
    </w:p>
  </w:footnote>
  <w:footnote w:id="6">
    <w:p w14:paraId="17E51922" w14:textId="10D3215D" w:rsidR="00A84332" w:rsidRPr="00A84332" w:rsidRDefault="0012270B" w:rsidP="00A84332">
      <w:pPr>
        <w:pStyle w:val="EndnoteText"/>
        <w:rPr>
          <w:rFonts w:asciiTheme="minorHAnsi" w:hAnsiTheme="minorHAnsi"/>
          <w:sz w:val="24"/>
          <w:szCs w:val="24"/>
        </w:rPr>
      </w:pPr>
      <w:r w:rsidRPr="00A84332">
        <w:rPr>
          <w:rStyle w:val="FootnoteReference"/>
          <w:rFonts w:asciiTheme="minorHAnsi" w:hAnsiTheme="minorHAnsi"/>
          <w:sz w:val="24"/>
          <w:szCs w:val="24"/>
        </w:rPr>
        <w:footnoteRef/>
      </w:r>
      <w:r w:rsidRPr="00A84332">
        <w:rPr>
          <w:rFonts w:asciiTheme="minorHAnsi" w:hAnsiTheme="minorHAnsi"/>
          <w:sz w:val="24"/>
          <w:szCs w:val="24"/>
        </w:rPr>
        <w:t xml:space="preserve"> </w:t>
      </w:r>
      <w:r w:rsidR="00A84332">
        <w:rPr>
          <w:rFonts w:asciiTheme="minorHAnsi" w:hAnsiTheme="minorHAnsi"/>
          <w:sz w:val="24"/>
          <w:szCs w:val="24"/>
        </w:rPr>
        <w:t>Environmental Protection Agency (</w:t>
      </w:r>
      <w:r w:rsidR="00A84332" w:rsidRPr="00A84332">
        <w:rPr>
          <w:rFonts w:asciiTheme="minorHAnsi" w:hAnsiTheme="minorHAnsi"/>
          <w:sz w:val="24"/>
          <w:szCs w:val="24"/>
        </w:rPr>
        <w:t>EPA</w:t>
      </w:r>
      <w:r w:rsidR="00A84332">
        <w:rPr>
          <w:rFonts w:asciiTheme="minorHAnsi" w:hAnsiTheme="minorHAnsi"/>
          <w:sz w:val="24"/>
          <w:szCs w:val="24"/>
        </w:rPr>
        <w:t>)</w:t>
      </w:r>
      <w:r w:rsidR="00A84332" w:rsidRPr="00A84332">
        <w:rPr>
          <w:rFonts w:asciiTheme="minorHAnsi" w:hAnsiTheme="minorHAnsi"/>
          <w:sz w:val="24"/>
          <w:szCs w:val="24"/>
        </w:rPr>
        <w:t xml:space="preserve"> clarified in their final rule for HGB SIP Revision (</w:t>
      </w:r>
      <w:r w:rsidR="00A84332" w:rsidRPr="00A84332">
        <w:rPr>
          <w:rFonts w:asciiTheme="minorHAnsi" w:hAnsiTheme="minorHAnsi"/>
          <w:i/>
          <w:iCs/>
          <w:sz w:val="24"/>
          <w:szCs w:val="24"/>
        </w:rPr>
        <w:t>Federal Register</w:t>
      </w:r>
      <w:r w:rsidR="00A84332" w:rsidRPr="00A84332">
        <w:rPr>
          <w:rFonts w:asciiTheme="minorHAnsi" w:hAnsiTheme="minorHAnsi"/>
          <w:sz w:val="24"/>
          <w:szCs w:val="24"/>
        </w:rPr>
        <w:t>: February 14, 2020, Vol. 85, No.31, page 8411) that designations and classifications for revoked 1979 and 1997 ozone standards were also revoked and therefore have no designation.</w:t>
      </w:r>
    </w:p>
    <w:p w14:paraId="077745E4" w14:textId="4B01E878" w:rsidR="0012270B" w:rsidRPr="00A84332" w:rsidRDefault="0012270B">
      <w:pPr>
        <w:pStyle w:val="FootnoteText"/>
        <w:rPr>
          <w:rFonts w:asciiTheme="minorHAnsi" w:hAnsiTheme="minorHAnsi"/>
          <w:sz w:val="24"/>
          <w:szCs w:val="24"/>
        </w:rPr>
      </w:pPr>
    </w:p>
  </w:footnote>
  <w:footnote w:id="7">
    <w:p w14:paraId="22CABA74" w14:textId="071091E7" w:rsidR="00FD119F" w:rsidRPr="00AA056C" w:rsidRDefault="00FD119F" w:rsidP="00A843C1">
      <w:pPr>
        <w:pStyle w:val="FootnoteText"/>
        <w:spacing w:after="240"/>
        <w:rPr>
          <w:rFonts w:asciiTheme="minorHAnsi" w:hAnsiTheme="minorHAnsi"/>
          <w:sz w:val="24"/>
          <w:szCs w:val="24"/>
        </w:rPr>
      </w:pPr>
      <w:r w:rsidRPr="00AA056C">
        <w:rPr>
          <w:rStyle w:val="FootnoteReference"/>
          <w:rFonts w:asciiTheme="minorHAnsi" w:hAnsiTheme="minorHAnsi"/>
          <w:sz w:val="24"/>
          <w:szCs w:val="24"/>
        </w:rPr>
        <w:footnoteRef/>
      </w:r>
      <w:r w:rsidRPr="00AA056C">
        <w:rPr>
          <w:rFonts w:asciiTheme="minorHAnsi" w:hAnsiTheme="minorHAnsi"/>
          <w:sz w:val="24"/>
          <w:szCs w:val="24"/>
        </w:rPr>
        <w:t xml:space="preserve"> </w:t>
      </w:r>
      <w:r w:rsidR="00AA056C" w:rsidRPr="00AA056C">
        <w:rPr>
          <w:rFonts w:asciiTheme="minorHAnsi" w:hAnsiTheme="minorHAnsi"/>
          <w:sz w:val="24"/>
          <w:szCs w:val="24"/>
        </w:rPr>
        <w:t xml:space="preserve">Only Sunland Park, </w:t>
      </w:r>
      <w:r w:rsidR="00AA056C">
        <w:rPr>
          <w:rFonts w:asciiTheme="minorHAnsi" w:hAnsiTheme="minorHAnsi"/>
          <w:sz w:val="24"/>
          <w:szCs w:val="24"/>
        </w:rPr>
        <w:t>New Mexico (</w:t>
      </w:r>
      <w:r w:rsidR="00AA056C" w:rsidRPr="00AA056C">
        <w:rPr>
          <w:rFonts w:asciiTheme="minorHAnsi" w:hAnsiTheme="minorHAnsi"/>
          <w:sz w:val="24"/>
          <w:szCs w:val="24"/>
        </w:rPr>
        <w:t>NM</w:t>
      </w:r>
      <w:r w:rsidR="00AA056C">
        <w:rPr>
          <w:rFonts w:asciiTheme="minorHAnsi" w:hAnsiTheme="minorHAnsi"/>
          <w:sz w:val="24"/>
          <w:szCs w:val="24"/>
        </w:rPr>
        <w:t>)</w:t>
      </w:r>
      <w:r w:rsidR="00AA056C" w:rsidRPr="00AA056C">
        <w:rPr>
          <w:rFonts w:asciiTheme="minorHAnsi" w:hAnsiTheme="minorHAnsi"/>
          <w:sz w:val="24"/>
          <w:szCs w:val="24"/>
        </w:rPr>
        <w:t xml:space="preserve"> is nonattainment for ozone. El Paso County is designated attainment</w:t>
      </w:r>
      <w:r w:rsidR="007C58B2">
        <w:rPr>
          <w:rFonts w:asciiTheme="minorHAnsi" w:hAnsiTheme="minorHAnsi"/>
          <w:sz w:val="24"/>
          <w:szCs w:val="24"/>
        </w:rPr>
        <w:t xml:space="preserve"> </w:t>
      </w:r>
      <w:r w:rsidR="00EC0D38">
        <w:rPr>
          <w:rFonts w:asciiTheme="minorHAnsi" w:hAnsiTheme="minorHAnsi"/>
          <w:sz w:val="24"/>
          <w:szCs w:val="24"/>
        </w:rPr>
        <w:t>and</w:t>
      </w:r>
      <w:r w:rsidR="007C58B2">
        <w:rPr>
          <w:rFonts w:asciiTheme="minorHAnsi" w:hAnsiTheme="minorHAnsi"/>
          <w:sz w:val="24"/>
          <w:szCs w:val="24"/>
        </w:rPr>
        <w:t xml:space="preserve"> </w:t>
      </w:r>
      <w:r w:rsidR="00AA056C" w:rsidRPr="00AA056C">
        <w:rPr>
          <w:rFonts w:asciiTheme="minorHAnsi" w:hAnsiTheme="minorHAnsi"/>
          <w:sz w:val="24"/>
          <w:szCs w:val="24"/>
        </w:rPr>
        <w:t>unclassifiable for ozone</w:t>
      </w:r>
      <w:r w:rsidR="00FB26C6" w:rsidRPr="00AA056C">
        <w:rPr>
          <w:rFonts w:asciiTheme="minorHAnsi" w:hAnsiTheme="minorHAnsi"/>
          <w:sz w:val="24"/>
          <w:szCs w:val="24"/>
        </w:rPr>
        <w:t xml:space="preserve">. </w:t>
      </w:r>
    </w:p>
  </w:footnote>
  <w:footnote w:id="8">
    <w:p w14:paraId="03B257A1" w14:textId="0B7A4054" w:rsidR="00A843C1" w:rsidRPr="00A843C1" w:rsidRDefault="00AA056C" w:rsidP="00A843C1">
      <w:pPr>
        <w:pStyle w:val="EndnoteText"/>
        <w:rPr>
          <w:rFonts w:asciiTheme="minorHAnsi" w:hAnsiTheme="minorHAnsi"/>
          <w:sz w:val="24"/>
          <w:szCs w:val="24"/>
        </w:rPr>
      </w:pPr>
      <w:r w:rsidRPr="00A843C1">
        <w:rPr>
          <w:rStyle w:val="FootnoteReference"/>
          <w:rFonts w:asciiTheme="minorHAnsi" w:hAnsiTheme="minorHAnsi"/>
          <w:sz w:val="24"/>
          <w:szCs w:val="24"/>
        </w:rPr>
        <w:footnoteRef/>
      </w:r>
      <w:r w:rsidRPr="00A843C1">
        <w:rPr>
          <w:rFonts w:asciiTheme="minorHAnsi" w:hAnsiTheme="minorHAnsi"/>
          <w:sz w:val="24"/>
          <w:szCs w:val="24"/>
        </w:rPr>
        <w:t xml:space="preserve"> </w:t>
      </w:r>
      <w:r w:rsidR="00A843C1" w:rsidRPr="00A843C1">
        <w:rPr>
          <w:rFonts w:asciiTheme="minorHAnsi" w:hAnsiTheme="minorHAnsi"/>
          <w:sz w:val="24"/>
          <w:szCs w:val="24"/>
        </w:rPr>
        <w:t xml:space="preserve">Although </w:t>
      </w:r>
      <w:r w:rsidR="00CB5302">
        <w:rPr>
          <w:rFonts w:asciiTheme="minorHAnsi" w:hAnsiTheme="minorHAnsi"/>
          <w:sz w:val="24"/>
          <w:szCs w:val="24"/>
        </w:rPr>
        <w:t xml:space="preserve">the </w:t>
      </w:r>
      <w:r w:rsidR="00A843C1" w:rsidRPr="00A843C1">
        <w:rPr>
          <w:rFonts w:asciiTheme="minorHAnsi" w:hAnsiTheme="minorHAnsi"/>
          <w:sz w:val="24"/>
          <w:szCs w:val="24"/>
        </w:rPr>
        <w:t xml:space="preserve">EPA designated El Paso County as nonattainment for ozone, effective December 30, 2021; on June 30, 2023, the </w:t>
      </w:r>
      <w:r w:rsidR="00132D1B">
        <w:rPr>
          <w:rFonts w:asciiTheme="minorHAnsi" w:hAnsiTheme="minorHAnsi"/>
          <w:sz w:val="24"/>
          <w:szCs w:val="24"/>
        </w:rPr>
        <w:t xml:space="preserve">United States Court of Appeals for the </w:t>
      </w:r>
      <w:r w:rsidR="00A843C1" w:rsidRPr="00132D1B">
        <w:rPr>
          <w:rFonts w:asciiTheme="minorHAnsi" w:hAnsiTheme="minorHAnsi"/>
          <w:sz w:val="24"/>
          <w:szCs w:val="24"/>
        </w:rPr>
        <w:t>D</w:t>
      </w:r>
      <w:r w:rsidR="00132D1B" w:rsidRPr="00132D1B">
        <w:rPr>
          <w:rFonts w:asciiTheme="minorHAnsi" w:hAnsiTheme="minorHAnsi"/>
          <w:sz w:val="24"/>
          <w:szCs w:val="24"/>
        </w:rPr>
        <w:t xml:space="preserve">istrict of </w:t>
      </w:r>
      <w:r w:rsidR="00A843C1" w:rsidRPr="00132D1B">
        <w:rPr>
          <w:rFonts w:asciiTheme="minorHAnsi" w:hAnsiTheme="minorHAnsi"/>
          <w:sz w:val="24"/>
          <w:szCs w:val="24"/>
        </w:rPr>
        <w:t>C</w:t>
      </w:r>
      <w:r w:rsidR="00132D1B" w:rsidRPr="00132D1B">
        <w:rPr>
          <w:rFonts w:asciiTheme="minorHAnsi" w:hAnsiTheme="minorHAnsi"/>
          <w:sz w:val="24"/>
          <w:szCs w:val="24"/>
        </w:rPr>
        <w:t>olumbia</w:t>
      </w:r>
      <w:r w:rsidR="00A843C1" w:rsidRPr="00A843C1">
        <w:rPr>
          <w:rFonts w:asciiTheme="minorHAnsi" w:hAnsiTheme="minorHAnsi"/>
          <w:sz w:val="24"/>
          <w:szCs w:val="24"/>
        </w:rPr>
        <w:t xml:space="preserve"> Circuit Court of Appeals reversed the nonattainment designation for El Paso County, finding that the EPA’s action was impermissibly retroactive (</w:t>
      </w:r>
      <w:hyperlink r:id="rId1" w:history="1">
        <w:r w:rsidR="009F5D07">
          <w:rPr>
            <w:rStyle w:val="Hyperlink"/>
            <w:rFonts w:asciiTheme="minorHAnsi" w:hAnsiTheme="minorHAnsi"/>
            <w:sz w:val="24"/>
            <w:szCs w:val="24"/>
          </w:rPr>
          <w:t>EPA Ozone Designations Regulatory Actions</w:t>
        </w:r>
      </w:hyperlink>
      <w:r w:rsidR="00A843C1" w:rsidRPr="00A843C1">
        <w:rPr>
          <w:rFonts w:asciiTheme="minorHAnsi" w:hAnsiTheme="minorHAnsi"/>
          <w:sz w:val="24"/>
          <w:szCs w:val="24"/>
        </w:rPr>
        <w:t xml:space="preserve">). </w:t>
      </w:r>
    </w:p>
    <w:p w14:paraId="104A2D4A" w14:textId="6BD86CF1" w:rsidR="00AA056C" w:rsidRDefault="00AA056C">
      <w:pPr>
        <w:pStyle w:val="FootnoteText"/>
      </w:pPr>
    </w:p>
  </w:footnote>
  <w:footnote w:id="9">
    <w:p w14:paraId="415628FB" w14:textId="77777777" w:rsidR="00423969" w:rsidRPr="00423969" w:rsidRDefault="008A1532" w:rsidP="00423969">
      <w:pPr>
        <w:pStyle w:val="EndnoteText"/>
        <w:rPr>
          <w:rFonts w:asciiTheme="minorHAnsi" w:hAnsiTheme="minorHAnsi"/>
          <w:sz w:val="24"/>
          <w:szCs w:val="24"/>
        </w:rPr>
      </w:pPr>
      <w:r w:rsidRPr="00423969">
        <w:rPr>
          <w:rStyle w:val="FootnoteReference"/>
          <w:rFonts w:asciiTheme="minorHAnsi" w:hAnsiTheme="minorHAnsi"/>
          <w:sz w:val="24"/>
          <w:szCs w:val="24"/>
        </w:rPr>
        <w:footnoteRef/>
      </w:r>
      <w:r w:rsidRPr="00423969">
        <w:rPr>
          <w:rFonts w:asciiTheme="minorHAnsi" w:hAnsiTheme="minorHAnsi"/>
          <w:sz w:val="24"/>
          <w:szCs w:val="24"/>
        </w:rPr>
        <w:t xml:space="preserve"> </w:t>
      </w:r>
      <w:r w:rsidR="00423969" w:rsidRPr="00423969">
        <w:rPr>
          <w:rFonts w:asciiTheme="minorHAnsi" w:hAnsiTheme="minorHAnsi"/>
          <w:sz w:val="24"/>
          <w:szCs w:val="24"/>
        </w:rPr>
        <w:t>2015 ozone designation for SAT area becomes effective September 24, 2018.</w:t>
      </w:r>
    </w:p>
    <w:p w14:paraId="1F182D29" w14:textId="216F03F8" w:rsidR="008A1532" w:rsidRDefault="008A1532">
      <w:pPr>
        <w:pStyle w:val="FootnoteText"/>
      </w:pPr>
    </w:p>
  </w:footnote>
  <w:footnote w:id="10">
    <w:p w14:paraId="18B628D8" w14:textId="77777777" w:rsidR="007B101C" w:rsidRPr="007B101C" w:rsidRDefault="00EC7DD3" w:rsidP="007B101C">
      <w:pPr>
        <w:pStyle w:val="EndnoteText"/>
        <w:rPr>
          <w:rFonts w:asciiTheme="minorHAnsi" w:hAnsiTheme="minorHAnsi"/>
          <w:sz w:val="24"/>
          <w:szCs w:val="24"/>
        </w:rPr>
      </w:pPr>
      <w:r w:rsidRPr="007B101C">
        <w:rPr>
          <w:rStyle w:val="FootnoteReference"/>
          <w:rFonts w:asciiTheme="minorHAnsi" w:hAnsiTheme="minorHAnsi"/>
          <w:sz w:val="24"/>
          <w:szCs w:val="24"/>
        </w:rPr>
        <w:footnoteRef/>
      </w:r>
      <w:r w:rsidRPr="007B101C">
        <w:rPr>
          <w:rFonts w:asciiTheme="minorHAnsi" w:hAnsiTheme="minorHAnsi"/>
          <w:sz w:val="24"/>
          <w:szCs w:val="24"/>
        </w:rPr>
        <w:t xml:space="preserve"> </w:t>
      </w:r>
      <w:r w:rsidR="007B101C" w:rsidRPr="007B101C">
        <w:rPr>
          <w:rFonts w:asciiTheme="minorHAnsi" w:hAnsiTheme="minorHAnsi"/>
          <w:sz w:val="24"/>
          <w:szCs w:val="24"/>
        </w:rPr>
        <w:t>DFW, HGB, and SAT were reclassified from marginal to moderate nonattainment for the 2015 ozone NAAQS, effective November 7, 2022 (</w:t>
      </w:r>
      <w:r w:rsidR="007B101C" w:rsidRPr="007B101C">
        <w:rPr>
          <w:rFonts w:asciiTheme="minorHAnsi" w:hAnsiTheme="minorHAnsi"/>
          <w:i/>
          <w:iCs/>
          <w:sz w:val="24"/>
          <w:szCs w:val="24"/>
        </w:rPr>
        <w:t>Federal Register</w:t>
      </w:r>
      <w:r w:rsidR="007B101C" w:rsidRPr="007B101C">
        <w:rPr>
          <w:rFonts w:asciiTheme="minorHAnsi" w:hAnsiTheme="minorHAnsi"/>
          <w:sz w:val="24"/>
          <w:szCs w:val="24"/>
        </w:rPr>
        <w:t>: October 7, 2022, Vol. 87, No. 194, page 60898). They were subsequently and voluntarily reclassified from moderate nonattainment to serious nonattainment, effective July 22, 2024 (</w:t>
      </w:r>
      <w:r w:rsidR="007B101C" w:rsidRPr="007B101C">
        <w:rPr>
          <w:rFonts w:asciiTheme="minorHAnsi" w:hAnsiTheme="minorHAnsi"/>
          <w:i/>
          <w:iCs/>
          <w:sz w:val="24"/>
          <w:szCs w:val="24"/>
        </w:rPr>
        <w:t>Federal Register</w:t>
      </w:r>
      <w:r w:rsidR="007B101C" w:rsidRPr="007B101C">
        <w:rPr>
          <w:rFonts w:asciiTheme="minorHAnsi" w:hAnsiTheme="minorHAnsi"/>
          <w:sz w:val="24"/>
          <w:szCs w:val="24"/>
        </w:rPr>
        <w:t>: June 20, 2024, Vol. 89, No.119, page 51829).</w:t>
      </w:r>
    </w:p>
    <w:p w14:paraId="3B6E9C86" w14:textId="1F49990C" w:rsidR="00EC7DD3" w:rsidRDefault="00EC7DD3">
      <w:pPr>
        <w:pStyle w:val="FootnoteText"/>
      </w:pPr>
    </w:p>
  </w:footnote>
  <w:footnote w:id="11">
    <w:p w14:paraId="4805126E" w14:textId="34AFB05A" w:rsidR="00D21DB1" w:rsidRPr="00D21DB1" w:rsidRDefault="00725141" w:rsidP="00D21DB1">
      <w:pPr>
        <w:pStyle w:val="EndnoteText"/>
        <w:spacing w:line="276" w:lineRule="auto"/>
        <w:rPr>
          <w:rFonts w:asciiTheme="minorHAnsi" w:hAnsiTheme="minorHAnsi"/>
          <w:sz w:val="24"/>
          <w:szCs w:val="24"/>
        </w:rPr>
      </w:pPr>
      <w:r w:rsidRPr="00D21DB1">
        <w:rPr>
          <w:rStyle w:val="FootnoteReference"/>
          <w:rFonts w:asciiTheme="minorHAnsi" w:hAnsiTheme="minorHAnsi"/>
          <w:sz w:val="24"/>
          <w:szCs w:val="24"/>
        </w:rPr>
        <w:footnoteRef/>
      </w:r>
      <w:r w:rsidRPr="00D21DB1">
        <w:rPr>
          <w:rFonts w:asciiTheme="minorHAnsi" w:hAnsiTheme="minorHAnsi"/>
          <w:sz w:val="24"/>
          <w:szCs w:val="24"/>
        </w:rPr>
        <w:t xml:space="preserve"> </w:t>
      </w:r>
      <w:r w:rsidR="00D21DB1" w:rsidRPr="00D21DB1">
        <w:rPr>
          <w:rFonts w:asciiTheme="minorHAnsi" w:hAnsiTheme="minorHAnsi"/>
          <w:sz w:val="24"/>
          <w:szCs w:val="24"/>
        </w:rPr>
        <w:t>A small portion of Collin County is designated maintenance for lead, effective September 27, 2017</w:t>
      </w:r>
      <w:r w:rsidR="00FB26C6" w:rsidRPr="00D21DB1">
        <w:rPr>
          <w:rFonts w:asciiTheme="minorHAnsi" w:hAnsiTheme="minorHAnsi"/>
          <w:sz w:val="24"/>
          <w:szCs w:val="24"/>
        </w:rPr>
        <w:t xml:space="preserve">. </w:t>
      </w:r>
      <w:r w:rsidR="00D21DB1" w:rsidRPr="00D21DB1">
        <w:rPr>
          <w:rFonts w:asciiTheme="minorHAnsi" w:hAnsiTheme="minorHAnsi"/>
          <w:sz w:val="24"/>
          <w:szCs w:val="24"/>
        </w:rPr>
        <w:t>Transportation conformity does not apply to the lead NAAQS (</w:t>
      </w:r>
      <w:r w:rsidR="00D21DB1" w:rsidRPr="00D21DB1">
        <w:rPr>
          <w:rFonts w:asciiTheme="minorHAnsi" w:hAnsiTheme="minorHAnsi"/>
          <w:i/>
          <w:iCs/>
          <w:sz w:val="24"/>
          <w:szCs w:val="24"/>
        </w:rPr>
        <w:t>Federal Register</w:t>
      </w:r>
      <w:r w:rsidR="00D21DB1" w:rsidRPr="00D21DB1">
        <w:rPr>
          <w:rFonts w:asciiTheme="minorHAnsi" w:hAnsiTheme="minorHAnsi"/>
          <w:sz w:val="24"/>
          <w:szCs w:val="24"/>
        </w:rPr>
        <w:t>: June 29, 2017, Vol. 82, No. 124, page 29426)</w:t>
      </w:r>
      <w:r w:rsidR="00FB26C6" w:rsidRPr="00D21DB1">
        <w:rPr>
          <w:rFonts w:asciiTheme="minorHAnsi" w:hAnsiTheme="minorHAnsi"/>
          <w:sz w:val="24"/>
          <w:szCs w:val="24"/>
        </w:rPr>
        <w:t xml:space="preserve">. </w:t>
      </w:r>
    </w:p>
    <w:p w14:paraId="3797BBB0" w14:textId="05A0F469" w:rsidR="00725141" w:rsidRDefault="00725141">
      <w:pPr>
        <w:pStyle w:val="FootnoteText"/>
      </w:pPr>
    </w:p>
  </w:footnote>
  <w:footnote w:id="12">
    <w:p w14:paraId="41826390" w14:textId="081387D6" w:rsidR="00675D82" w:rsidRPr="00B506B3" w:rsidRDefault="00675D82">
      <w:pPr>
        <w:pStyle w:val="FootnoteText"/>
        <w:rPr>
          <w:rFonts w:asciiTheme="minorHAnsi" w:hAnsiTheme="minorHAnsi"/>
          <w:sz w:val="24"/>
          <w:szCs w:val="24"/>
        </w:rPr>
      </w:pPr>
      <w:r w:rsidRPr="00B506B3">
        <w:rPr>
          <w:rStyle w:val="FootnoteReference"/>
          <w:rFonts w:asciiTheme="minorHAnsi" w:hAnsiTheme="minorHAnsi"/>
          <w:sz w:val="24"/>
          <w:szCs w:val="24"/>
        </w:rPr>
        <w:footnoteRef/>
      </w:r>
      <w:r w:rsidRPr="00B506B3">
        <w:rPr>
          <w:rFonts w:asciiTheme="minorHAnsi" w:hAnsiTheme="minorHAnsi"/>
          <w:sz w:val="24"/>
          <w:szCs w:val="24"/>
        </w:rPr>
        <w:t xml:space="preserve"> </w:t>
      </w:r>
      <w:r w:rsidR="00B506B3" w:rsidRPr="00B506B3">
        <w:rPr>
          <w:rFonts w:asciiTheme="minorHAnsi" w:hAnsiTheme="minorHAnsi"/>
          <w:sz w:val="24"/>
          <w:szCs w:val="24"/>
        </w:rPr>
        <w:t>A portion of these counties are designated nonattainment f</w:t>
      </w:r>
      <w:r w:rsidR="00B506B3" w:rsidRPr="0038028A">
        <w:rPr>
          <w:rFonts w:asciiTheme="minorHAnsi" w:hAnsiTheme="minorHAnsi"/>
          <w:sz w:val="24"/>
          <w:szCs w:val="24"/>
        </w:rPr>
        <w:t xml:space="preserve">or </w:t>
      </w:r>
      <w:r w:rsidR="0038028A" w:rsidRPr="0038028A">
        <w:rPr>
          <w:rFonts w:asciiTheme="minorHAnsi" w:hAnsiTheme="minorHAnsi"/>
          <w:sz w:val="24"/>
          <w:szCs w:val="24"/>
        </w:rPr>
        <w:t>SO</w:t>
      </w:r>
      <w:r w:rsidR="0038028A" w:rsidRPr="0038028A">
        <w:rPr>
          <w:rFonts w:asciiTheme="minorHAnsi" w:hAnsiTheme="minorHAnsi"/>
          <w:sz w:val="24"/>
          <w:szCs w:val="24"/>
          <w:vertAlign w:val="subscript"/>
        </w:rPr>
        <w:t>2</w:t>
      </w:r>
      <w:r w:rsidR="00FB26C6" w:rsidRPr="00B506B3">
        <w:rPr>
          <w:rFonts w:asciiTheme="minorHAnsi" w:hAnsiTheme="minorHAnsi"/>
          <w:sz w:val="24"/>
          <w:szCs w:val="24"/>
        </w:rPr>
        <w:t xml:space="preserve">. </w:t>
      </w:r>
      <w:r w:rsidR="00B506B3" w:rsidRPr="00B506B3">
        <w:rPr>
          <w:rFonts w:asciiTheme="minorHAnsi" w:hAnsiTheme="minorHAnsi"/>
          <w:sz w:val="24"/>
          <w:szCs w:val="24"/>
        </w:rPr>
        <w:t xml:space="preserve">Transportation conformity does not apply to the </w:t>
      </w:r>
      <w:r w:rsidR="0038028A" w:rsidRPr="0038028A">
        <w:rPr>
          <w:rFonts w:ascii="Verdana" w:hAnsi="Verdana"/>
          <w:sz w:val="24"/>
          <w:szCs w:val="24"/>
        </w:rPr>
        <w:t>SO</w:t>
      </w:r>
      <w:r w:rsidR="0038028A" w:rsidRPr="0038028A">
        <w:rPr>
          <w:rFonts w:ascii="Verdana" w:hAnsi="Verdana"/>
          <w:sz w:val="24"/>
          <w:szCs w:val="24"/>
          <w:vertAlign w:val="subscript"/>
        </w:rPr>
        <w:t>2</w:t>
      </w:r>
      <w:r w:rsidR="00B506B3" w:rsidRPr="0038028A">
        <w:rPr>
          <w:rFonts w:ascii="Verdana" w:hAnsi="Verdana"/>
          <w:sz w:val="24"/>
          <w:szCs w:val="24"/>
        </w:rPr>
        <w:t xml:space="preserve"> </w:t>
      </w:r>
      <w:r w:rsidR="00B506B3" w:rsidRPr="00B506B3">
        <w:rPr>
          <w:rFonts w:asciiTheme="minorHAnsi" w:hAnsiTheme="minorHAnsi"/>
          <w:sz w:val="24"/>
          <w:szCs w:val="24"/>
        </w:rPr>
        <w:t>NAAQS</w:t>
      </w:r>
      <w:r w:rsidR="00FB26C6" w:rsidRPr="00B506B3">
        <w:rPr>
          <w:rFonts w:asciiTheme="minorHAnsi" w:hAnsiTheme="minorHAnsi"/>
          <w:sz w:val="24"/>
          <w:szCs w:val="24"/>
        </w:rPr>
        <w:t xml:space="preserve">. </w:t>
      </w:r>
    </w:p>
  </w:footnote>
  <w:footnote w:id="13">
    <w:p w14:paraId="23A585F4" w14:textId="5B92CDEF" w:rsidR="00B506B3" w:rsidRDefault="00B506B3" w:rsidP="00FB26C6">
      <w:pPr>
        <w:pStyle w:val="EndnoteText"/>
      </w:pPr>
      <w:r w:rsidRPr="00377AA7">
        <w:rPr>
          <w:rStyle w:val="FootnoteReference"/>
          <w:rFonts w:asciiTheme="minorHAnsi" w:hAnsiTheme="minorHAnsi"/>
          <w:sz w:val="24"/>
          <w:szCs w:val="24"/>
        </w:rPr>
        <w:footnoteRef/>
      </w:r>
      <w:r w:rsidRPr="00377AA7">
        <w:rPr>
          <w:rFonts w:asciiTheme="minorHAnsi" w:hAnsiTheme="minorHAnsi"/>
          <w:sz w:val="24"/>
          <w:szCs w:val="24"/>
        </w:rPr>
        <w:t xml:space="preserve"> </w:t>
      </w:r>
      <w:r w:rsidR="00377AA7" w:rsidRPr="00377AA7">
        <w:rPr>
          <w:rFonts w:asciiTheme="minorHAnsi" w:hAnsiTheme="minorHAnsi"/>
          <w:sz w:val="24"/>
          <w:szCs w:val="24"/>
        </w:rPr>
        <w:t>In the September 5</w:t>
      </w:r>
      <w:r w:rsidR="00377AA7" w:rsidRPr="00377AA7">
        <w:rPr>
          <w:rFonts w:asciiTheme="minorHAnsi" w:hAnsiTheme="minorHAnsi"/>
          <w:sz w:val="24"/>
          <w:szCs w:val="24"/>
          <w:vertAlign w:val="superscript"/>
        </w:rPr>
        <w:t>th</w:t>
      </w:r>
      <w:r w:rsidR="00377AA7" w:rsidRPr="00377AA7">
        <w:rPr>
          <w:rFonts w:asciiTheme="minorHAnsi" w:hAnsiTheme="minorHAnsi"/>
          <w:sz w:val="24"/>
          <w:szCs w:val="24"/>
        </w:rPr>
        <w:t>, 2025, Federal Register, EPA noted that the Rusk and Panola County SO</w:t>
      </w:r>
      <w:r w:rsidR="00377AA7" w:rsidRPr="00377AA7">
        <w:rPr>
          <w:rFonts w:asciiTheme="minorHAnsi" w:hAnsiTheme="minorHAnsi"/>
          <w:sz w:val="24"/>
          <w:szCs w:val="24"/>
          <w:vertAlign w:val="subscript"/>
        </w:rPr>
        <w:t>2</w:t>
      </w:r>
      <w:r w:rsidR="00377AA7" w:rsidRPr="00377AA7">
        <w:rPr>
          <w:rFonts w:asciiTheme="minorHAnsi" w:hAnsiTheme="minorHAnsi"/>
          <w:sz w:val="24"/>
          <w:szCs w:val="24"/>
        </w:rPr>
        <w:t xml:space="preserve"> nonattainment area classifications were rescinded based on the U.S Court of Appeals for the Fifth Circuit court case on March 16, 2025. Effective September 5, 2025, the Rusk and Panola Counties are in attainment</w:t>
      </w:r>
      <w:r w:rsidR="00354EFA">
        <w:rPr>
          <w:rFonts w:asciiTheme="minorHAnsi" w:hAnsiTheme="minorHAnsi"/>
          <w:sz w:val="24"/>
          <w:szCs w:val="24"/>
        </w:rPr>
        <w:t xml:space="preserve"> and </w:t>
      </w:r>
      <w:r w:rsidR="00377AA7" w:rsidRPr="00377AA7">
        <w:rPr>
          <w:rFonts w:asciiTheme="minorHAnsi" w:hAnsiTheme="minorHAnsi"/>
          <w:sz w:val="24"/>
          <w:szCs w:val="24"/>
        </w:rPr>
        <w:t>unclassifiable for the SO</w:t>
      </w:r>
      <w:r w:rsidR="00377AA7" w:rsidRPr="00377AA7">
        <w:rPr>
          <w:rFonts w:asciiTheme="minorHAnsi" w:hAnsiTheme="minorHAnsi"/>
          <w:sz w:val="24"/>
          <w:szCs w:val="24"/>
          <w:vertAlign w:val="subscript"/>
        </w:rPr>
        <w:t>2</w:t>
      </w:r>
      <w:r w:rsidR="00377AA7" w:rsidRPr="00377AA7">
        <w:rPr>
          <w:rFonts w:asciiTheme="minorHAnsi" w:hAnsiTheme="minorHAnsi"/>
          <w:sz w:val="24"/>
          <w:szCs w:val="24"/>
        </w:rPr>
        <w:t xml:space="preserve"> NAAQS (</w:t>
      </w:r>
      <w:r w:rsidR="00377AA7" w:rsidRPr="00377AA7">
        <w:rPr>
          <w:rFonts w:asciiTheme="minorHAnsi" w:hAnsiTheme="minorHAnsi"/>
          <w:i/>
          <w:iCs/>
          <w:sz w:val="24"/>
          <w:szCs w:val="24"/>
        </w:rPr>
        <w:t>Federal Register</w:t>
      </w:r>
      <w:r w:rsidR="00377AA7" w:rsidRPr="00377AA7">
        <w:rPr>
          <w:rFonts w:asciiTheme="minorHAnsi" w:hAnsiTheme="minorHAnsi"/>
          <w:sz w:val="24"/>
          <w:szCs w:val="24"/>
        </w:rPr>
        <w:t xml:space="preserve">: September 5, 2025, Vol. 90, No. 170, page 42831). </w:t>
      </w:r>
    </w:p>
  </w:footnote>
  <w:footnote w:id="14">
    <w:p w14:paraId="1F6D3A9A" w14:textId="77777777" w:rsidR="006D706F" w:rsidRPr="006D706F" w:rsidRDefault="007B7787" w:rsidP="006D706F">
      <w:pPr>
        <w:pStyle w:val="EndnoteText"/>
        <w:rPr>
          <w:rFonts w:asciiTheme="minorHAnsi" w:hAnsiTheme="minorHAnsi"/>
          <w:sz w:val="24"/>
          <w:szCs w:val="24"/>
        </w:rPr>
      </w:pPr>
      <w:r w:rsidRPr="006D706F">
        <w:rPr>
          <w:rStyle w:val="FootnoteReference"/>
          <w:rFonts w:asciiTheme="minorHAnsi" w:hAnsiTheme="minorHAnsi"/>
          <w:sz w:val="24"/>
          <w:szCs w:val="24"/>
        </w:rPr>
        <w:footnoteRef/>
      </w:r>
      <w:r w:rsidRPr="006D706F">
        <w:rPr>
          <w:rFonts w:asciiTheme="minorHAnsi" w:hAnsiTheme="minorHAnsi"/>
          <w:sz w:val="24"/>
          <w:szCs w:val="24"/>
        </w:rPr>
        <w:t xml:space="preserve"> </w:t>
      </w:r>
      <w:r w:rsidR="006D706F" w:rsidRPr="006D706F">
        <w:rPr>
          <w:rFonts w:asciiTheme="minorHAnsi" w:hAnsiTheme="minorHAnsi"/>
          <w:i/>
          <w:iCs/>
          <w:sz w:val="24"/>
          <w:szCs w:val="24"/>
        </w:rPr>
        <w:t>Federal Register</w:t>
      </w:r>
      <w:r w:rsidR="006D706F" w:rsidRPr="006D706F">
        <w:rPr>
          <w:rFonts w:asciiTheme="minorHAnsi" w:hAnsiTheme="minorHAnsi"/>
          <w:sz w:val="24"/>
          <w:szCs w:val="24"/>
        </w:rPr>
        <w:t>: October 7, 2022, Vol. 87, No. 194, page 60927.</w:t>
      </w:r>
    </w:p>
    <w:p w14:paraId="2698085B" w14:textId="3C6DE855" w:rsidR="007B7787" w:rsidRDefault="007B7787">
      <w:pPr>
        <w:pStyle w:val="FootnoteText"/>
      </w:pPr>
    </w:p>
  </w:footnote>
  <w:footnote w:id="15">
    <w:p w14:paraId="7E111F39" w14:textId="77777777" w:rsidR="0039652F" w:rsidRPr="0039652F" w:rsidRDefault="0015781E" w:rsidP="0039652F">
      <w:pPr>
        <w:pStyle w:val="EndnoteText"/>
        <w:rPr>
          <w:rFonts w:asciiTheme="minorHAnsi" w:hAnsiTheme="minorHAnsi"/>
          <w:sz w:val="24"/>
          <w:szCs w:val="24"/>
        </w:rPr>
      </w:pPr>
      <w:r w:rsidRPr="0039652F">
        <w:rPr>
          <w:rStyle w:val="FootnoteReference"/>
          <w:rFonts w:asciiTheme="minorHAnsi" w:hAnsiTheme="minorHAnsi"/>
          <w:sz w:val="24"/>
          <w:szCs w:val="24"/>
        </w:rPr>
        <w:footnoteRef/>
      </w:r>
      <w:r w:rsidRPr="0039652F">
        <w:rPr>
          <w:rFonts w:asciiTheme="minorHAnsi" w:hAnsiTheme="minorHAnsi"/>
          <w:sz w:val="24"/>
          <w:szCs w:val="24"/>
        </w:rPr>
        <w:t xml:space="preserve"> </w:t>
      </w:r>
      <w:r w:rsidR="0039652F" w:rsidRPr="0039652F">
        <w:rPr>
          <w:rFonts w:asciiTheme="minorHAnsi" w:hAnsiTheme="minorHAnsi"/>
          <w:i/>
          <w:iCs/>
          <w:sz w:val="24"/>
          <w:szCs w:val="24"/>
        </w:rPr>
        <w:t>Federal Register</w:t>
      </w:r>
      <w:r w:rsidR="0039652F" w:rsidRPr="0039652F">
        <w:rPr>
          <w:rFonts w:asciiTheme="minorHAnsi" w:hAnsiTheme="minorHAnsi"/>
          <w:sz w:val="24"/>
          <w:szCs w:val="24"/>
        </w:rPr>
        <w:t>: October 7, 2022, Vol. 87, No. 194, page 60898.</w:t>
      </w:r>
    </w:p>
    <w:p w14:paraId="63576CD1" w14:textId="71E7BEEC" w:rsidR="0015781E" w:rsidRDefault="0015781E">
      <w:pPr>
        <w:pStyle w:val="FootnoteText"/>
      </w:pPr>
    </w:p>
  </w:footnote>
  <w:footnote w:id="16">
    <w:p w14:paraId="0A2D4054" w14:textId="77777777" w:rsidR="005F4987" w:rsidRPr="005F4987" w:rsidRDefault="00EA2E96" w:rsidP="005F4987">
      <w:pPr>
        <w:pStyle w:val="EndnoteText"/>
        <w:rPr>
          <w:rFonts w:asciiTheme="minorHAnsi" w:hAnsiTheme="minorHAnsi"/>
          <w:sz w:val="24"/>
          <w:szCs w:val="24"/>
        </w:rPr>
      </w:pPr>
      <w:r w:rsidRPr="005F4987">
        <w:rPr>
          <w:rStyle w:val="FootnoteReference"/>
          <w:rFonts w:asciiTheme="minorHAnsi" w:hAnsiTheme="minorHAnsi"/>
          <w:sz w:val="24"/>
          <w:szCs w:val="24"/>
        </w:rPr>
        <w:footnoteRef/>
      </w:r>
      <w:r w:rsidRPr="005F4987">
        <w:rPr>
          <w:rFonts w:asciiTheme="minorHAnsi" w:hAnsiTheme="minorHAnsi"/>
          <w:sz w:val="24"/>
          <w:szCs w:val="24"/>
        </w:rPr>
        <w:t xml:space="preserve"> </w:t>
      </w:r>
      <w:r w:rsidR="005F4987" w:rsidRPr="005F4987">
        <w:rPr>
          <w:rFonts w:asciiTheme="minorHAnsi" w:hAnsiTheme="minorHAnsi"/>
          <w:i/>
          <w:iCs/>
          <w:sz w:val="24"/>
          <w:szCs w:val="24"/>
        </w:rPr>
        <w:t>Federal Register</w:t>
      </w:r>
      <w:r w:rsidR="005F4987" w:rsidRPr="005F4987">
        <w:rPr>
          <w:rFonts w:asciiTheme="minorHAnsi" w:hAnsiTheme="minorHAnsi"/>
          <w:sz w:val="24"/>
          <w:szCs w:val="24"/>
        </w:rPr>
        <w:t>: February 14, 2020, Vol. 85, No.31, page 8411.</w:t>
      </w:r>
    </w:p>
    <w:p w14:paraId="68FD5FA7" w14:textId="05099A2E" w:rsidR="00EA2E96" w:rsidRDefault="00EA2E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8BD6" w14:textId="77777777" w:rsidR="001705BC" w:rsidRDefault="001705BC" w:rsidP="001705BC">
    <w:pPr>
      <w:pStyle w:val="Header"/>
      <w:spacing w:after="400"/>
      <w:jc w:val="right"/>
    </w:pPr>
    <w:r>
      <w:rPr>
        <w:noProof/>
      </w:rPr>
      <w:drawing>
        <wp:inline distT="0" distB="0" distL="0" distR="0" wp14:anchorId="3D0602F8" wp14:editId="2AACAAAE">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C140"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QtrLOZV36DzYDXTTpZUkzQSbZOcRsWgcXvsMRpwoNaLaBT4pxZvxzxes3dJdlA1OvLPOzT5zGDzLs7sjg5DK7g==" w:salt="X/g76ItbSb6iJs7ZHnMw8A=="/>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56"/>
    <w:rsid w:val="00013BE5"/>
    <w:rsid w:val="0001509C"/>
    <w:rsid w:val="0001630B"/>
    <w:rsid w:val="00020334"/>
    <w:rsid w:val="0003040F"/>
    <w:rsid w:val="00034186"/>
    <w:rsid w:val="00036200"/>
    <w:rsid w:val="00042206"/>
    <w:rsid w:val="0005583F"/>
    <w:rsid w:val="00056129"/>
    <w:rsid w:val="00070D03"/>
    <w:rsid w:val="00072C61"/>
    <w:rsid w:val="00075AE3"/>
    <w:rsid w:val="000817C3"/>
    <w:rsid w:val="00091604"/>
    <w:rsid w:val="000940FB"/>
    <w:rsid w:val="00094B52"/>
    <w:rsid w:val="000A0265"/>
    <w:rsid w:val="000A3FE2"/>
    <w:rsid w:val="000B2945"/>
    <w:rsid w:val="000B5A5C"/>
    <w:rsid w:val="000C7AD7"/>
    <w:rsid w:val="000E0386"/>
    <w:rsid w:val="000E3645"/>
    <w:rsid w:val="000E46A9"/>
    <w:rsid w:val="0010454F"/>
    <w:rsid w:val="00105532"/>
    <w:rsid w:val="00107616"/>
    <w:rsid w:val="00115ADD"/>
    <w:rsid w:val="001176AE"/>
    <w:rsid w:val="0012270B"/>
    <w:rsid w:val="00130C17"/>
    <w:rsid w:val="00132D1B"/>
    <w:rsid w:val="001465A3"/>
    <w:rsid w:val="00146BE0"/>
    <w:rsid w:val="00147001"/>
    <w:rsid w:val="00152AD6"/>
    <w:rsid w:val="00154447"/>
    <w:rsid w:val="00154C33"/>
    <w:rsid w:val="0015781E"/>
    <w:rsid w:val="00162A37"/>
    <w:rsid w:val="001648DC"/>
    <w:rsid w:val="00165D91"/>
    <w:rsid w:val="001671E1"/>
    <w:rsid w:val="0016723C"/>
    <w:rsid w:val="001705BC"/>
    <w:rsid w:val="00174248"/>
    <w:rsid w:val="001761D7"/>
    <w:rsid w:val="001807C8"/>
    <w:rsid w:val="00181735"/>
    <w:rsid w:val="00185F5D"/>
    <w:rsid w:val="0018694B"/>
    <w:rsid w:val="00190DCD"/>
    <w:rsid w:val="00191AFD"/>
    <w:rsid w:val="001A69C9"/>
    <w:rsid w:val="001B5185"/>
    <w:rsid w:val="001B6C26"/>
    <w:rsid w:val="001B7897"/>
    <w:rsid w:val="001B7E74"/>
    <w:rsid w:val="001C00AA"/>
    <w:rsid w:val="001C3E75"/>
    <w:rsid w:val="001E5E7E"/>
    <w:rsid w:val="001F4FAC"/>
    <w:rsid w:val="0020119D"/>
    <w:rsid w:val="0021319A"/>
    <w:rsid w:val="00230BCB"/>
    <w:rsid w:val="0023369C"/>
    <w:rsid w:val="002340C7"/>
    <w:rsid w:val="002376C2"/>
    <w:rsid w:val="00244E46"/>
    <w:rsid w:val="00245D3B"/>
    <w:rsid w:val="002531E4"/>
    <w:rsid w:val="00273031"/>
    <w:rsid w:val="002805FC"/>
    <w:rsid w:val="00284504"/>
    <w:rsid w:val="00290571"/>
    <w:rsid w:val="00290A05"/>
    <w:rsid w:val="002934DC"/>
    <w:rsid w:val="002A05A5"/>
    <w:rsid w:val="002A12D5"/>
    <w:rsid w:val="002A75F2"/>
    <w:rsid w:val="002B0829"/>
    <w:rsid w:val="002B1115"/>
    <w:rsid w:val="002B2190"/>
    <w:rsid w:val="002C57BC"/>
    <w:rsid w:val="002D0309"/>
    <w:rsid w:val="002D074E"/>
    <w:rsid w:val="002D1F0D"/>
    <w:rsid w:val="002D66BA"/>
    <w:rsid w:val="002F179B"/>
    <w:rsid w:val="002F681A"/>
    <w:rsid w:val="00310AB1"/>
    <w:rsid w:val="0032481A"/>
    <w:rsid w:val="003319E5"/>
    <w:rsid w:val="00354EFA"/>
    <w:rsid w:val="00366909"/>
    <w:rsid w:val="00367811"/>
    <w:rsid w:val="003704E9"/>
    <w:rsid w:val="00377AA7"/>
    <w:rsid w:val="0038028A"/>
    <w:rsid w:val="0039652F"/>
    <w:rsid w:val="003A504F"/>
    <w:rsid w:val="003C1CAD"/>
    <w:rsid w:val="003D41C5"/>
    <w:rsid w:val="003E1328"/>
    <w:rsid w:val="003F3CC1"/>
    <w:rsid w:val="004112F8"/>
    <w:rsid w:val="004125B0"/>
    <w:rsid w:val="00414F31"/>
    <w:rsid w:val="0042061E"/>
    <w:rsid w:val="004214FF"/>
    <w:rsid w:val="00422F56"/>
    <w:rsid w:val="00423969"/>
    <w:rsid w:val="00427DBB"/>
    <w:rsid w:val="00432C23"/>
    <w:rsid w:val="00432DB8"/>
    <w:rsid w:val="00437A34"/>
    <w:rsid w:val="00446CB3"/>
    <w:rsid w:val="00446EF7"/>
    <w:rsid w:val="00460EA4"/>
    <w:rsid w:val="00481F20"/>
    <w:rsid w:val="00482558"/>
    <w:rsid w:val="00487276"/>
    <w:rsid w:val="00494DDD"/>
    <w:rsid w:val="004A1071"/>
    <w:rsid w:val="004A359A"/>
    <w:rsid w:val="004B325C"/>
    <w:rsid w:val="004C6BF5"/>
    <w:rsid w:val="004C7182"/>
    <w:rsid w:val="004D7125"/>
    <w:rsid w:val="004E496F"/>
    <w:rsid w:val="004E6C50"/>
    <w:rsid w:val="004E7B23"/>
    <w:rsid w:val="004F697B"/>
    <w:rsid w:val="0050180E"/>
    <w:rsid w:val="00501A04"/>
    <w:rsid w:val="00520101"/>
    <w:rsid w:val="00522D09"/>
    <w:rsid w:val="00535F6D"/>
    <w:rsid w:val="00536914"/>
    <w:rsid w:val="005425A5"/>
    <w:rsid w:val="00542AC9"/>
    <w:rsid w:val="00543C2D"/>
    <w:rsid w:val="005456F3"/>
    <w:rsid w:val="00552576"/>
    <w:rsid w:val="005555C5"/>
    <w:rsid w:val="00582A27"/>
    <w:rsid w:val="005B232B"/>
    <w:rsid w:val="005B5232"/>
    <w:rsid w:val="005D35F1"/>
    <w:rsid w:val="005D3D97"/>
    <w:rsid w:val="005D638D"/>
    <w:rsid w:val="005D6E73"/>
    <w:rsid w:val="005D6FD8"/>
    <w:rsid w:val="005E451D"/>
    <w:rsid w:val="005F4987"/>
    <w:rsid w:val="00607A62"/>
    <w:rsid w:val="006125F2"/>
    <w:rsid w:val="00620B93"/>
    <w:rsid w:val="00624C21"/>
    <w:rsid w:val="00624D1F"/>
    <w:rsid w:val="006258E9"/>
    <w:rsid w:val="00626A92"/>
    <w:rsid w:val="00627714"/>
    <w:rsid w:val="0063022A"/>
    <w:rsid w:val="00640ADD"/>
    <w:rsid w:val="0064201F"/>
    <w:rsid w:val="0064565C"/>
    <w:rsid w:val="00645E61"/>
    <w:rsid w:val="00660F1A"/>
    <w:rsid w:val="00665824"/>
    <w:rsid w:val="006668A9"/>
    <w:rsid w:val="00667543"/>
    <w:rsid w:val="00667632"/>
    <w:rsid w:val="006716C5"/>
    <w:rsid w:val="006722CF"/>
    <w:rsid w:val="00672503"/>
    <w:rsid w:val="00675A65"/>
    <w:rsid w:val="00675D82"/>
    <w:rsid w:val="00687A4D"/>
    <w:rsid w:val="0069222F"/>
    <w:rsid w:val="00696900"/>
    <w:rsid w:val="00697B8B"/>
    <w:rsid w:val="006A33E2"/>
    <w:rsid w:val="006B21A0"/>
    <w:rsid w:val="006B34EF"/>
    <w:rsid w:val="006B3FF8"/>
    <w:rsid w:val="006B588E"/>
    <w:rsid w:val="006B6BD2"/>
    <w:rsid w:val="006D6779"/>
    <w:rsid w:val="006D706F"/>
    <w:rsid w:val="006F4B13"/>
    <w:rsid w:val="0070413E"/>
    <w:rsid w:val="00712258"/>
    <w:rsid w:val="0072002A"/>
    <w:rsid w:val="007222FE"/>
    <w:rsid w:val="00725141"/>
    <w:rsid w:val="007364F1"/>
    <w:rsid w:val="007414D4"/>
    <w:rsid w:val="007477B7"/>
    <w:rsid w:val="00751316"/>
    <w:rsid w:val="007514BF"/>
    <w:rsid w:val="007524CB"/>
    <w:rsid w:val="007623EF"/>
    <w:rsid w:val="00763838"/>
    <w:rsid w:val="00767521"/>
    <w:rsid w:val="00767EAC"/>
    <w:rsid w:val="00771021"/>
    <w:rsid w:val="00781A58"/>
    <w:rsid w:val="007836EE"/>
    <w:rsid w:val="00791127"/>
    <w:rsid w:val="007911C6"/>
    <w:rsid w:val="00794EA8"/>
    <w:rsid w:val="007A3B26"/>
    <w:rsid w:val="007A49F9"/>
    <w:rsid w:val="007B00A8"/>
    <w:rsid w:val="007B101C"/>
    <w:rsid w:val="007B5A7E"/>
    <w:rsid w:val="007B7787"/>
    <w:rsid w:val="007C06C2"/>
    <w:rsid w:val="007C226B"/>
    <w:rsid w:val="007C58B2"/>
    <w:rsid w:val="007D18DC"/>
    <w:rsid w:val="007E4B7F"/>
    <w:rsid w:val="00802582"/>
    <w:rsid w:val="0080690C"/>
    <w:rsid w:val="0082544F"/>
    <w:rsid w:val="00827CE8"/>
    <w:rsid w:val="00831322"/>
    <w:rsid w:val="0084089A"/>
    <w:rsid w:val="00850BC6"/>
    <w:rsid w:val="0085671A"/>
    <w:rsid w:val="00857AAD"/>
    <w:rsid w:val="0086528F"/>
    <w:rsid w:val="00866AAD"/>
    <w:rsid w:val="00866AD0"/>
    <w:rsid w:val="0087110F"/>
    <w:rsid w:val="008713FE"/>
    <w:rsid w:val="00882623"/>
    <w:rsid w:val="00885A03"/>
    <w:rsid w:val="00886F4F"/>
    <w:rsid w:val="008905E4"/>
    <w:rsid w:val="00893375"/>
    <w:rsid w:val="00894429"/>
    <w:rsid w:val="008A1532"/>
    <w:rsid w:val="008B49EB"/>
    <w:rsid w:val="008B4EC6"/>
    <w:rsid w:val="008C3D3A"/>
    <w:rsid w:val="008C49FB"/>
    <w:rsid w:val="008C6D04"/>
    <w:rsid w:val="008D173C"/>
    <w:rsid w:val="008D6F18"/>
    <w:rsid w:val="008E0EA0"/>
    <w:rsid w:val="008E45D3"/>
    <w:rsid w:val="00900F14"/>
    <w:rsid w:val="00915FFB"/>
    <w:rsid w:val="009160AB"/>
    <w:rsid w:val="0091704D"/>
    <w:rsid w:val="00917F65"/>
    <w:rsid w:val="00924334"/>
    <w:rsid w:val="009260DC"/>
    <w:rsid w:val="00934B54"/>
    <w:rsid w:val="00940E72"/>
    <w:rsid w:val="00943BB8"/>
    <w:rsid w:val="00955095"/>
    <w:rsid w:val="00956AFE"/>
    <w:rsid w:val="00961E87"/>
    <w:rsid w:val="00967F5A"/>
    <w:rsid w:val="00976A16"/>
    <w:rsid w:val="00977531"/>
    <w:rsid w:val="0098238F"/>
    <w:rsid w:val="00995A37"/>
    <w:rsid w:val="009A7CBB"/>
    <w:rsid w:val="009B319A"/>
    <w:rsid w:val="009B31F6"/>
    <w:rsid w:val="009B35F6"/>
    <w:rsid w:val="009C0C97"/>
    <w:rsid w:val="009C19A1"/>
    <w:rsid w:val="009C1C16"/>
    <w:rsid w:val="009C4FE4"/>
    <w:rsid w:val="009D0F93"/>
    <w:rsid w:val="009D79D3"/>
    <w:rsid w:val="009D7C32"/>
    <w:rsid w:val="009E3873"/>
    <w:rsid w:val="009F0E2A"/>
    <w:rsid w:val="009F1C09"/>
    <w:rsid w:val="009F5D07"/>
    <w:rsid w:val="009F72F5"/>
    <w:rsid w:val="00A07068"/>
    <w:rsid w:val="00A07348"/>
    <w:rsid w:val="00A11FEC"/>
    <w:rsid w:val="00A12F4C"/>
    <w:rsid w:val="00A166DE"/>
    <w:rsid w:val="00A20B14"/>
    <w:rsid w:val="00A22F82"/>
    <w:rsid w:val="00A31052"/>
    <w:rsid w:val="00A3118E"/>
    <w:rsid w:val="00A33B65"/>
    <w:rsid w:val="00A41685"/>
    <w:rsid w:val="00A44609"/>
    <w:rsid w:val="00A47D0D"/>
    <w:rsid w:val="00A517D8"/>
    <w:rsid w:val="00A70747"/>
    <w:rsid w:val="00A71049"/>
    <w:rsid w:val="00A726C8"/>
    <w:rsid w:val="00A84332"/>
    <w:rsid w:val="00A843C1"/>
    <w:rsid w:val="00A858D7"/>
    <w:rsid w:val="00A85C6D"/>
    <w:rsid w:val="00AA056C"/>
    <w:rsid w:val="00AB7CB5"/>
    <w:rsid w:val="00AC4F63"/>
    <w:rsid w:val="00AC71A7"/>
    <w:rsid w:val="00AD4351"/>
    <w:rsid w:val="00AE1A16"/>
    <w:rsid w:val="00AE551C"/>
    <w:rsid w:val="00AF09AF"/>
    <w:rsid w:val="00AF2E34"/>
    <w:rsid w:val="00AF5B36"/>
    <w:rsid w:val="00AF6BD5"/>
    <w:rsid w:val="00AF7DF0"/>
    <w:rsid w:val="00B04F3C"/>
    <w:rsid w:val="00B07EE8"/>
    <w:rsid w:val="00B10F8F"/>
    <w:rsid w:val="00B13C80"/>
    <w:rsid w:val="00B406D5"/>
    <w:rsid w:val="00B42CB7"/>
    <w:rsid w:val="00B506B3"/>
    <w:rsid w:val="00B55323"/>
    <w:rsid w:val="00B63CB8"/>
    <w:rsid w:val="00B6782A"/>
    <w:rsid w:val="00B84690"/>
    <w:rsid w:val="00B85D46"/>
    <w:rsid w:val="00B900B0"/>
    <w:rsid w:val="00B90348"/>
    <w:rsid w:val="00B973AE"/>
    <w:rsid w:val="00BA7349"/>
    <w:rsid w:val="00BB7862"/>
    <w:rsid w:val="00BC03E9"/>
    <w:rsid w:val="00BC239A"/>
    <w:rsid w:val="00BC2A2C"/>
    <w:rsid w:val="00BD2218"/>
    <w:rsid w:val="00BD4D8E"/>
    <w:rsid w:val="00BD7E0B"/>
    <w:rsid w:val="00BE3565"/>
    <w:rsid w:val="00BE5256"/>
    <w:rsid w:val="00C02127"/>
    <w:rsid w:val="00C10F1E"/>
    <w:rsid w:val="00C118EC"/>
    <w:rsid w:val="00C12FD0"/>
    <w:rsid w:val="00C27E67"/>
    <w:rsid w:val="00C31BC5"/>
    <w:rsid w:val="00C575AE"/>
    <w:rsid w:val="00C57910"/>
    <w:rsid w:val="00C75AB3"/>
    <w:rsid w:val="00C923ED"/>
    <w:rsid w:val="00C93C7A"/>
    <w:rsid w:val="00CA11EB"/>
    <w:rsid w:val="00CB2FFC"/>
    <w:rsid w:val="00CB3937"/>
    <w:rsid w:val="00CB5302"/>
    <w:rsid w:val="00CC00DC"/>
    <w:rsid w:val="00CD5886"/>
    <w:rsid w:val="00CE2B96"/>
    <w:rsid w:val="00CE369F"/>
    <w:rsid w:val="00CE6A5A"/>
    <w:rsid w:val="00CE7377"/>
    <w:rsid w:val="00CF0FA4"/>
    <w:rsid w:val="00CF6A46"/>
    <w:rsid w:val="00D058C9"/>
    <w:rsid w:val="00D07333"/>
    <w:rsid w:val="00D11322"/>
    <w:rsid w:val="00D21DB1"/>
    <w:rsid w:val="00D2241E"/>
    <w:rsid w:val="00D30DC5"/>
    <w:rsid w:val="00D317D8"/>
    <w:rsid w:val="00D4154B"/>
    <w:rsid w:val="00D4473A"/>
    <w:rsid w:val="00D46BC3"/>
    <w:rsid w:val="00D52D93"/>
    <w:rsid w:val="00D54B5C"/>
    <w:rsid w:val="00D61CC6"/>
    <w:rsid w:val="00D641FB"/>
    <w:rsid w:val="00D73BCC"/>
    <w:rsid w:val="00D74E6A"/>
    <w:rsid w:val="00D81547"/>
    <w:rsid w:val="00D82FD6"/>
    <w:rsid w:val="00D83DC6"/>
    <w:rsid w:val="00D90261"/>
    <w:rsid w:val="00DB3746"/>
    <w:rsid w:val="00DB6A6F"/>
    <w:rsid w:val="00DC6661"/>
    <w:rsid w:val="00DD385B"/>
    <w:rsid w:val="00DD5129"/>
    <w:rsid w:val="00DE1E35"/>
    <w:rsid w:val="00DE5E63"/>
    <w:rsid w:val="00DE6ED5"/>
    <w:rsid w:val="00DF0CE8"/>
    <w:rsid w:val="00DF233E"/>
    <w:rsid w:val="00E044FF"/>
    <w:rsid w:val="00E04EB5"/>
    <w:rsid w:val="00E0630A"/>
    <w:rsid w:val="00E10C05"/>
    <w:rsid w:val="00E12B6B"/>
    <w:rsid w:val="00E149CD"/>
    <w:rsid w:val="00E14F6C"/>
    <w:rsid w:val="00E15D9F"/>
    <w:rsid w:val="00E17FF9"/>
    <w:rsid w:val="00E302A4"/>
    <w:rsid w:val="00E33825"/>
    <w:rsid w:val="00E411D0"/>
    <w:rsid w:val="00E47D85"/>
    <w:rsid w:val="00E503A5"/>
    <w:rsid w:val="00E50774"/>
    <w:rsid w:val="00E733E7"/>
    <w:rsid w:val="00E75EDD"/>
    <w:rsid w:val="00E813C7"/>
    <w:rsid w:val="00E83835"/>
    <w:rsid w:val="00E84551"/>
    <w:rsid w:val="00E86829"/>
    <w:rsid w:val="00E92633"/>
    <w:rsid w:val="00E95C49"/>
    <w:rsid w:val="00E97263"/>
    <w:rsid w:val="00EA2E96"/>
    <w:rsid w:val="00EB0613"/>
    <w:rsid w:val="00EB36B6"/>
    <w:rsid w:val="00EC0D38"/>
    <w:rsid w:val="00EC7DD3"/>
    <w:rsid w:val="00ED2A78"/>
    <w:rsid w:val="00ED6915"/>
    <w:rsid w:val="00EE1773"/>
    <w:rsid w:val="00EE6DDC"/>
    <w:rsid w:val="00EF0034"/>
    <w:rsid w:val="00EF0C0A"/>
    <w:rsid w:val="00EF7847"/>
    <w:rsid w:val="00F02047"/>
    <w:rsid w:val="00F048E0"/>
    <w:rsid w:val="00F11034"/>
    <w:rsid w:val="00F119A1"/>
    <w:rsid w:val="00F1240F"/>
    <w:rsid w:val="00F144C1"/>
    <w:rsid w:val="00F17ADD"/>
    <w:rsid w:val="00F17ED2"/>
    <w:rsid w:val="00F220CD"/>
    <w:rsid w:val="00F22C28"/>
    <w:rsid w:val="00F26598"/>
    <w:rsid w:val="00F27A31"/>
    <w:rsid w:val="00F31A1F"/>
    <w:rsid w:val="00F32838"/>
    <w:rsid w:val="00F35F29"/>
    <w:rsid w:val="00F44653"/>
    <w:rsid w:val="00F53357"/>
    <w:rsid w:val="00F63F58"/>
    <w:rsid w:val="00F67F84"/>
    <w:rsid w:val="00F809F3"/>
    <w:rsid w:val="00F91BB9"/>
    <w:rsid w:val="00FA7E6C"/>
    <w:rsid w:val="00FB26C6"/>
    <w:rsid w:val="00FB2FFC"/>
    <w:rsid w:val="00FB3F6D"/>
    <w:rsid w:val="00FB6FD4"/>
    <w:rsid w:val="00FC1AA4"/>
    <w:rsid w:val="00FC1CA1"/>
    <w:rsid w:val="00FC4A49"/>
    <w:rsid w:val="00FC7736"/>
    <w:rsid w:val="00FD119F"/>
    <w:rsid w:val="00FE1DF7"/>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51FC"/>
  <w15:chartTrackingRefBased/>
  <w15:docId w15:val="{688453EE-FE30-439A-9464-80A67397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styleId="EndnoteText">
    <w:name w:val="endnote text"/>
    <w:basedOn w:val="Normal"/>
    <w:link w:val="EndnoteTextChar"/>
    <w:uiPriority w:val="99"/>
    <w:unhideWhenUsed/>
    <w:rsid w:val="00924334"/>
    <w:pPr>
      <w:spacing w:after="0" w:line="240" w:lineRule="auto"/>
    </w:pPr>
    <w:rPr>
      <w:rFonts w:ascii="Arial" w:hAnsi="Arial"/>
      <w:color w:val="auto"/>
      <w:kern w:val="0"/>
      <w:sz w:val="22"/>
      <w:szCs w:val="20"/>
      <w14:ligatures w14:val="none"/>
    </w:rPr>
  </w:style>
  <w:style w:type="character" w:customStyle="1" w:styleId="EndnoteTextChar">
    <w:name w:val="Endnote Text Char"/>
    <w:basedOn w:val="DefaultParagraphFont"/>
    <w:link w:val="EndnoteText"/>
    <w:uiPriority w:val="99"/>
    <w:rsid w:val="00924334"/>
    <w:rPr>
      <w:rFonts w:ascii="Arial" w:hAnsi="Arial"/>
      <w:kern w:val="0"/>
      <w:sz w:val="22"/>
      <w:szCs w:val="20"/>
      <w14:ligatures w14:val="none"/>
    </w:rPr>
  </w:style>
  <w:style w:type="character" w:styleId="EndnoteReference">
    <w:name w:val="endnote reference"/>
    <w:basedOn w:val="DefaultParagraphFont"/>
    <w:uiPriority w:val="99"/>
    <w:semiHidden/>
    <w:unhideWhenUsed/>
    <w:rsid w:val="00924334"/>
    <w:rPr>
      <w:vertAlign w:val="superscript"/>
    </w:rPr>
  </w:style>
  <w:style w:type="paragraph" w:customStyle="1" w:styleId="TableText">
    <w:name w:val="Table Text"/>
    <w:basedOn w:val="Normal"/>
    <w:qFormat/>
    <w:rsid w:val="00E10C05"/>
    <w:pPr>
      <w:autoSpaceDE w:val="0"/>
      <w:autoSpaceDN w:val="0"/>
      <w:adjustRightInd w:val="0"/>
      <w:spacing w:after="0" w:line="276" w:lineRule="auto"/>
    </w:pPr>
    <w:rPr>
      <w:rFonts w:cstheme="minorHAnsi"/>
      <w:color w:val="auto"/>
      <w:kern w:val="0"/>
      <w:sz w:val="18"/>
      <w:szCs w:val="18"/>
      <w14:ligatures w14:val="none"/>
    </w:rPr>
  </w:style>
  <w:style w:type="character" w:styleId="CommentReference">
    <w:name w:val="annotation reference"/>
    <w:basedOn w:val="DefaultParagraphFont"/>
    <w:uiPriority w:val="99"/>
    <w:semiHidden/>
    <w:unhideWhenUsed/>
    <w:rsid w:val="00E411D0"/>
    <w:rPr>
      <w:sz w:val="16"/>
      <w:szCs w:val="16"/>
    </w:rPr>
  </w:style>
  <w:style w:type="paragraph" w:styleId="CommentText">
    <w:name w:val="annotation text"/>
    <w:basedOn w:val="Normal"/>
    <w:link w:val="CommentTextChar"/>
    <w:uiPriority w:val="99"/>
    <w:unhideWhenUsed/>
    <w:rsid w:val="00E411D0"/>
    <w:pPr>
      <w:spacing w:line="240" w:lineRule="auto"/>
    </w:pPr>
    <w:rPr>
      <w:color w:val="auto"/>
      <w:sz w:val="20"/>
      <w:szCs w:val="20"/>
    </w:rPr>
  </w:style>
  <w:style w:type="character" w:customStyle="1" w:styleId="CommentTextChar">
    <w:name w:val="Comment Text Char"/>
    <w:basedOn w:val="DefaultParagraphFont"/>
    <w:link w:val="CommentText"/>
    <w:uiPriority w:val="99"/>
    <w:rsid w:val="00E411D0"/>
    <w:rPr>
      <w:sz w:val="20"/>
      <w:szCs w:val="20"/>
    </w:rPr>
  </w:style>
  <w:style w:type="character" w:styleId="UnresolvedMention">
    <w:name w:val="Unresolved Mention"/>
    <w:basedOn w:val="DefaultParagraphFont"/>
    <w:uiPriority w:val="99"/>
    <w:semiHidden/>
    <w:unhideWhenUsed/>
    <w:rsid w:val="009F5D07"/>
    <w:rPr>
      <w:color w:val="605E5C"/>
      <w:shd w:val="clear" w:color="auto" w:fill="E1DFDD"/>
    </w:rPr>
  </w:style>
  <w:style w:type="character" w:styleId="FollowedHyperlink">
    <w:name w:val="FollowedHyperlink"/>
    <w:basedOn w:val="DefaultParagraphFont"/>
    <w:uiPriority w:val="99"/>
    <w:semiHidden/>
    <w:unhideWhenUsed/>
    <w:rsid w:val="0016723C"/>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ozone-designations/ozone-designations-regulatory-ac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BAC6E16-97CD-4447-A498-46A16D94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fef7c20-eb6f-4e1b-9e04-31bde27da1d8"/>
    <ds:schemaRef ds:uri="http://www.w3.org/XML/1998/namespace"/>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9</Pages>
  <Words>1440</Words>
  <Characters>8210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200.02-fig Texas Air Quality Nonattainment or Attainment-Maintenance Areas and Counties - November 20, 2025</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200.02-fig Texas Air Quality Nonattainment or Attainment-Maintenance Areas and Counties - November 20, 2025</dc:title>
  <dc:subject>Texas Air Qaulity Nonattainment or Attainment-Maintenance Areas and Counties</dc:subject>
  <dc:creator>TxDOT</dc:creator>
  <cp:keywords>200.02-fig; Air Quality; Nonattainment; Attainment; Maintenance Areas; Counties</cp:keywords>
  <dc:description/>
  <cp:lastModifiedBy>Amanda Burton</cp:lastModifiedBy>
  <cp:revision>242</cp:revision>
  <dcterms:created xsi:type="dcterms:W3CDTF">2026-01-27T22:11:00Z</dcterms:created>
  <dcterms:modified xsi:type="dcterms:W3CDTF">2026-02-24T14:58:00Z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