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43772" w14:textId="77777777" w:rsidR="00020E5C" w:rsidRPr="00020E5C" w:rsidRDefault="00020E5C" w:rsidP="00020E5C">
      <w:pPr>
        <w:pStyle w:val="NormalSingleSpaceNoSpaceAfter"/>
      </w:pPr>
    </w:p>
    <w:p w14:paraId="750FD006" w14:textId="77777777" w:rsidR="004D3590" w:rsidRDefault="000B67B1" w:rsidP="004D3590">
      <w:pPr>
        <w:pStyle w:val="CVRTxDOTLogoSpacing"/>
      </w:pPr>
      <w:r>
        <w:drawing>
          <wp:inline distT="0" distB="0" distL="0" distR="0" wp14:anchorId="32C9FF03" wp14:editId="0A48E930">
            <wp:extent cx="1164253" cy="866575"/>
            <wp:effectExtent l="0" t="0" r="0" b="0"/>
            <wp:docPr id="1385068735" name="Graphic 1" descr="Texas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68735" name="Graphic 1" descr="Texas Department of Transportation logo"/>
                    <pic:cNvPicPr/>
                  </pic:nvPicPr>
                  <pic:blipFill>
                    <a:blip r:embed="rId11">
                      <a:extLst>
                        <a:ext uri="{96DAC541-7B7A-43D3-8B79-37D633B846F1}">
                          <asvg:svgBlip xmlns:asvg="http://schemas.microsoft.com/office/drawing/2016/SVG/main" r:embed="rId12"/>
                        </a:ext>
                      </a:extLst>
                    </a:blip>
                    <a:stretch>
                      <a:fillRect/>
                    </a:stretch>
                  </pic:blipFill>
                  <pic:spPr>
                    <a:xfrm>
                      <a:off x="0" y="0"/>
                      <a:ext cx="1164253" cy="866575"/>
                    </a:xfrm>
                    <a:prstGeom prst="rect">
                      <a:avLst/>
                    </a:prstGeom>
                  </pic:spPr>
                </pic:pic>
              </a:graphicData>
            </a:graphic>
          </wp:inline>
        </w:drawing>
      </w:r>
    </w:p>
    <w:p w14:paraId="7AAC7E8C" w14:textId="31148481" w:rsidR="004D3590" w:rsidRPr="009404DE" w:rsidRDefault="001027F6" w:rsidP="004D3590">
      <w:pPr>
        <w:pStyle w:val="Heading1"/>
        <w:ind w:left="1260" w:right="1260"/>
      </w:pPr>
      <w:bookmarkStart w:id="0" w:name="_Toc237000196"/>
      <w:r>
        <w:t>Guidance: Preparing Air Quality Statements</w:t>
      </w:r>
      <w:bookmarkEnd w:id="0"/>
    </w:p>
    <w:p w14:paraId="467FB12D" w14:textId="617DB656" w:rsidR="00FE5D65" w:rsidRDefault="001027F6" w:rsidP="001C12E5">
      <w:pPr>
        <w:pStyle w:val="CoverPageNormal"/>
        <w:sectPr w:rsidR="00FE5D65" w:rsidSect="003B6CAE">
          <w:footerReference w:type="default" r:id="rId13"/>
          <w:footerReference w:type="first" r:id="rId14"/>
          <w:pgSz w:w="12240" w:h="15840"/>
          <w:pgMar w:top="720" w:right="720" w:bottom="450" w:left="720" w:header="720" w:footer="144" w:gutter="0"/>
          <w:cols w:space="720"/>
          <w:docGrid w:linePitch="360"/>
        </w:sectPr>
      </w:pPr>
      <w:bookmarkStart w:id="1" w:name="_Toc217895684"/>
      <w:r>
        <w:t>This guidance</w:t>
      </w:r>
      <w:r w:rsidR="004D3590" w:rsidRPr="00EA7288">
        <mc:AlternateContent>
          <mc:Choice Requires="wps">
            <w:drawing>
              <wp:anchor distT="0" distB="0" distL="114300" distR="114300" simplePos="0" relativeHeight="251658240" behindDoc="1" locked="1" layoutInCell="1" allowOverlap="1" wp14:anchorId="2A269AC6" wp14:editId="260C6A95">
                <wp:simplePos x="0" y="0"/>
                <wp:positionH relativeFrom="margin">
                  <wp:align>right</wp:align>
                </wp:positionH>
                <wp:positionV relativeFrom="page">
                  <wp:posOffset>463550</wp:posOffset>
                </wp:positionV>
                <wp:extent cx="6858000" cy="9138285"/>
                <wp:effectExtent l="0" t="0" r="0" b="5715"/>
                <wp:wrapNone/>
                <wp:docPr id="729570528" name="Rectangle 7295705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9138285"/>
                        </a:xfrm>
                        <a:prstGeom prst="rect">
                          <a:avLst/>
                        </a:prstGeom>
                        <a:solidFill>
                          <a:srgbClr val="0056A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7A33309" id="Rectangle 729570528" o:spid="_x0000_s1026" alt="&quot;&quot;" style="position:absolute;margin-left:488.8pt;margin-top:36.5pt;width:540pt;height:719.5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YatfAIAAGAFAAAOAAAAZHJzL2Uyb0RvYy54bWysVMFu2zAMvQ/YPwi6r7azpkuDOkXQosOA&#10;oi3WDj0rshQbkEWNUuJkXz9KdpyuLXYYdpFFkXwkn0leXO5aw7YKfQO25MVJzpmyEqrGrkv+4+nm&#10;04wzH4SthAGrSr5Xnl8uPn646NxcTaAGUylkBGL9vHMlr0Nw8yzzslat8CfglCWlBmxFIBHXWYWi&#10;I/TWZJM8P8s6wMohSOU9vV73Sr5I+ForGe619iowU3LKLaQT07mKZ7a4EPM1Clc3ckhD/EMWrWgs&#10;BR2hrkUQbIPNG6i2kQgedDiR0GagdSNVqoGqKfJX1TzWwqlUC5Hj3UiT/3+w8m776B6QaOicn3u6&#10;xip2Gtv4pfzYLpG1H8lSu8AkPZ7NprM8J04l6c6Lz7PJbBrpzI7uDn34qqBl8VJypL+RSBLbWx96&#10;04NJjObBNNVNY0wScL26Msi2Iv65fHq2PB/Q/zAzNhpbiG49YnzJjsWkW9gbFe2M/a40aypKf5Iy&#10;SX2mxjhCSmVD0atqUak+fDGNhfbwo0eqNAFGZE3xR+wBIPbwW+weZrCPriq16eic/y2x3nn0SJHB&#10;htG5bSzgewCGqhoi9/YHknpqIksrqPYPyBD6IfFO3jT0326FDw8CaSroX9Okh3s6tIGu5DDcOKsB&#10;f733Hu2pWUnLWUdTVnL/cyNQcWa+WWrj8+L0NI5lEk6nXyYk4EvN6qXGbtoroHYoaKc4ma7RPpjD&#10;VSO0z7QQljEqqYSVFLvkMuBBuAr99NNKkWq5TGY0ik6EW/voZASPrMa+fNo9C3RD8wbq+zs4TKSY&#10;v+rh3jZ6WlhuAugmNfiR14FvGuPUOMPKiXvipZysjotx8RsAAP//AwBQSwMEFAAGAAgAAAAhAKMD&#10;yBXdAAAACQEAAA8AAABkcnMvZG93bnJldi54bWxMj81OwzAQhO9IvIO1SFwQtdOof2mcqkJwQ6gE&#10;HsCNt0lEvI5it03enu0JTjurWc1+k+9G14kLDqH1pCGZKRBIlbct1Rq+v96e1yBCNGRN5wk1TBhg&#10;V9zf5Saz/kqfeCljLTiEQmY0NDH2mZShatCZMPM9EnsnPzgTeR1qaQdz5XDXyblSS+lMS/yhMT2+&#10;NFj9lGen4f31Y/E0lctTpClNzX7VHcIm0frxYdxvQUQc498x3PAZHQpmOvoz2SA6DVwkalilPG+u&#10;WitWR1aLZJ6ALHL5v0HxCwAA//8DAFBLAQItABQABgAIAAAAIQC2gziS/gAAAOEBAAATAAAAAAAA&#10;AAAAAAAAAAAAAABbQ29udGVudF9UeXBlc10ueG1sUEsBAi0AFAAGAAgAAAAhADj9If/WAAAAlAEA&#10;AAsAAAAAAAAAAAAAAAAALwEAAF9yZWxzLy5yZWxzUEsBAi0AFAAGAAgAAAAhAAVJhq18AgAAYAUA&#10;AA4AAAAAAAAAAAAAAAAALgIAAGRycy9lMm9Eb2MueG1sUEsBAi0AFAAGAAgAAAAhAKMDyBXdAAAA&#10;CQEAAA8AAAAAAAAAAAAAAAAA1gQAAGRycy9kb3ducmV2LnhtbFBLBQYAAAAABAAEAPMAAADgBQAA&#10;AAA=&#10;" fillcolor="#0056a9" stroked="f" strokeweight="1.5pt">
                <w10:wrap anchorx="margin" anchory="page"/>
                <w10:anchorlock/>
              </v:rect>
            </w:pict>
          </mc:Fallback>
        </mc:AlternateContent>
      </w:r>
      <w:bookmarkEnd w:id="1"/>
      <w:r>
        <w:t xml:space="preserve"> explains how to prepare comprehensive project specific air quality </w:t>
      </w:r>
      <w:r w:rsidRPr="001027F6">
        <w:t>statements for inclusion in the project file or environmental review document.</w:t>
      </w:r>
      <w:r>
        <w:t xml:space="preserve"> </w:t>
      </w:r>
    </w:p>
    <w:bookmarkStart w:id="2" w:name="_Toc217895685" w:displacedByCustomXml="next"/>
    <w:sdt>
      <w:sdtPr>
        <w:rPr>
          <w:rFonts w:asciiTheme="minorHAnsi" w:hAnsiTheme="minorHAnsi"/>
          <w:b w:val="0"/>
          <w:bCs w:val="0"/>
          <w:color w:val="auto"/>
          <w:kern w:val="2"/>
          <w:sz w:val="24"/>
          <w:szCs w:val="20"/>
          <w14:ligatures w14:val="standardContextual"/>
        </w:rPr>
        <w:id w:val="1795402842"/>
        <w:docPartObj>
          <w:docPartGallery w:val="Table of Contents"/>
          <w:docPartUnique/>
        </w:docPartObj>
      </w:sdtPr>
      <w:sdtEndPr>
        <w:rPr>
          <w:noProof/>
        </w:rPr>
      </w:sdtEndPr>
      <w:sdtContent>
        <w:p w14:paraId="2BBCEFFA" w14:textId="77777777" w:rsidR="00AA10E8" w:rsidRDefault="00AA10E8" w:rsidP="00AA10E8">
          <w:pPr>
            <w:pStyle w:val="TOCHeading"/>
          </w:pPr>
          <w:r>
            <w:t>Contents</w:t>
          </w:r>
        </w:p>
        <w:p w14:paraId="720F90D6" w14:textId="2515914A" w:rsidR="00422FCB" w:rsidRDefault="00EB3C3E">
          <w:pPr>
            <w:pStyle w:val="TOC1"/>
            <w:rPr>
              <w:rFonts w:asciiTheme="minorHAnsi" w:eastAsiaTheme="minorEastAsia" w:hAnsiTheme="minorHAnsi" w:cstheme="minorBidi"/>
              <w:b w:val="0"/>
              <w:color w:val="auto"/>
              <w:kern w:val="2"/>
              <w:szCs w:val="24"/>
              <w14:ligatures w14:val="standardContextual"/>
            </w:rPr>
          </w:pPr>
          <w:r>
            <w:fldChar w:fldCharType="begin"/>
          </w:r>
          <w:r>
            <w:instrText xml:space="preserve"> TOC \o "1-4" \h \z \u </w:instrText>
          </w:r>
          <w:r>
            <w:fldChar w:fldCharType="separate"/>
          </w:r>
          <w:hyperlink w:anchor="_Toc237000196" w:history="1">
            <w:r w:rsidR="00422FCB" w:rsidRPr="00DF4F39">
              <w:rPr>
                <w:rStyle w:val="Hyperlink"/>
              </w:rPr>
              <w:t>Guidance: Preparing Air Quality Statements</w:t>
            </w:r>
            <w:r w:rsidR="00422FCB">
              <w:rPr>
                <w:webHidden/>
              </w:rPr>
              <w:tab/>
            </w:r>
            <w:r w:rsidR="00422FCB">
              <w:rPr>
                <w:webHidden/>
              </w:rPr>
              <w:fldChar w:fldCharType="begin"/>
            </w:r>
            <w:r w:rsidR="00422FCB">
              <w:rPr>
                <w:webHidden/>
              </w:rPr>
              <w:instrText xml:space="preserve"> PAGEREF _Toc237000196 \h </w:instrText>
            </w:r>
            <w:r w:rsidR="00422FCB">
              <w:rPr>
                <w:webHidden/>
              </w:rPr>
            </w:r>
            <w:r w:rsidR="00422FCB">
              <w:rPr>
                <w:webHidden/>
              </w:rPr>
              <w:fldChar w:fldCharType="separate"/>
            </w:r>
            <w:r w:rsidR="00422FCB">
              <w:rPr>
                <w:webHidden/>
              </w:rPr>
              <w:t>1</w:t>
            </w:r>
            <w:r w:rsidR="00422FCB">
              <w:rPr>
                <w:webHidden/>
              </w:rPr>
              <w:fldChar w:fldCharType="end"/>
            </w:r>
          </w:hyperlink>
        </w:p>
        <w:p w14:paraId="5A3462FE" w14:textId="379F2917" w:rsidR="00422FCB" w:rsidRDefault="00422FCB">
          <w:pPr>
            <w:pStyle w:val="TOC2"/>
            <w:tabs>
              <w:tab w:val="right" w:leader="dot" w:pos="9350"/>
            </w:tabs>
            <w:rPr>
              <w:rFonts w:eastAsiaTheme="minorEastAsia"/>
              <w:noProof/>
              <w:szCs w:val="24"/>
            </w:rPr>
          </w:pPr>
          <w:hyperlink w:anchor="_Toc237000197" w:history="1">
            <w:r w:rsidRPr="00DF4F39">
              <w:rPr>
                <w:rStyle w:val="Hyperlink"/>
                <w:noProof/>
              </w:rPr>
              <w:t>1.0 Introduction</w:t>
            </w:r>
            <w:r>
              <w:rPr>
                <w:noProof/>
                <w:webHidden/>
              </w:rPr>
              <w:tab/>
            </w:r>
            <w:r>
              <w:rPr>
                <w:noProof/>
                <w:webHidden/>
              </w:rPr>
              <w:fldChar w:fldCharType="begin"/>
            </w:r>
            <w:r>
              <w:rPr>
                <w:noProof/>
                <w:webHidden/>
              </w:rPr>
              <w:instrText xml:space="preserve"> PAGEREF _Toc237000197 \h </w:instrText>
            </w:r>
            <w:r>
              <w:rPr>
                <w:noProof/>
                <w:webHidden/>
              </w:rPr>
            </w:r>
            <w:r>
              <w:rPr>
                <w:noProof/>
                <w:webHidden/>
              </w:rPr>
              <w:fldChar w:fldCharType="separate"/>
            </w:r>
            <w:r>
              <w:rPr>
                <w:noProof/>
                <w:webHidden/>
              </w:rPr>
              <w:t>1</w:t>
            </w:r>
            <w:r>
              <w:rPr>
                <w:noProof/>
                <w:webHidden/>
              </w:rPr>
              <w:fldChar w:fldCharType="end"/>
            </w:r>
          </w:hyperlink>
        </w:p>
        <w:p w14:paraId="26C690DA" w14:textId="1D3F76F6" w:rsidR="00422FCB" w:rsidRDefault="00422FCB">
          <w:pPr>
            <w:pStyle w:val="TOC2"/>
            <w:tabs>
              <w:tab w:val="right" w:leader="dot" w:pos="9350"/>
            </w:tabs>
            <w:rPr>
              <w:rFonts w:eastAsiaTheme="minorEastAsia"/>
              <w:noProof/>
              <w:szCs w:val="24"/>
            </w:rPr>
          </w:pPr>
          <w:hyperlink w:anchor="_Toc237000198" w:history="1">
            <w:r w:rsidRPr="00DF4F39">
              <w:rPr>
                <w:rStyle w:val="Hyperlink"/>
                <w:noProof/>
              </w:rPr>
              <w:t>2.0 Authorities</w:t>
            </w:r>
            <w:r>
              <w:rPr>
                <w:noProof/>
                <w:webHidden/>
              </w:rPr>
              <w:tab/>
            </w:r>
            <w:r>
              <w:rPr>
                <w:noProof/>
                <w:webHidden/>
              </w:rPr>
              <w:fldChar w:fldCharType="begin"/>
            </w:r>
            <w:r>
              <w:rPr>
                <w:noProof/>
                <w:webHidden/>
              </w:rPr>
              <w:instrText xml:space="preserve"> PAGEREF _Toc237000198 \h </w:instrText>
            </w:r>
            <w:r>
              <w:rPr>
                <w:noProof/>
                <w:webHidden/>
              </w:rPr>
            </w:r>
            <w:r>
              <w:rPr>
                <w:noProof/>
                <w:webHidden/>
              </w:rPr>
              <w:fldChar w:fldCharType="separate"/>
            </w:r>
            <w:r>
              <w:rPr>
                <w:noProof/>
                <w:webHidden/>
              </w:rPr>
              <w:t>1</w:t>
            </w:r>
            <w:r>
              <w:rPr>
                <w:noProof/>
                <w:webHidden/>
              </w:rPr>
              <w:fldChar w:fldCharType="end"/>
            </w:r>
          </w:hyperlink>
        </w:p>
        <w:p w14:paraId="2AAFC839" w14:textId="3673F89E" w:rsidR="00422FCB" w:rsidRDefault="00422FCB">
          <w:pPr>
            <w:pStyle w:val="TOC2"/>
            <w:tabs>
              <w:tab w:val="right" w:leader="dot" w:pos="9350"/>
            </w:tabs>
            <w:rPr>
              <w:rFonts w:eastAsiaTheme="minorEastAsia"/>
              <w:noProof/>
              <w:szCs w:val="24"/>
            </w:rPr>
          </w:pPr>
          <w:hyperlink w:anchor="_Toc237000199" w:history="1">
            <w:r w:rsidRPr="00DF4F39">
              <w:rPr>
                <w:rStyle w:val="Hyperlink"/>
                <w:noProof/>
              </w:rPr>
              <w:t>3.0 Air Quality Toolkit</w:t>
            </w:r>
            <w:r>
              <w:rPr>
                <w:noProof/>
                <w:webHidden/>
              </w:rPr>
              <w:tab/>
            </w:r>
            <w:r>
              <w:rPr>
                <w:noProof/>
                <w:webHidden/>
              </w:rPr>
              <w:fldChar w:fldCharType="begin"/>
            </w:r>
            <w:r>
              <w:rPr>
                <w:noProof/>
                <w:webHidden/>
              </w:rPr>
              <w:instrText xml:space="preserve"> PAGEREF _Toc237000199 \h </w:instrText>
            </w:r>
            <w:r>
              <w:rPr>
                <w:noProof/>
                <w:webHidden/>
              </w:rPr>
            </w:r>
            <w:r>
              <w:rPr>
                <w:noProof/>
                <w:webHidden/>
              </w:rPr>
              <w:fldChar w:fldCharType="separate"/>
            </w:r>
            <w:r>
              <w:rPr>
                <w:noProof/>
                <w:webHidden/>
              </w:rPr>
              <w:t>1</w:t>
            </w:r>
            <w:r>
              <w:rPr>
                <w:noProof/>
                <w:webHidden/>
              </w:rPr>
              <w:fldChar w:fldCharType="end"/>
            </w:r>
          </w:hyperlink>
        </w:p>
        <w:p w14:paraId="34A1020F" w14:textId="4B8D6D31" w:rsidR="00422FCB" w:rsidRDefault="00422FCB">
          <w:pPr>
            <w:pStyle w:val="TOC2"/>
            <w:tabs>
              <w:tab w:val="right" w:leader="dot" w:pos="9350"/>
            </w:tabs>
            <w:rPr>
              <w:rFonts w:eastAsiaTheme="minorEastAsia"/>
              <w:noProof/>
              <w:szCs w:val="24"/>
            </w:rPr>
          </w:pPr>
          <w:hyperlink w:anchor="_Toc237000200" w:history="1">
            <w:r w:rsidRPr="00DF4F39">
              <w:rPr>
                <w:rStyle w:val="Hyperlink"/>
                <w:noProof/>
              </w:rPr>
              <w:t>4.0 Personnel</w:t>
            </w:r>
            <w:r>
              <w:rPr>
                <w:noProof/>
                <w:webHidden/>
              </w:rPr>
              <w:tab/>
            </w:r>
            <w:r>
              <w:rPr>
                <w:noProof/>
                <w:webHidden/>
              </w:rPr>
              <w:fldChar w:fldCharType="begin"/>
            </w:r>
            <w:r>
              <w:rPr>
                <w:noProof/>
                <w:webHidden/>
              </w:rPr>
              <w:instrText xml:space="preserve"> PAGEREF _Toc237000200 \h </w:instrText>
            </w:r>
            <w:r>
              <w:rPr>
                <w:noProof/>
                <w:webHidden/>
              </w:rPr>
            </w:r>
            <w:r>
              <w:rPr>
                <w:noProof/>
                <w:webHidden/>
              </w:rPr>
              <w:fldChar w:fldCharType="separate"/>
            </w:r>
            <w:r>
              <w:rPr>
                <w:noProof/>
                <w:webHidden/>
              </w:rPr>
              <w:t>2</w:t>
            </w:r>
            <w:r>
              <w:rPr>
                <w:noProof/>
                <w:webHidden/>
              </w:rPr>
              <w:fldChar w:fldCharType="end"/>
            </w:r>
          </w:hyperlink>
        </w:p>
        <w:p w14:paraId="1FD8BAA4" w14:textId="011C320B" w:rsidR="00422FCB" w:rsidRDefault="00422FCB">
          <w:pPr>
            <w:pStyle w:val="TOC2"/>
            <w:tabs>
              <w:tab w:val="right" w:leader="dot" w:pos="9350"/>
            </w:tabs>
            <w:rPr>
              <w:rFonts w:eastAsiaTheme="minorEastAsia"/>
              <w:noProof/>
              <w:szCs w:val="24"/>
            </w:rPr>
          </w:pPr>
          <w:hyperlink w:anchor="_Toc237000201" w:history="1">
            <w:r w:rsidRPr="00DF4F39">
              <w:rPr>
                <w:rStyle w:val="Hyperlink"/>
                <w:noProof/>
              </w:rPr>
              <w:t>5.0 Hyperlinks in the Procedures</w:t>
            </w:r>
            <w:r>
              <w:rPr>
                <w:noProof/>
                <w:webHidden/>
              </w:rPr>
              <w:tab/>
            </w:r>
            <w:r>
              <w:rPr>
                <w:noProof/>
                <w:webHidden/>
              </w:rPr>
              <w:fldChar w:fldCharType="begin"/>
            </w:r>
            <w:r>
              <w:rPr>
                <w:noProof/>
                <w:webHidden/>
              </w:rPr>
              <w:instrText xml:space="preserve"> PAGEREF _Toc237000201 \h </w:instrText>
            </w:r>
            <w:r>
              <w:rPr>
                <w:noProof/>
                <w:webHidden/>
              </w:rPr>
            </w:r>
            <w:r>
              <w:rPr>
                <w:noProof/>
                <w:webHidden/>
              </w:rPr>
              <w:fldChar w:fldCharType="separate"/>
            </w:r>
            <w:r>
              <w:rPr>
                <w:noProof/>
                <w:webHidden/>
              </w:rPr>
              <w:t>2</w:t>
            </w:r>
            <w:r>
              <w:rPr>
                <w:noProof/>
                <w:webHidden/>
              </w:rPr>
              <w:fldChar w:fldCharType="end"/>
            </w:r>
          </w:hyperlink>
        </w:p>
        <w:p w14:paraId="587CDA1A" w14:textId="10BAB210" w:rsidR="00422FCB" w:rsidRDefault="00422FCB">
          <w:pPr>
            <w:pStyle w:val="TOC2"/>
            <w:tabs>
              <w:tab w:val="right" w:leader="dot" w:pos="9350"/>
            </w:tabs>
            <w:rPr>
              <w:rFonts w:eastAsiaTheme="minorEastAsia"/>
              <w:noProof/>
              <w:szCs w:val="24"/>
            </w:rPr>
          </w:pPr>
          <w:hyperlink w:anchor="_Toc237000202" w:history="1">
            <w:r w:rsidRPr="00DF4F39">
              <w:rPr>
                <w:rStyle w:val="Hyperlink"/>
                <w:noProof/>
              </w:rPr>
              <w:t>6.0 Procedure</w:t>
            </w:r>
            <w:r>
              <w:rPr>
                <w:noProof/>
                <w:webHidden/>
              </w:rPr>
              <w:tab/>
            </w:r>
            <w:r>
              <w:rPr>
                <w:noProof/>
                <w:webHidden/>
              </w:rPr>
              <w:fldChar w:fldCharType="begin"/>
            </w:r>
            <w:r>
              <w:rPr>
                <w:noProof/>
                <w:webHidden/>
              </w:rPr>
              <w:instrText xml:space="preserve"> PAGEREF _Toc237000202 \h </w:instrText>
            </w:r>
            <w:r>
              <w:rPr>
                <w:noProof/>
                <w:webHidden/>
              </w:rPr>
            </w:r>
            <w:r>
              <w:rPr>
                <w:noProof/>
                <w:webHidden/>
              </w:rPr>
              <w:fldChar w:fldCharType="separate"/>
            </w:r>
            <w:r>
              <w:rPr>
                <w:noProof/>
                <w:webHidden/>
              </w:rPr>
              <w:t>2</w:t>
            </w:r>
            <w:r>
              <w:rPr>
                <w:noProof/>
                <w:webHidden/>
              </w:rPr>
              <w:fldChar w:fldCharType="end"/>
            </w:r>
          </w:hyperlink>
        </w:p>
        <w:p w14:paraId="48C7FDF2" w14:textId="729617A2" w:rsidR="00422FCB" w:rsidRDefault="00422FCB">
          <w:pPr>
            <w:pStyle w:val="TOC2"/>
            <w:tabs>
              <w:tab w:val="right" w:leader="dot" w:pos="9350"/>
            </w:tabs>
            <w:rPr>
              <w:rFonts w:eastAsiaTheme="minorEastAsia"/>
              <w:noProof/>
              <w:szCs w:val="24"/>
            </w:rPr>
          </w:pPr>
          <w:hyperlink w:anchor="_Toc237000203" w:history="1">
            <w:r w:rsidRPr="00DF4F39">
              <w:rPr>
                <w:rStyle w:val="Hyperlink"/>
                <w:noProof/>
              </w:rPr>
              <w:t>7.0 Glossary</w:t>
            </w:r>
            <w:r>
              <w:rPr>
                <w:noProof/>
                <w:webHidden/>
              </w:rPr>
              <w:tab/>
            </w:r>
            <w:r>
              <w:rPr>
                <w:noProof/>
                <w:webHidden/>
              </w:rPr>
              <w:fldChar w:fldCharType="begin"/>
            </w:r>
            <w:r>
              <w:rPr>
                <w:noProof/>
                <w:webHidden/>
              </w:rPr>
              <w:instrText xml:space="preserve"> PAGEREF _Toc237000203 \h </w:instrText>
            </w:r>
            <w:r>
              <w:rPr>
                <w:noProof/>
                <w:webHidden/>
              </w:rPr>
            </w:r>
            <w:r>
              <w:rPr>
                <w:noProof/>
                <w:webHidden/>
              </w:rPr>
              <w:fldChar w:fldCharType="separate"/>
            </w:r>
            <w:r>
              <w:rPr>
                <w:noProof/>
                <w:webHidden/>
              </w:rPr>
              <w:t>11</w:t>
            </w:r>
            <w:r>
              <w:rPr>
                <w:noProof/>
                <w:webHidden/>
              </w:rPr>
              <w:fldChar w:fldCharType="end"/>
            </w:r>
          </w:hyperlink>
        </w:p>
        <w:p w14:paraId="3B661956" w14:textId="711ED796" w:rsidR="00422FCB" w:rsidRDefault="00422FCB">
          <w:pPr>
            <w:pStyle w:val="TOC2"/>
            <w:tabs>
              <w:tab w:val="right" w:leader="dot" w:pos="9350"/>
            </w:tabs>
            <w:rPr>
              <w:rFonts w:eastAsiaTheme="minorEastAsia"/>
              <w:noProof/>
              <w:szCs w:val="24"/>
            </w:rPr>
          </w:pPr>
          <w:hyperlink w:anchor="_Toc237000204" w:history="1">
            <w:r w:rsidRPr="00DF4F39">
              <w:rPr>
                <w:rStyle w:val="Hyperlink"/>
                <w:noProof/>
              </w:rPr>
              <w:t>8.0 Abbreviations and Acronyms</w:t>
            </w:r>
            <w:r>
              <w:rPr>
                <w:noProof/>
                <w:webHidden/>
              </w:rPr>
              <w:tab/>
            </w:r>
            <w:r>
              <w:rPr>
                <w:noProof/>
                <w:webHidden/>
              </w:rPr>
              <w:fldChar w:fldCharType="begin"/>
            </w:r>
            <w:r>
              <w:rPr>
                <w:noProof/>
                <w:webHidden/>
              </w:rPr>
              <w:instrText xml:space="preserve"> PAGEREF _Toc237000204 \h </w:instrText>
            </w:r>
            <w:r>
              <w:rPr>
                <w:noProof/>
                <w:webHidden/>
              </w:rPr>
            </w:r>
            <w:r>
              <w:rPr>
                <w:noProof/>
                <w:webHidden/>
              </w:rPr>
              <w:fldChar w:fldCharType="separate"/>
            </w:r>
            <w:r>
              <w:rPr>
                <w:noProof/>
                <w:webHidden/>
              </w:rPr>
              <w:t>13</w:t>
            </w:r>
            <w:r>
              <w:rPr>
                <w:noProof/>
                <w:webHidden/>
              </w:rPr>
              <w:fldChar w:fldCharType="end"/>
            </w:r>
          </w:hyperlink>
        </w:p>
        <w:p w14:paraId="56E6CBB6" w14:textId="35FF859E" w:rsidR="00422FCB" w:rsidRDefault="00422FCB">
          <w:pPr>
            <w:pStyle w:val="TOC2"/>
            <w:tabs>
              <w:tab w:val="right" w:leader="dot" w:pos="9350"/>
            </w:tabs>
            <w:rPr>
              <w:rFonts w:eastAsiaTheme="minorEastAsia"/>
              <w:noProof/>
              <w:szCs w:val="24"/>
            </w:rPr>
          </w:pPr>
          <w:hyperlink w:anchor="_Toc237000205" w:history="1">
            <w:r w:rsidRPr="00DF4F39">
              <w:rPr>
                <w:rStyle w:val="Hyperlink"/>
                <w:noProof/>
              </w:rPr>
              <w:t>Appendix A: Air Quality Statements for Environmental Review Documents</w:t>
            </w:r>
            <w:r>
              <w:rPr>
                <w:noProof/>
                <w:webHidden/>
              </w:rPr>
              <w:tab/>
            </w:r>
            <w:r>
              <w:rPr>
                <w:noProof/>
                <w:webHidden/>
              </w:rPr>
              <w:fldChar w:fldCharType="begin"/>
            </w:r>
            <w:r>
              <w:rPr>
                <w:noProof/>
                <w:webHidden/>
              </w:rPr>
              <w:instrText xml:space="preserve"> PAGEREF _Toc237000205 \h </w:instrText>
            </w:r>
            <w:r>
              <w:rPr>
                <w:noProof/>
                <w:webHidden/>
              </w:rPr>
            </w:r>
            <w:r>
              <w:rPr>
                <w:noProof/>
                <w:webHidden/>
              </w:rPr>
              <w:fldChar w:fldCharType="separate"/>
            </w:r>
            <w:r>
              <w:rPr>
                <w:noProof/>
                <w:webHidden/>
              </w:rPr>
              <w:t>16</w:t>
            </w:r>
            <w:r>
              <w:rPr>
                <w:noProof/>
                <w:webHidden/>
              </w:rPr>
              <w:fldChar w:fldCharType="end"/>
            </w:r>
          </w:hyperlink>
        </w:p>
        <w:p w14:paraId="6F21EC4A" w14:textId="2A074465" w:rsidR="00422FCB" w:rsidRDefault="00422FCB">
          <w:pPr>
            <w:pStyle w:val="TOC3"/>
            <w:tabs>
              <w:tab w:val="right" w:leader="dot" w:pos="9350"/>
            </w:tabs>
            <w:rPr>
              <w:rFonts w:eastAsiaTheme="minorEastAsia"/>
              <w:bCs w:val="0"/>
              <w:szCs w:val="24"/>
            </w:rPr>
          </w:pPr>
          <w:hyperlink w:anchor="_Toc237000206" w:history="1">
            <w:r w:rsidRPr="00DF4F39">
              <w:rPr>
                <w:rStyle w:val="Hyperlink"/>
              </w:rPr>
              <w:t>Statement 1</w:t>
            </w:r>
            <w:r>
              <w:rPr>
                <w:webHidden/>
              </w:rPr>
              <w:tab/>
            </w:r>
            <w:r>
              <w:rPr>
                <w:webHidden/>
              </w:rPr>
              <w:fldChar w:fldCharType="begin"/>
            </w:r>
            <w:r>
              <w:rPr>
                <w:webHidden/>
              </w:rPr>
              <w:instrText xml:space="preserve"> PAGEREF _Toc237000206 \h </w:instrText>
            </w:r>
            <w:r>
              <w:rPr>
                <w:webHidden/>
              </w:rPr>
            </w:r>
            <w:r>
              <w:rPr>
                <w:webHidden/>
              </w:rPr>
              <w:fldChar w:fldCharType="separate"/>
            </w:r>
            <w:r>
              <w:rPr>
                <w:webHidden/>
              </w:rPr>
              <w:t>16</w:t>
            </w:r>
            <w:r>
              <w:rPr>
                <w:webHidden/>
              </w:rPr>
              <w:fldChar w:fldCharType="end"/>
            </w:r>
          </w:hyperlink>
        </w:p>
        <w:p w14:paraId="0372D7A9" w14:textId="2FB3FB98" w:rsidR="00422FCB" w:rsidRDefault="00422FCB">
          <w:pPr>
            <w:pStyle w:val="TOC3"/>
            <w:tabs>
              <w:tab w:val="right" w:leader="dot" w:pos="9350"/>
            </w:tabs>
            <w:rPr>
              <w:rFonts w:eastAsiaTheme="minorEastAsia"/>
              <w:bCs w:val="0"/>
              <w:szCs w:val="24"/>
            </w:rPr>
          </w:pPr>
          <w:hyperlink w:anchor="_Toc237000207" w:history="1">
            <w:r w:rsidRPr="00DF4F39">
              <w:rPr>
                <w:rStyle w:val="Hyperlink"/>
              </w:rPr>
              <w:t>Statement 2</w:t>
            </w:r>
            <w:r>
              <w:rPr>
                <w:webHidden/>
              </w:rPr>
              <w:tab/>
            </w:r>
            <w:r>
              <w:rPr>
                <w:webHidden/>
              </w:rPr>
              <w:fldChar w:fldCharType="begin"/>
            </w:r>
            <w:r>
              <w:rPr>
                <w:webHidden/>
              </w:rPr>
              <w:instrText xml:space="preserve"> PAGEREF _Toc237000207 \h </w:instrText>
            </w:r>
            <w:r>
              <w:rPr>
                <w:webHidden/>
              </w:rPr>
            </w:r>
            <w:r>
              <w:rPr>
                <w:webHidden/>
              </w:rPr>
              <w:fldChar w:fldCharType="separate"/>
            </w:r>
            <w:r>
              <w:rPr>
                <w:webHidden/>
              </w:rPr>
              <w:t>16</w:t>
            </w:r>
            <w:r>
              <w:rPr>
                <w:webHidden/>
              </w:rPr>
              <w:fldChar w:fldCharType="end"/>
            </w:r>
          </w:hyperlink>
        </w:p>
        <w:p w14:paraId="67C81CC6" w14:textId="5A23E584" w:rsidR="00422FCB" w:rsidRDefault="00422FCB">
          <w:pPr>
            <w:pStyle w:val="TOC3"/>
            <w:tabs>
              <w:tab w:val="right" w:leader="dot" w:pos="9350"/>
            </w:tabs>
            <w:rPr>
              <w:rFonts w:eastAsiaTheme="minorEastAsia"/>
              <w:bCs w:val="0"/>
              <w:szCs w:val="24"/>
            </w:rPr>
          </w:pPr>
          <w:hyperlink w:anchor="_Toc237000208" w:history="1">
            <w:r w:rsidRPr="00DF4F39">
              <w:rPr>
                <w:rStyle w:val="Hyperlink"/>
              </w:rPr>
              <w:t>Statement 3</w:t>
            </w:r>
            <w:r>
              <w:rPr>
                <w:webHidden/>
              </w:rPr>
              <w:tab/>
            </w:r>
            <w:r>
              <w:rPr>
                <w:webHidden/>
              </w:rPr>
              <w:fldChar w:fldCharType="begin"/>
            </w:r>
            <w:r>
              <w:rPr>
                <w:webHidden/>
              </w:rPr>
              <w:instrText xml:space="preserve"> PAGEREF _Toc237000208 \h </w:instrText>
            </w:r>
            <w:r>
              <w:rPr>
                <w:webHidden/>
              </w:rPr>
            </w:r>
            <w:r>
              <w:rPr>
                <w:webHidden/>
              </w:rPr>
              <w:fldChar w:fldCharType="separate"/>
            </w:r>
            <w:r>
              <w:rPr>
                <w:webHidden/>
              </w:rPr>
              <w:t>16</w:t>
            </w:r>
            <w:r>
              <w:rPr>
                <w:webHidden/>
              </w:rPr>
              <w:fldChar w:fldCharType="end"/>
            </w:r>
          </w:hyperlink>
        </w:p>
        <w:p w14:paraId="0304C27B" w14:textId="72DA5CFF" w:rsidR="00422FCB" w:rsidRDefault="00422FCB">
          <w:pPr>
            <w:pStyle w:val="TOC3"/>
            <w:tabs>
              <w:tab w:val="right" w:leader="dot" w:pos="9350"/>
            </w:tabs>
            <w:rPr>
              <w:rFonts w:eastAsiaTheme="minorEastAsia"/>
              <w:bCs w:val="0"/>
              <w:szCs w:val="24"/>
            </w:rPr>
          </w:pPr>
          <w:hyperlink w:anchor="_Toc237000209" w:history="1">
            <w:r w:rsidRPr="00DF4F39">
              <w:rPr>
                <w:rStyle w:val="Hyperlink"/>
              </w:rPr>
              <w:t>Statement 4</w:t>
            </w:r>
            <w:r>
              <w:rPr>
                <w:webHidden/>
              </w:rPr>
              <w:tab/>
            </w:r>
            <w:r>
              <w:rPr>
                <w:webHidden/>
              </w:rPr>
              <w:fldChar w:fldCharType="begin"/>
            </w:r>
            <w:r>
              <w:rPr>
                <w:webHidden/>
              </w:rPr>
              <w:instrText xml:space="preserve"> PAGEREF _Toc237000209 \h </w:instrText>
            </w:r>
            <w:r>
              <w:rPr>
                <w:webHidden/>
              </w:rPr>
            </w:r>
            <w:r>
              <w:rPr>
                <w:webHidden/>
              </w:rPr>
              <w:fldChar w:fldCharType="separate"/>
            </w:r>
            <w:r>
              <w:rPr>
                <w:webHidden/>
              </w:rPr>
              <w:t>17</w:t>
            </w:r>
            <w:r>
              <w:rPr>
                <w:webHidden/>
              </w:rPr>
              <w:fldChar w:fldCharType="end"/>
            </w:r>
          </w:hyperlink>
        </w:p>
        <w:p w14:paraId="68A5A765" w14:textId="1CBFB426" w:rsidR="00422FCB" w:rsidRDefault="00422FCB">
          <w:pPr>
            <w:pStyle w:val="TOC3"/>
            <w:tabs>
              <w:tab w:val="right" w:leader="dot" w:pos="9350"/>
            </w:tabs>
            <w:rPr>
              <w:rFonts w:eastAsiaTheme="minorEastAsia"/>
              <w:bCs w:val="0"/>
              <w:szCs w:val="24"/>
            </w:rPr>
          </w:pPr>
          <w:hyperlink w:anchor="_Toc237000210" w:history="1">
            <w:r w:rsidRPr="00DF4F39">
              <w:rPr>
                <w:rStyle w:val="Hyperlink"/>
              </w:rPr>
              <w:t>Statement 5</w:t>
            </w:r>
            <w:r>
              <w:rPr>
                <w:webHidden/>
              </w:rPr>
              <w:tab/>
            </w:r>
            <w:r>
              <w:rPr>
                <w:webHidden/>
              </w:rPr>
              <w:fldChar w:fldCharType="begin"/>
            </w:r>
            <w:r>
              <w:rPr>
                <w:webHidden/>
              </w:rPr>
              <w:instrText xml:space="preserve"> PAGEREF _Toc237000210 \h </w:instrText>
            </w:r>
            <w:r>
              <w:rPr>
                <w:webHidden/>
              </w:rPr>
            </w:r>
            <w:r>
              <w:rPr>
                <w:webHidden/>
              </w:rPr>
              <w:fldChar w:fldCharType="separate"/>
            </w:r>
            <w:r>
              <w:rPr>
                <w:webHidden/>
              </w:rPr>
              <w:t>17</w:t>
            </w:r>
            <w:r>
              <w:rPr>
                <w:webHidden/>
              </w:rPr>
              <w:fldChar w:fldCharType="end"/>
            </w:r>
          </w:hyperlink>
        </w:p>
        <w:p w14:paraId="3613CF2C" w14:textId="163A5225" w:rsidR="00422FCB" w:rsidRDefault="00422FCB">
          <w:pPr>
            <w:pStyle w:val="TOC3"/>
            <w:tabs>
              <w:tab w:val="right" w:leader="dot" w:pos="9350"/>
            </w:tabs>
            <w:rPr>
              <w:rFonts w:eastAsiaTheme="minorEastAsia"/>
              <w:bCs w:val="0"/>
              <w:szCs w:val="24"/>
            </w:rPr>
          </w:pPr>
          <w:hyperlink w:anchor="_Toc237000211" w:history="1">
            <w:r w:rsidRPr="00DF4F39">
              <w:rPr>
                <w:rStyle w:val="Hyperlink"/>
              </w:rPr>
              <w:t>Statement 6</w:t>
            </w:r>
            <w:r>
              <w:rPr>
                <w:webHidden/>
              </w:rPr>
              <w:tab/>
            </w:r>
            <w:r>
              <w:rPr>
                <w:webHidden/>
              </w:rPr>
              <w:fldChar w:fldCharType="begin"/>
            </w:r>
            <w:r>
              <w:rPr>
                <w:webHidden/>
              </w:rPr>
              <w:instrText xml:space="preserve"> PAGEREF _Toc237000211 \h </w:instrText>
            </w:r>
            <w:r>
              <w:rPr>
                <w:webHidden/>
              </w:rPr>
            </w:r>
            <w:r>
              <w:rPr>
                <w:webHidden/>
              </w:rPr>
              <w:fldChar w:fldCharType="separate"/>
            </w:r>
            <w:r>
              <w:rPr>
                <w:webHidden/>
              </w:rPr>
              <w:t>17</w:t>
            </w:r>
            <w:r>
              <w:rPr>
                <w:webHidden/>
              </w:rPr>
              <w:fldChar w:fldCharType="end"/>
            </w:r>
          </w:hyperlink>
        </w:p>
        <w:p w14:paraId="30FF90AB" w14:textId="578C8EB5" w:rsidR="00422FCB" w:rsidRDefault="00422FCB">
          <w:pPr>
            <w:pStyle w:val="TOC3"/>
            <w:tabs>
              <w:tab w:val="right" w:leader="dot" w:pos="9350"/>
            </w:tabs>
            <w:rPr>
              <w:rFonts w:eastAsiaTheme="minorEastAsia"/>
              <w:bCs w:val="0"/>
              <w:szCs w:val="24"/>
            </w:rPr>
          </w:pPr>
          <w:hyperlink w:anchor="_Toc237000212" w:history="1">
            <w:r w:rsidRPr="00DF4F39">
              <w:rPr>
                <w:rStyle w:val="Hyperlink"/>
              </w:rPr>
              <w:t>Statement 7</w:t>
            </w:r>
            <w:r>
              <w:rPr>
                <w:webHidden/>
              </w:rPr>
              <w:tab/>
            </w:r>
            <w:r>
              <w:rPr>
                <w:webHidden/>
              </w:rPr>
              <w:fldChar w:fldCharType="begin"/>
            </w:r>
            <w:r>
              <w:rPr>
                <w:webHidden/>
              </w:rPr>
              <w:instrText xml:space="preserve"> PAGEREF _Toc237000212 \h </w:instrText>
            </w:r>
            <w:r>
              <w:rPr>
                <w:webHidden/>
              </w:rPr>
            </w:r>
            <w:r>
              <w:rPr>
                <w:webHidden/>
              </w:rPr>
              <w:fldChar w:fldCharType="separate"/>
            </w:r>
            <w:r>
              <w:rPr>
                <w:webHidden/>
              </w:rPr>
              <w:t>18</w:t>
            </w:r>
            <w:r>
              <w:rPr>
                <w:webHidden/>
              </w:rPr>
              <w:fldChar w:fldCharType="end"/>
            </w:r>
          </w:hyperlink>
        </w:p>
        <w:p w14:paraId="575DC71D" w14:textId="5B1B7409" w:rsidR="00422FCB" w:rsidRDefault="00422FCB">
          <w:pPr>
            <w:pStyle w:val="TOC3"/>
            <w:tabs>
              <w:tab w:val="right" w:leader="dot" w:pos="9350"/>
            </w:tabs>
            <w:rPr>
              <w:rFonts w:eastAsiaTheme="minorEastAsia"/>
              <w:bCs w:val="0"/>
              <w:szCs w:val="24"/>
            </w:rPr>
          </w:pPr>
          <w:hyperlink w:anchor="_Toc237000213" w:history="1">
            <w:r w:rsidRPr="00DF4F39">
              <w:rPr>
                <w:rStyle w:val="Hyperlink"/>
              </w:rPr>
              <w:t>Statement 8</w:t>
            </w:r>
            <w:r>
              <w:rPr>
                <w:webHidden/>
              </w:rPr>
              <w:tab/>
            </w:r>
            <w:r>
              <w:rPr>
                <w:webHidden/>
              </w:rPr>
              <w:fldChar w:fldCharType="begin"/>
            </w:r>
            <w:r>
              <w:rPr>
                <w:webHidden/>
              </w:rPr>
              <w:instrText xml:space="preserve"> PAGEREF _Toc237000213 \h </w:instrText>
            </w:r>
            <w:r>
              <w:rPr>
                <w:webHidden/>
              </w:rPr>
            </w:r>
            <w:r>
              <w:rPr>
                <w:webHidden/>
              </w:rPr>
              <w:fldChar w:fldCharType="separate"/>
            </w:r>
            <w:r>
              <w:rPr>
                <w:webHidden/>
              </w:rPr>
              <w:t>18</w:t>
            </w:r>
            <w:r>
              <w:rPr>
                <w:webHidden/>
              </w:rPr>
              <w:fldChar w:fldCharType="end"/>
            </w:r>
          </w:hyperlink>
        </w:p>
        <w:p w14:paraId="43AC78F4" w14:textId="68560CCB" w:rsidR="00422FCB" w:rsidRDefault="00422FCB">
          <w:pPr>
            <w:pStyle w:val="TOC3"/>
            <w:tabs>
              <w:tab w:val="right" w:leader="dot" w:pos="9350"/>
            </w:tabs>
            <w:rPr>
              <w:rFonts w:eastAsiaTheme="minorEastAsia"/>
              <w:bCs w:val="0"/>
              <w:szCs w:val="24"/>
            </w:rPr>
          </w:pPr>
          <w:hyperlink w:anchor="_Toc237000214" w:history="1">
            <w:r w:rsidRPr="00DF4F39">
              <w:rPr>
                <w:rStyle w:val="Hyperlink"/>
              </w:rPr>
              <w:t>Statement 9</w:t>
            </w:r>
            <w:r>
              <w:rPr>
                <w:webHidden/>
              </w:rPr>
              <w:tab/>
            </w:r>
            <w:r>
              <w:rPr>
                <w:webHidden/>
              </w:rPr>
              <w:fldChar w:fldCharType="begin"/>
            </w:r>
            <w:r>
              <w:rPr>
                <w:webHidden/>
              </w:rPr>
              <w:instrText xml:space="preserve"> PAGEREF _Toc237000214 \h </w:instrText>
            </w:r>
            <w:r>
              <w:rPr>
                <w:webHidden/>
              </w:rPr>
            </w:r>
            <w:r>
              <w:rPr>
                <w:webHidden/>
              </w:rPr>
              <w:fldChar w:fldCharType="separate"/>
            </w:r>
            <w:r>
              <w:rPr>
                <w:webHidden/>
              </w:rPr>
              <w:t>19</w:t>
            </w:r>
            <w:r>
              <w:rPr>
                <w:webHidden/>
              </w:rPr>
              <w:fldChar w:fldCharType="end"/>
            </w:r>
          </w:hyperlink>
        </w:p>
        <w:p w14:paraId="4AA9052D" w14:textId="4EE90D9E" w:rsidR="00422FCB" w:rsidRDefault="00422FCB">
          <w:pPr>
            <w:pStyle w:val="TOC3"/>
            <w:tabs>
              <w:tab w:val="right" w:leader="dot" w:pos="9350"/>
            </w:tabs>
            <w:rPr>
              <w:rFonts w:eastAsiaTheme="minorEastAsia"/>
              <w:bCs w:val="0"/>
              <w:szCs w:val="24"/>
            </w:rPr>
          </w:pPr>
          <w:hyperlink w:anchor="_Toc237000215" w:history="1">
            <w:r w:rsidRPr="00DF4F39">
              <w:rPr>
                <w:rStyle w:val="Hyperlink"/>
              </w:rPr>
              <w:t>Statement 10</w:t>
            </w:r>
            <w:r>
              <w:rPr>
                <w:webHidden/>
              </w:rPr>
              <w:tab/>
            </w:r>
            <w:r>
              <w:rPr>
                <w:webHidden/>
              </w:rPr>
              <w:fldChar w:fldCharType="begin"/>
            </w:r>
            <w:r>
              <w:rPr>
                <w:webHidden/>
              </w:rPr>
              <w:instrText xml:space="preserve"> PAGEREF _Toc237000215 \h </w:instrText>
            </w:r>
            <w:r>
              <w:rPr>
                <w:webHidden/>
              </w:rPr>
            </w:r>
            <w:r>
              <w:rPr>
                <w:webHidden/>
              </w:rPr>
              <w:fldChar w:fldCharType="separate"/>
            </w:r>
            <w:r>
              <w:rPr>
                <w:webHidden/>
              </w:rPr>
              <w:t>19</w:t>
            </w:r>
            <w:r>
              <w:rPr>
                <w:webHidden/>
              </w:rPr>
              <w:fldChar w:fldCharType="end"/>
            </w:r>
          </w:hyperlink>
        </w:p>
        <w:p w14:paraId="513875B3" w14:textId="1A974EB9" w:rsidR="00422FCB" w:rsidRDefault="00422FCB">
          <w:pPr>
            <w:pStyle w:val="TOC3"/>
            <w:tabs>
              <w:tab w:val="right" w:leader="dot" w:pos="9350"/>
            </w:tabs>
            <w:rPr>
              <w:rFonts w:eastAsiaTheme="minorEastAsia"/>
              <w:bCs w:val="0"/>
              <w:szCs w:val="24"/>
            </w:rPr>
          </w:pPr>
          <w:hyperlink w:anchor="_Toc237000216" w:history="1">
            <w:r w:rsidRPr="00DF4F39">
              <w:rPr>
                <w:rStyle w:val="Hyperlink"/>
              </w:rPr>
              <w:t>Statement 11</w:t>
            </w:r>
            <w:r>
              <w:rPr>
                <w:webHidden/>
              </w:rPr>
              <w:tab/>
            </w:r>
            <w:r>
              <w:rPr>
                <w:webHidden/>
              </w:rPr>
              <w:fldChar w:fldCharType="begin"/>
            </w:r>
            <w:r>
              <w:rPr>
                <w:webHidden/>
              </w:rPr>
              <w:instrText xml:space="preserve"> PAGEREF _Toc237000216 \h </w:instrText>
            </w:r>
            <w:r>
              <w:rPr>
                <w:webHidden/>
              </w:rPr>
            </w:r>
            <w:r>
              <w:rPr>
                <w:webHidden/>
              </w:rPr>
              <w:fldChar w:fldCharType="separate"/>
            </w:r>
            <w:r>
              <w:rPr>
                <w:webHidden/>
              </w:rPr>
              <w:t>19</w:t>
            </w:r>
            <w:r>
              <w:rPr>
                <w:webHidden/>
              </w:rPr>
              <w:fldChar w:fldCharType="end"/>
            </w:r>
          </w:hyperlink>
        </w:p>
        <w:p w14:paraId="7E083282" w14:textId="40B65FF2" w:rsidR="00422FCB" w:rsidRDefault="00422FCB">
          <w:pPr>
            <w:pStyle w:val="TOC3"/>
            <w:tabs>
              <w:tab w:val="right" w:leader="dot" w:pos="9350"/>
            </w:tabs>
            <w:rPr>
              <w:rFonts w:eastAsiaTheme="minorEastAsia"/>
              <w:bCs w:val="0"/>
              <w:szCs w:val="24"/>
            </w:rPr>
          </w:pPr>
          <w:hyperlink w:anchor="_Toc237000217" w:history="1">
            <w:r w:rsidRPr="00DF4F39">
              <w:rPr>
                <w:rStyle w:val="Hyperlink"/>
              </w:rPr>
              <w:t>Statement 12</w:t>
            </w:r>
            <w:r>
              <w:rPr>
                <w:webHidden/>
              </w:rPr>
              <w:tab/>
            </w:r>
            <w:r>
              <w:rPr>
                <w:webHidden/>
              </w:rPr>
              <w:fldChar w:fldCharType="begin"/>
            </w:r>
            <w:r>
              <w:rPr>
                <w:webHidden/>
              </w:rPr>
              <w:instrText xml:space="preserve"> PAGEREF _Toc237000217 \h </w:instrText>
            </w:r>
            <w:r>
              <w:rPr>
                <w:webHidden/>
              </w:rPr>
            </w:r>
            <w:r>
              <w:rPr>
                <w:webHidden/>
              </w:rPr>
              <w:fldChar w:fldCharType="separate"/>
            </w:r>
            <w:r>
              <w:rPr>
                <w:webHidden/>
              </w:rPr>
              <w:t>19</w:t>
            </w:r>
            <w:r>
              <w:rPr>
                <w:webHidden/>
              </w:rPr>
              <w:fldChar w:fldCharType="end"/>
            </w:r>
          </w:hyperlink>
        </w:p>
        <w:p w14:paraId="1B86A74E" w14:textId="183E9956" w:rsidR="00422FCB" w:rsidRDefault="00422FCB">
          <w:pPr>
            <w:pStyle w:val="TOC3"/>
            <w:tabs>
              <w:tab w:val="right" w:leader="dot" w:pos="9350"/>
            </w:tabs>
            <w:rPr>
              <w:rFonts w:eastAsiaTheme="minorEastAsia"/>
              <w:bCs w:val="0"/>
              <w:szCs w:val="24"/>
            </w:rPr>
          </w:pPr>
          <w:hyperlink w:anchor="_Toc237000218" w:history="1">
            <w:r w:rsidRPr="00DF4F39">
              <w:rPr>
                <w:rStyle w:val="Hyperlink"/>
              </w:rPr>
              <w:t>Statement 13</w:t>
            </w:r>
            <w:r>
              <w:rPr>
                <w:webHidden/>
              </w:rPr>
              <w:tab/>
            </w:r>
            <w:r>
              <w:rPr>
                <w:webHidden/>
              </w:rPr>
              <w:fldChar w:fldCharType="begin"/>
            </w:r>
            <w:r>
              <w:rPr>
                <w:webHidden/>
              </w:rPr>
              <w:instrText xml:space="preserve"> PAGEREF _Toc237000218 \h </w:instrText>
            </w:r>
            <w:r>
              <w:rPr>
                <w:webHidden/>
              </w:rPr>
            </w:r>
            <w:r>
              <w:rPr>
                <w:webHidden/>
              </w:rPr>
              <w:fldChar w:fldCharType="separate"/>
            </w:r>
            <w:r>
              <w:rPr>
                <w:webHidden/>
              </w:rPr>
              <w:t>19</w:t>
            </w:r>
            <w:r>
              <w:rPr>
                <w:webHidden/>
              </w:rPr>
              <w:fldChar w:fldCharType="end"/>
            </w:r>
          </w:hyperlink>
        </w:p>
        <w:p w14:paraId="17CD1B67" w14:textId="26126C2F" w:rsidR="00422FCB" w:rsidRDefault="00422FCB">
          <w:pPr>
            <w:pStyle w:val="TOC3"/>
            <w:tabs>
              <w:tab w:val="right" w:leader="dot" w:pos="9350"/>
            </w:tabs>
            <w:rPr>
              <w:rFonts w:eastAsiaTheme="minorEastAsia"/>
              <w:bCs w:val="0"/>
              <w:szCs w:val="24"/>
            </w:rPr>
          </w:pPr>
          <w:hyperlink w:anchor="_Toc237000219" w:history="1">
            <w:r w:rsidRPr="00DF4F39">
              <w:rPr>
                <w:rStyle w:val="Hyperlink"/>
              </w:rPr>
              <w:t>Statement 14</w:t>
            </w:r>
            <w:r>
              <w:rPr>
                <w:webHidden/>
              </w:rPr>
              <w:tab/>
            </w:r>
            <w:r>
              <w:rPr>
                <w:webHidden/>
              </w:rPr>
              <w:fldChar w:fldCharType="begin"/>
            </w:r>
            <w:r>
              <w:rPr>
                <w:webHidden/>
              </w:rPr>
              <w:instrText xml:space="preserve"> PAGEREF _Toc237000219 \h </w:instrText>
            </w:r>
            <w:r>
              <w:rPr>
                <w:webHidden/>
              </w:rPr>
            </w:r>
            <w:r>
              <w:rPr>
                <w:webHidden/>
              </w:rPr>
              <w:fldChar w:fldCharType="separate"/>
            </w:r>
            <w:r>
              <w:rPr>
                <w:webHidden/>
              </w:rPr>
              <w:t>21</w:t>
            </w:r>
            <w:r>
              <w:rPr>
                <w:webHidden/>
              </w:rPr>
              <w:fldChar w:fldCharType="end"/>
            </w:r>
          </w:hyperlink>
        </w:p>
        <w:p w14:paraId="32A0FD82" w14:textId="72C5D89B" w:rsidR="00422FCB" w:rsidRDefault="00422FCB">
          <w:pPr>
            <w:pStyle w:val="TOC3"/>
            <w:tabs>
              <w:tab w:val="right" w:leader="dot" w:pos="9350"/>
            </w:tabs>
            <w:rPr>
              <w:rFonts w:eastAsiaTheme="minorEastAsia"/>
              <w:bCs w:val="0"/>
              <w:szCs w:val="24"/>
            </w:rPr>
          </w:pPr>
          <w:hyperlink w:anchor="_Toc237000220" w:history="1">
            <w:r w:rsidRPr="00DF4F39">
              <w:rPr>
                <w:rStyle w:val="Hyperlink"/>
              </w:rPr>
              <w:t>Statement 15</w:t>
            </w:r>
            <w:r>
              <w:rPr>
                <w:webHidden/>
              </w:rPr>
              <w:tab/>
            </w:r>
            <w:r>
              <w:rPr>
                <w:webHidden/>
              </w:rPr>
              <w:fldChar w:fldCharType="begin"/>
            </w:r>
            <w:r>
              <w:rPr>
                <w:webHidden/>
              </w:rPr>
              <w:instrText xml:space="preserve"> PAGEREF _Toc237000220 \h </w:instrText>
            </w:r>
            <w:r>
              <w:rPr>
                <w:webHidden/>
              </w:rPr>
            </w:r>
            <w:r>
              <w:rPr>
                <w:webHidden/>
              </w:rPr>
              <w:fldChar w:fldCharType="separate"/>
            </w:r>
            <w:r>
              <w:rPr>
                <w:webHidden/>
              </w:rPr>
              <w:t>22</w:t>
            </w:r>
            <w:r>
              <w:rPr>
                <w:webHidden/>
              </w:rPr>
              <w:fldChar w:fldCharType="end"/>
            </w:r>
          </w:hyperlink>
        </w:p>
        <w:p w14:paraId="652A3BD1" w14:textId="2C750B9E" w:rsidR="00422FCB" w:rsidRDefault="00422FCB">
          <w:pPr>
            <w:pStyle w:val="TOC3"/>
            <w:tabs>
              <w:tab w:val="right" w:leader="dot" w:pos="9350"/>
            </w:tabs>
            <w:rPr>
              <w:rFonts w:eastAsiaTheme="minorEastAsia"/>
              <w:bCs w:val="0"/>
              <w:szCs w:val="24"/>
            </w:rPr>
          </w:pPr>
          <w:hyperlink w:anchor="_Toc237000221" w:history="1">
            <w:r w:rsidRPr="00DF4F39">
              <w:rPr>
                <w:rStyle w:val="Hyperlink"/>
              </w:rPr>
              <w:t>Statement 16</w:t>
            </w:r>
            <w:r>
              <w:rPr>
                <w:webHidden/>
              </w:rPr>
              <w:tab/>
            </w:r>
            <w:r>
              <w:rPr>
                <w:webHidden/>
              </w:rPr>
              <w:fldChar w:fldCharType="begin"/>
            </w:r>
            <w:r>
              <w:rPr>
                <w:webHidden/>
              </w:rPr>
              <w:instrText xml:space="preserve"> PAGEREF _Toc237000221 \h </w:instrText>
            </w:r>
            <w:r>
              <w:rPr>
                <w:webHidden/>
              </w:rPr>
            </w:r>
            <w:r>
              <w:rPr>
                <w:webHidden/>
              </w:rPr>
              <w:fldChar w:fldCharType="separate"/>
            </w:r>
            <w:r>
              <w:rPr>
                <w:webHidden/>
              </w:rPr>
              <w:t>22</w:t>
            </w:r>
            <w:r>
              <w:rPr>
                <w:webHidden/>
              </w:rPr>
              <w:fldChar w:fldCharType="end"/>
            </w:r>
          </w:hyperlink>
        </w:p>
        <w:p w14:paraId="2045A7BB" w14:textId="68E849A6" w:rsidR="00422FCB" w:rsidRDefault="00422FCB">
          <w:pPr>
            <w:pStyle w:val="TOC3"/>
            <w:tabs>
              <w:tab w:val="right" w:leader="dot" w:pos="9350"/>
            </w:tabs>
            <w:rPr>
              <w:rFonts w:eastAsiaTheme="minorEastAsia"/>
              <w:bCs w:val="0"/>
              <w:szCs w:val="24"/>
            </w:rPr>
          </w:pPr>
          <w:hyperlink w:anchor="_Toc237000222" w:history="1">
            <w:r w:rsidRPr="00DF4F39">
              <w:rPr>
                <w:rStyle w:val="Hyperlink"/>
              </w:rPr>
              <w:t>Statement 17</w:t>
            </w:r>
            <w:r>
              <w:rPr>
                <w:webHidden/>
              </w:rPr>
              <w:tab/>
            </w:r>
            <w:r>
              <w:rPr>
                <w:webHidden/>
              </w:rPr>
              <w:fldChar w:fldCharType="begin"/>
            </w:r>
            <w:r>
              <w:rPr>
                <w:webHidden/>
              </w:rPr>
              <w:instrText xml:space="preserve"> PAGEREF _Toc237000222 \h </w:instrText>
            </w:r>
            <w:r>
              <w:rPr>
                <w:webHidden/>
              </w:rPr>
            </w:r>
            <w:r>
              <w:rPr>
                <w:webHidden/>
              </w:rPr>
              <w:fldChar w:fldCharType="separate"/>
            </w:r>
            <w:r>
              <w:rPr>
                <w:webHidden/>
              </w:rPr>
              <w:t>22</w:t>
            </w:r>
            <w:r>
              <w:rPr>
                <w:webHidden/>
              </w:rPr>
              <w:fldChar w:fldCharType="end"/>
            </w:r>
          </w:hyperlink>
        </w:p>
        <w:p w14:paraId="2B406C81" w14:textId="696369AA" w:rsidR="00422FCB" w:rsidRDefault="00422FCB">
          <w:pPr>
            <w:pStyle w:val="TOC3"/>
            <w:tabs>
              <w:tab w:val="right" w:leader="dot" w:pos="9350"/>
            </w:tabs>
            <w:rPr>
              <w:rFonts w:eastAsiaTheme="minorEastAsia"/>
              <w:bCs w:val="0"/>
              <w:szCs w:val="24"/>
            </w:rPr>
          </w:pPr>
          <w:hyperlink w:anchor="_Toc237000223" w:history="1">
            <w:r w:rsidRPr="00DF4F39">
              <w:rPr>
                <w:rStyle w:val="Hyperlink"/>
              </w:rPr>
              <w:t>Statement 18</w:t>
            </w:r>
            <w:r>
              <w:rPr>
                <w:webHidden/>
              </w:rPr>
              <w:tab/>
            </w:r>
            <w:r>
              <w:rPr>
                <w:webHidden/>
              </w:rPr>
              <w:fldChar w:fldCharType="begin"/>
            </w:r>
            <w:r>
              <w:rPr>
                <w:webHidden/>
              </w:rPr>
              <w:instrText xml:space="preserve"> PAGEREF _Toc237000223 \h </w:instrText>
            </w:r>
            <w:r>
              <w:rPr>
                <w:webHidden/>
              </w:rPr>
            </w:r>
            <w:r>
              <w:rPr>
                <w:webHidden/>
              </w:rPr>
              <w:fldChar w:fldCharType="separate"/>
            </w:r>
            <w:r>
              <w:rPr>
                <w:webHidden/>
              </w:rPr>
              <w:t>24</w:t>
            </w:r>
            <w:r>
              <w:rPr>
                <w:webHidden/>
              </w:rPr>
              <w:fldChar w:fldCharType="end"/>
            </w:r>
          </w:hyperlink>
        </w:p>
        <w:p w14:paraId="618F53D9" w14:textId="275844B0" w:rsidR="00422FCB" w:rsidRDefault="00422FCB">
          <w:pPr>
            <w:pStyle w:val="TOC3"/>
            <w:tabs>
              <w:tab w:val="right" w:leader="dot" w:pos="9350"/>
            </w:tabs>
            <w:rPr>
              <w:rFonts w:eastAsiaTheme="minorEastAsia"/>
              <w:bCs w:val="0"/>
              <w:szCs w:val="24"/>
            </w:rPr>
          </w:pPr>
          <w:hyperlink w:anchor="_Toc237000224" w:history="1">
            <w:r w:rsidRPr="00DF4F39">
              <w:rPr>
                <w:rStyle w:val="Hyperlink"/>
              </w:rPr>
              <w:t>Statement 19</w:t>
            </w:r>
            <w:r>
              <w:rPr>
                <w:webHidden/>
              </w:rPr>
              <w:tab/>
            </w:r>
            <w:r>
              <w:rPr>
                <w:webHidden/>
              </w:rPr>
              <w:fldChar w:fldCharType="begin"/>
            </w:r>
            <w:r>
              <w:rPr>
                <w:webHidden/>
              </w:rPr>
              <w:instrText xml:space="preserve"> PAGEREF _Toc237000224 \h </w:instrText>
            </w:r>
            <w:r>
              <w:rPr>
                <w:webHidden/>
              </w:rPr>
            </w:r>
            <w:r>
              <w:rPr>
                <w:webHidden/>
              </w:rPr>
              <w:fldChar w:fldCharType="separate"/>
            </w:r>
            <w:r>
              <w:rPr>
                <w:webHidden/>
              </w:rPr>
              <w:t>24</w:t>
            </w:r>
            <w:r>
              <w:rPr>
                <w:webHidden/>
              </w:rPr>
              <w:fldChar w:fldCharType="end"/>
            </w:r>
          </w:hyperlink>
        </w:p>
        <w:p w14:paraId="52909482" w14:textId="154D9DDF" w:rsidR="00422FCB" w:rsidRDefault="00422FCB">
          <w:pPr>
            <w:pStyle w:val="TOC3"/>
            <w:tabs>
              <w:tab w:val="right" w:leader="dot" w:pos="9350"/>
            </w:tabs>
            <w:rPr>
              <w:rFonts w:eastAsiaTheme="minorEastAsia"/>
              <w:bCs w:val="0"/>
              <w:szCs w:val="24"/>
            </w:rPr>
          </w:pPr>
          <w:hyperlink w:anchor="_Toc237000225" w:history="1">
            <w:r w:rsidRPr="00DF4F39">
              <w:rPr>
                <w:rStyle w:val="Hyperlink"/>
              </w:rPr>
              <w:t>Statement 20</w:t>
            </w:r>
            <w:r>
              <w:rPr>
                <w:webHidden/>
              </w:rPr>
              <w:tab/>
            </w:r>
            <w:r>
              <w:rPr>
                <w:webHidden/>
              </w:rPr>
              <w:fldChar w:fldCharType="begin"/>
            </w:r>
            <w:r>
              <w:rPr>
                <w:webHidden/>
              </w:rPr>
              <w:instrText xml:space="preserve"> PAGEREF _Toc237000225 \h </w:instrText>
            </w:r>
            <w:r>
              <w:rPr>
                <w:webHidden/>
              </w:rPr>
            </w:r>
            <w:r>
              <w:rPr>
                <w:webHidden/>
              </w:rPr>
              <w:fldChar w:fldCharType="separate"/>
            </w:r>
            <w:r>
              <w:rPr>
                <w:webHidden/>
              </w:rPr>
              <w:t>35</w:t>
            </w:r>
            <w:r>
              <w:rPr>
                <w:webHidden/>
              </w:rPr>
              <w:fldChar w:fldCharType="end"/>
            </w:r>
          </w:hyperlink>
        </w:p>
        <w:p w14:paraId="0F9E0F8E" w14:textId="016F3570" w:rsidR="00422FCB" w:rsidRDefault="00422FCB">
          <w:pPr>
            <w:pStyle w:val="TOC3"/>
            <w:tabs>
              <w:tab w:val="right" w:leader="dot" w:pos="9350"/>
            </w:tabs>
            <w:rPr>
              <w:rFonts w:eastAsiaTheme="minorEastAsia"/>
              <w:bCs w:val="0"/>
              <w:szCs w:val="24"/>
            </w:rPr>
          </w:pPr>
          <w:hyperlink w:anchor="_Toc237000226" w:history="1">
            <w:r w:rsidRPr="00DF4F39">
              <w:rPr>
                <w:rStyle w:val="Hyperlink"/>
              </w:rPr>
              <w:t>Statement 21</w:t>
            </w:r>
            <w:r>
              <w:rPr>
                <w:webHidden/>
              </w:rPr>
              <w:tab/>
            </w:r>
            <w:r>
              <w:rPr>
                <w:webHidden/>
              </w:rPr>
              <w:fldChar w:fldCharType="begin"/>
            </w:r>
            <w:r>
              <w:rPr>
                <w:webHidden/>
              </w:rPr>
              <w:instrText xml:space="preserve"> PAGEREF _Toc237000226 \h </w:instrText>
            </w:r>
            <w:r>
              <w:rPr>
                <w:webHidden/>
              </w:rPr>
            </w:r>
            <w:r>
              <w:rPr>
                <w:webHidden/>
              </w:rPr>
              <w:fldChar w:fldCharType="separate"/>
            </w:r>
            <w:r>
              <w:rPr>
                <w:webHidden/>
              </w:rPr>
              <w:t>35</w:t>
            </w:r>
            <w:r>
              <w:rPr>
                <w:webHidden/>
              </w:rPr>
              <w:fldChar w:fldCharType="end"/>
            </w:r>
          </w:hyperlink>
        </w:p>
        <w:p w14:paraId="3DC76346" w14:textId="1CADEE65" w:rsidR="00422FCB" w:rsidRDefault="00422FCB">
          <w:pPr>
            <w:pStyle w:val="TOC3"/>
            <w:tabs>
              <w:tab w:val="right" w:leader="dot" w:pos="9350"/>
            </w:tabs>
            <w:rPr>
              <w:rFonts w:eastAsiaTheme="minorEastAsia"/>
              <w:bCs w:val="0"/>
              <w:szCs w:val="24"/>
            </w:rPr>
          </w:pPr>
          <w:hyperlink w:anchor="_Toc237000227" w:history="1">
            <w:r w:rsidRPr="00DF4F39">
              <w:rPr>
                <w:rStyle w:val="Hyperlink"/>
              </w:rPr>
              <w:t>Statement 22</w:t>
            </w:r>
            <w:r>
              <w:rPr>
                <w:webHidden/>
              </w:rPr>
              <w:tab/>
            </w:r>
            <w:r>
              <w:rPr>
                <w:webHidden/>
              </w:rPr>
              <w:fldChar w:fldCharType="begin"/>
            </w:r>
            <w:r>
              <w:rPr>
                <w:webHidden/>
              </w:rPr>
              <w:instrText xml:space="preserve"> PAGEREF _Toc237000227 \h </w:instrText>
            </w:r>
            <w:r>
              <w:rPr>
                <w:webHidden/>
              </w:rPr>
            </w:r>
            <w:r>
              <w:rPr>
                <w:webHidden/>
              </w:rPr>
              <w:fldChar w:fldCharType="separate"/>
            </w:r>
            <w:r>
              <w:rPr>
                <w:webHidden/>
              </w:rPr>
              <w:t>36</w:t>
            </w:r>
            <w:r>
              <w:rPr>
                <w:webHidden/>
              </w:rPr>
              <w:fldChar w:fldCharType="end"/>
            </w:r>
          </w:hyperlink>
        </w:p>
        <w:p w14:paraId="2538401C" w14:textId="1976FE7A" w:rsidR="00422FCB" w:rsidRDefault="00422FCB">
          <w:pPr>
            <w:pStyle w:val="TOC3"/>
            <w:tabs>
              <w:tab w:val="right" w:leader="dot" w:pos="9350"/>
            </w:tabs>
            <w:rPr>
              <w:rFonts w:eastAsiaTheme="minorEastAsia"/>
              <w:bCs w:val="0"/>
              <w:szCs w:val="24"/>
            </w:rPr>
          </w:pPr>
          <w:hyperlink w:anchor="_Toc237000228" w:history="1">
            <w:r w:rsidRPr="00DF4F39">
              <w:rPr>
                <w:rStyle w:val="Hyperlink"/>
              </w:rPr>
              <w:t>Statement 23</w:t>
            </w:r>
            <w:r>
              <w:rPr>
                <w:webHidden/>
              </w:rPr>
              <w:tab/>
            </w:r>
            <w:r>
              <w:rPr>
                <w:webHidden/>
              </w:rPr>
              <w:fldChar w:fldCharType="begin"/>
            </w:r>
            <w:r>
              <w:rPr>
                <w:webHidden/>
              </w:rPr>
              <w:instrText xml:space="preserve"> PAGEREF _Toc237000228 \h </w:instrText>
            </w:r>
            <w:r>
              <w:rPr>
                <w:webHidden/>
              </w:rPr>
            </w:r>
            <w:r>
              <w:rPr>
                <w:webHidden/>
              </w:rPr>
              <w:fldChar w:fldCharType="separate"/>
            </w:r>
            <w:r>
              <w:rPr>
                <w:webHidden/>
              </w:rPr>
              <w:t>37</w:t>
            </w:r>
            <w:r>
              <w:rPr>
                <w:webHidden/>
              </w:rPr>
              <w:fldChar w:fldCharType="end"/>
            </w:r>
          </w:hyperlink>
        </w:p>
        <w:p w14:paraId="7A00372D" w14:textId="6843250C" w:rsidR="00422FCB" w:rsidRDefault="00422FCB">
          <w:pPr>
            <w:pStyle w:val="TOC3"/>
            <w:tabs>
              <w:tab w:val="right" w:leader="dot" w:pos="9350"/>
            </w:tabs>
            <w:rPr>
              <w:rFonts w:eastAsiaTheme="minorEastAsia"/>
              <w:bCs w:val="0"/>
              <w:szCs w:val="24"/>
            </w:rPr>
          </w:pPr>
          <w:hyperlink w:anchor="_Toc237000229" w:history="1">
            <w:r w:rsidRPr="00DF4F39">
              <w:rPr>
                <w:rStyle w:val="Hyperlink"/>
              </w:rPr>
              <w:t>Statement 24</w:t>
            </w:r>
            <w:r>
              <w:rPr>
                <w:webHidden/>
              </w:rPr>
              <w:tab/>
            </w:r>
            <w:r>
              <w:rPr>
                <w:webHidden/>
              </w:rPr>
              <w:fldChar w:fldCharType="begin"/>
            </w:r>
            <w:r>
              <w:rPr>
                <w:webHidden/>
              </w:rPr>
              <w:instrText xml:space="preserve"> PAGEREF _Toc237000229 \h </w:instrText>
            </w:r>
            <w:r>
              <w:rPr>
                <w:webHidden/>
              </w:rPr>
            </w:r>
            <w:r>
              <w:rPr>
                <w:webHidden/>
              </w:rPr>
              <w:fldChar w:fldCharType="separate"/>
            </w:r>
            <w:r>
              <w:rPr>
                <w:webHidden/>
              </w:rPr>
              <w:t>37</w:t>
            </w:r>
            <w:r>
              <w:rPr>
                <w:webHidden/>
              </w:rPr>
              <w:fldChar w:fldCharType="end"/>
            </w:r>
          </w:hyperlink>
        </w:p>
        <w:p w14:paraId="7551C4B6" w14:textId="29248DE5" w:rsidR="00422FCB" w:rsidRDefault="00422FCB">
          <w:pPr>
            <w:pStyle w:val="TOC3"/>
            <w:tabs>
              <w:tab w:val="right" w:leader="dot" w:pos="9350"/>
            </w:tabs>
            <w:rPr>
              <w:rFonts w:eastAsiaTheme="minorEastAsia"/>
              <w:bCs w:val="0"/>
              <w:szCs w:val="24"/>
            </w:rPr>
          </w:pPr>
          <w:hyperlink w:anchor="_Toc237000230" w:history="1">
            <w:r w:rsidRPr="00DF4F39">
              <w:rPr>
                <w:rStyle w:val="Hyperlink"/>
              </w:rPr>
              <w:t>Statement 25</w:t>
            </w:r>
            <w:r>
              <w:rPr>
                <w:webHidden/>
              </w:rPr>
              <w:tab/>
            </w:r>
            <w:r>
              <w:rPr>
                <w:webHidden/>
              </w:rPr>
              <w:fldChar w:fldCharType="begin"/>
            </w:r>
            <w:r>
              <w:rPr>
                <w:webHidden/>
              </w:rPr>
              <w:instrText xml:space="preserve"> PAGEREF _Toc237000230 \h </w:instrText>
            </w:r>
            <w:r>
              <w:rPr>
                <w:webHidden/>
              </w:rPr>
            </w:r>
            <w:r>
              <w:rPr>
                <w:webHidden/>
              </w:rPr>
              <w:fldChar w:fldCharType="separate"/>
            </w:r>
            <w:r>
              <w:rPr>
                <w:webHidden/>
              </w:rPr>
              <w:t>38</w:t>
            </w:r>
            <w:r>
              <w:rPr>
                <w:webHidden/>
              </w:rPr>
              <w:fldChar w:fldCharType="end"/>
            </w:r>
          </w:hyperlink>
        </w:p>
        <w:p w14:paraId="5CF474A0" w14:textId="766FEED2" w:rsidR="00422FCB" w:rsidRDefault="00422FCB">
          <w:pPr>
            <w:pStyle w:val="TOC2"/>
            <w:tabs>
              <w:tab w:val="right" w:leader="dot" w:pos="9350"/>
            </w:tabs>
            <w:rPr>
              <w:rFonts w:eastAsiaTheme="minorEastAsia"/>
              <w:noProof/>
              <w:szCs w:val="24"/>
            </w:rPr>
          </w:pPr>
          <w:hyperlink w:anchor="_Toc237000231" w:history="1">
            <w:r w:rsidRPr="00DF4F39">
              <w:rPr>
                <w:rStyle w:val="Hyperlink"/>
                <w:noProof/>
              </w:rPr>
              <w:t>Appendix B: Overlapping Nonattainment and Transportation Management Areas in Texas</w:t>
            </w:r>
            <w:r>
              <w:rPr>
                <w:noProof/>
                <w:webHidden/>
              </w:rPr>
              <w:tab/>
            </w:r>
            <w:r>
              <w:rPr>
                <w:noProof/>
                <w:webHidden/>
              </w:rPr>
              <w:fldChar w:fldCharType="begin"/>
            </w:r>
            <w:r>
              <w:rPr>
                <w:noProof/>
                <w:webHidden/>
              </w:rPr>
              <w:instrText xml:space="preserve"> PAGEREF _Toc237000231 \h </w:instrText>
            </w:r>
            <w:r>
              <w:rPr>
                <w:noProof/>
                <w:webHidden/>
              </w:rPr>
            </w:r>
            <w:r>
              <w:rPr>
                <w:noProof/>
                <w:webHidden/>
              </w:rPr>
              <w:fldChar w:fldCharType="separate"/>
            </w:r>
            <w:r>
              <w:rPr>
                <w:noProof/>
                <w:webHidden/>
              </w:rPr>
              <w:t>39</w:t>
            </w:r>
            <w:r>
              <w:rPr>
                <w:noProof/>
                <w:webHidden/>
              </w:rPr>
              <w:fldChar w:fldCharType="end"/>
            </w:r>
          </w:hyperlink>
        </w:p>
        <w:p w14:paraId="292AF75E" w14:textId="43A14CB2" w:rsidR="00422FCB" w:rsidRDefault="00422FCB">
          <w:pPr>
            <w:pStyle w:val="TOC2"/>
            <w:tabs>
              <w:tab w:val="right" w:leader="dot" w:pos="9350"/>
            </w:tabs>
            <w:rPr>
              <w:rFonts w:eastAsiaTheme="minorEastAsia"/>
              <w:noProof/>
              <w:szCs w:val="24"/>
            </w:rPr>
          </w:pPr>
          <w:hyperlink w:anchor="_Toc237000232" w:history="1">
            <w:r w:rsidRPr="00DF4F39">
              <w:rPr>
                <w:rStyle w:val="Hyperlink"/>
                <w:noProof/>
              </w:rPr>
              <w:t>Revision History</w:t>
            </w:r>
            <w:r>
              <w:rPr>
                <w:noProof/>
                <w:webHidden/>
              </w:rPr>
              <w:tab/>
            </w:r>
            <w:r>
              <w:rPr>
                <w:noProof/>
                <w:webHidden/>
              </w:rPr>
              <w:fldChar w:fldCharType="begin"/>
            </w:r>
            <w:r>
              <w:rPr>
                <w:noProof/>
                <w:webHidden/>
              </w:rPr>
              <w:instrText xml:space="preserve"> PAGEREF _Toc237000232 \h </w:instrText>
            </w:r>
            <w:r>
              <w:rPr>
                <w:noProof/>
                <w:webHidden/>
              </w:rPr>
            </w:r>
            <w:r>
              <w:rPr>
                <w:noProof/>
                <w:webHidden/>
              </w:rPr>
              <w:fldChar w:fldCharType="separate"/>
            </w:r>
            <w:r>
              <w:rPr>
                <w:noProof/>
                <w:webHidden/>
              </w:rPr>
              <w:t>40</w:t>
            </w:r>
            <w:r>
              <w:rPr>
                <w:noProof/>
                <w:webHidden/>
              </w:rPr>
              <w:fldChar w:fldCharType="end"/>
            </w:r>
          </w:hyperlink>
        </w:p>
        <w:p w14:paraId="43B104F8" w14:textId="7060916F" w:rsidR="00AA10E8" w:rsidRDefault="00EB3C3E" w:rsidP="00C7042C">
          <w:pPr>
            <w:pStyle w:val="TOC2"/>
            <w:tabs>
              <w:tab w:val="right" w:leader="dot" w:pos="9350"/>
            </w:tabs>
          </w:pPr>
          <w:r>
            <w:rPr>
              <w:rFonts w:ascii="Verdana" w:eastAsia="MS Mincho" w:hAnsi="Verdana" w:cs="Traditional Arabic"/>
              <w:noProof/>
              <w:color w:val="0056A9"/>
              <w:kern w:val="0"/>
              <w:szCs w:val="28"/>
              <w14:ligatures w14:val="none"/>
            </w:rPr>
            <w:fldChar w:fldCharType="end"/>
          </w:r>
        </w:p>
      </w:sdtContent>
    </w:sdt>
    <w:p w14:paraId="3FD82F5F" w14:textId="77777777" w:rsidR="0037126B" w:rsidRDefault="0037126B" w:rsidP="006077A5">
      <w:pPr>
        <w:pStyle w:val="TOCHeading"/>
      </w:pPr>
      <w:r>
        <w:t>List of Tables</w:t>
      </w:r>
    </w:p>
    <w:p w14:paraId="2E0AEB72" w14:textId="462F17BF" w:rsidR="00422FCB" w:rsidRDefault="006077A5">
      <w:pPr>
        <w:pStyle w:val="TableofFigures"/>
        <w:tabs>
          <w:tab w:val="right" w:leader="dot" w:pos="9350"/>
        </w:tabs>
        <w:rPr>
          <w:rFonts w:eastAsiaTheme="minorEastAsia"/>
          <w:noProof/>
          <w:szCs w:val="24"/>
        </w:rPr>
      </w:pPr>
      <w:r w:rsidRPr="00C7042C">
        <w:fldChar w:fldCharType="begin"/>
      </w:r>
      <w:r w:rsidRPr="00C7042C">
        <w:instrText xml:space="preserve"> TOC \h \z \c "Table" </w:instrText>
      </w:r>
      <w:r w:rsidRPr="00C7042C">
        <w:fldChar w:fldCharType="separate"/>
      </w:r>
      <w:hyperlink w:anchor="_Toc237000233" w:history="1">
        <w:r w:rsidR="00422FCB" w:rsidRPr="00957A98">
          <w:rPr>
            <w:rStyle w:val="Hyperlink"/>
            <w:noProof/>
          </w:rPr>
          <w:t>Table 1. Abbreviations and acronyms definitions</w:t>
        </w:r>
        <w:r w:rsidR="00422FCB">
          <w:rPr>
            <w:noProof/>
            <w:webHidden/>
          </w:rPr>
          <w:tab/>
        </w:r>
        <w:r w:rsidR="00422FCB">
          <w:rPr>
            <w:noProof/>
            <w:webHidden/>
          </w:rPr>
          <w:fldChar w:fldCharType="begin"/>
        </w:r>
        <w:r w:rsidR="00422FCB">
          <w:rPr>
            <w:noProof/>
            <w:webHidden/>
          </w:rPr>
          <w:instrText xml:space="preserve"> PAGEREF _Toc237000233 \h </w:instrText>
        </w:r>
        <w:r w:rsidR="00422FCB">
          <w:rPr>
            <w:noProof/>
            <w:webHidden/>
          </w:rPr>
        </w:r>
        <w:r w:rsidR="00422FCB">
          <w:rPr>
            <w:noProof/>
            <w:webHidden/>
          </w:rPr>
          <w:fldChar w:fldCharType="separate"/>
        </w:r>
        <w:r w:rsidR="00422FCB">
          <w:rPr>
            <w:noProof/>
            <w:webHidden/>
          </w:rPr>
          <w:t>13</w:t>
        </w:r>
        <w:r w:rsidR="00422FCB">
          <w:rPr>
            <w:noProof/>
            <w:webHidden/>
          </w:rPr>
          <w:fldChar w:fldCharType="end"/>
        </w:r>
      </w:hyperlink>
    </w:p>
    <w:p w14:paraId="73F74E8D" w14:textId="27AEF6A7" w:rsidR="00422FCB" w:rsidRPr="00422FCB" w:rsidRDefault="00422FCB">
      <w:pPr>
        <w:pStyle w:val="TableofFigures"/>
        <w:tabs>
          <w:tab w:val="right" w:leader="dot" w:pos="9350"/>
        </w:tabs>
        <w:rPr>
          <w:rFonts w:eastAsiaTheme="minorEastAsia"/>
          <w:noProof/>
          <w:szCs w:val="24"/>
        </w:rPr>
      </w:pPr>
      <w:hyperlink w:anchor="_Toc237000234" w:history="1">
        <w:r w:rsidRPr="00422FCB">
          <w:rPr>
            <w:rStyle w:val="Hyperlink"/>
            <w:iCs/>
            <w:noProof/>
          </w:rPr>
          <w:t>Table 2. Project Hot Spot Concentrations</w:t>
        </w:r>
        <w:r w:rsidRPr="00422FCB">
          <w:rPr>
            <w:noProof/>
            <w:webHidden/>
          </w:rPr>
          <w:tab/>
        </w:r>
        <w:r w:rsidRPr="00422FCB">
          <w:rPr>
            <w:noProof/>
            <w:webHidden/>
          </w:rPr>
          <w:fldChar w:fldCharType="begin"/>
        </w:r>
        <w:r w:rsidRPr="00422FCB">
          <w:rPr>
            <w:noProof/>
            <w:webHidden/>
          </w:rPr>
          <w:instrText xml:space="preserve"> PAGEREF _Toc237000234 \h </w:instrText>
        </w:r>
        <w:r w:rsidRPr="00422FCB">
          <w:rPr>
            <w:noProof/>
            <w:webHidden/>
          </w:rPr>
        </w:r>
        <w:r w:rsidRPr="00422FCB">
          <w:rPr>
            <w:noProof/>
            <w:webHidden/>
          </w:rPr>
          <w:fldChar w:fldCharType="separate"/>
        </w:r>
        <w:r w:rsidRPr="00422FCB">
          <w:rPr>
            <w:noProof/>
            <w:webHidden/>
          </w:rPr>
          <w:t>20</w:t>
        </w:r>
        <w:r w:rsidRPr="00422FCB">
          <w:rPr>
            <w:noProof/>
            <w:webHidden/>
          </w:rPr>
          <w:fldChar w:fldCharType="end"/>
        </w:r>
      </w:hyperlink>
    </w:p>
    <w:p w14:paraId="718D64C4" w14:textId="708827CA" w:rsidR="00422FCB" w:rsidRPr="00422FCB" w:rsidRDefault="00422FCB">
      <w:pPr>
        <w:pStyle w:val="TableofFigures"/>
        <w:tabs>
          <w:tab w:val="right" w:leader="dot" w:pos="9350"/>
        </w:tabs>
        <w:rPr>
          <w:rFonts w:eastAsiaTheme="minorEastAsia"/>
          <w:noProof/>
          <w:szCs w:val="24"/>
        </w:rPr>
      </w:pPr>
      <w:hyperlink w:anchor="_Toc237000235" w:history="1">
        <w:r w:rsidRPr="00422FCB">
          <w:rPr>
            <w:rStyle w:val="Hyperlink"/>
            <w:iCs/>
            <w:noProof/>
          </w:rPr>
          <w:t>Table 3. Project Hot Spot Concentrations (Build and No Build Alternatives)</w:t>
        </w:r>
        <w:r w:rsidRPr="00422FCB">
          <w:rPr>
            <w:noProof/>
            <w:webHidden/>
          </w:rPr>
          <w:tab/>
        </w:r>
        <w:r w:rsidRPr="00422FCB">
          <w:rPr>
            <w:noProof/>
            <w:webHidden/>
          </w:rPr>
          <w:fldChar w:fldCharType="begin"/>
        </w:r>
        <w:r w:rsidRPr="00422FCB">
          <w:rPr>
            <w:noProof/>
            <w:webHidden/>
          </w:rPr>
          <w:instrText xml:space="preserve"> PAGEREF _Toc237000235 \h </w:instrText>
        </w:r>
        <w:r w:rsidRPr="00422FCB">
          <w:rPr>
            <w:noProof/>
            <w:webHidden/>
          </w:rPr>
        </w:r>
        <w:r w:rsidRPr="00422FCB">
          <w:rPr>
            <w:noProof/>
            <w:webHidden/>
          </w:rPr>
          <w:fldChar w:fldCharType="separate"/>
        </w:r>
        <w:r w:rsidRPr="00422FCB">
          <w:rPr>
            <w:noProof/>
            <w:webHidden/>
          </w:rPr>
          <w:t>21</w:t>
        </w:r>
        <w:r w:rsidRPr="00422FCB">
          <w:rPr>
            <w:noProof/>
            <w:webHidden/>
          </w:rPr>
          <w:fldChar w:fldCharType="end"/>
        </w:r>
      </w:hyperlink>
    </w:p>
    <w:p w14:paraId="585FA29F" w14:textId="5E5DC127" w:rsidR="00422FCB" w:rsidRPr="00422FCB" w:rsidRDefault="00422FCB">
      <w:pPr>
        <w:pStyle w:val="TableofFigures"/>
        <w:tabs>
          <w:tab w:val="right" w:leader="dot" w:pos="9350"/>
        </w:tabs>
        <w:rPr>
          <w:rFonts w:eastAsiaTheme="minorEastAsia"/>
          <w:noProof/>
          <w:szCs w:val="24"/>
        </w:rPr>
      </w:pPr>
      <w:hyperlink w:anchor="_Toc237000236" w:history="1">
        <w:r w:rsidRPr="00422FCB">
          <w:rPr>
            <w:rStyle w:val="Hyperlink"/>
            <w:iCs/>
            <w:noProof/>
          </w:rPr>
          <w:t>Table 4. Operational Improvements in Travel Corridor</w:t>
        </w:r>
        <w:r w:rsidRPr="00422FCB">
          <w:rPr>
            <w:noProof/>
            <w:webHidden/>
          </w:rPr>
          <w:tab/>
        </w:r>
        <w:r w:rsidRPr="00422FCB">
          <w:rPr>
            <w:noProof/>
            <w:webHidden/>
          </w:rPr>
          <w:fldChar w:fldCharType="begin"/>
        </w:r>
        <w:r w:rsidRPr="00422FCB">
          <w:rPr>
            <w:noProof/>
            <w:webHidden/>
          </w:rPr>
          <w:instrText xml:space="preserve"> PAGEREF _Toc237000236 \h </w:instrText>
        </w:r>
        <w:r w:rsidRPr="00422FCB">
          <w:rPr>
            <w:noProof/>
            <w:webHidden/>
          </w:rPr>
        </w:r>
        <w:r w:rsidRPr="00422FCB">
          <w:rPr>
            <w:noProof/>
            <w:webHidden/>
          </w:rPr>
          <w:fldChar w:fldCharType="separate"/>
        </w:r>
        <w:r w:rsidRPr="00422FCB">
          <w:rPr>
            <w:noProof/>
            <w:webHidden/>
          </w:rPr>
          <w:t>36</w:t>
        </w:r>
        <w:r w:rsidRPr="00422FCB">
          <w:rPr>
            <w:noProof/>
            <w:webHidden/>
          </w:rPr>
          <w:fldChar w:fldCharType="end"/>
        </w:r>
      </w:hyperlink>
    </w:p>
    <w:p w14:paraId="67EE8B7F" w14:textId="06D020B8" w:rsidR="00422FCB" w:rsidRDefault="00422FCB">
      <w:pPr>
        <w:pStyle w:val="TableofFigures"/>
        <w:tabs>
          <w:tab w:val="right" w:leader="dot" w:pos="9350"/>
        </w:tabs>
        <w:rPr>
          <w:rFonts w:eastAsiaTheme="minorEastAsia"/>
          <w:noProof/>
          <w:szCs w:val="24"/>
        </w:rPr>
      </w:pPr>
      <w:hyperlink w:anchor="_Toc237000237" w:history="1">
        <w:r w:rsidRPr="00957A98">
          <w:rPr>
            <w:rStyle w:val="Hyperlink"/>
            <w:noProof/>
          </w:rPr>
          <w:t>Table 5. Ozone or CO Nonattainment Areas in Texas and Overlapping TMAs</w:t>
        </w:r>
        <w:r>
          <w:rPr>
            <w:noProof/>
            <w:webHidden/>
          </w:rPr>
          <w:tab/>
        </w:r>
        <w:r>
          <w:rPr>
            <w:noProof/>
            <w:webHidden/>
          </w:rPr>
          <w:fldChar w:fldCharType="begin"/>
        </w:r>
        <w:r>
          <w:rPr>
            <w:noProof/>
            <w:webHidden/>
          </w:rPr>
          <w:instrText xml:space="preserve"> PAGEREF _Toc237000237 \h </w:instrText>
        </w:r>
        <w:r>
          <w:rPr>
            <w:noProof/>
            <w:webHidden/>
          </w:rPr>
        </w:r>
        <w:r>
          <w:rPr>
            <w:noProof/>
            <w:webHidden/>
          </w:rPr>
          <w:fldChar w:fldCharType="separate"/>
        </w:r>
        <w:r>
          <w:rPr>
            <w:noProof/>
            <w:webHidden/>
          </w:rPr>
          <w:t>39</w:t>
        </w:r>
        <w:r>
          <w:rPr>
            <w:noProof/>
            <w:webHidden/>
          </w:rPr>
          <w:fldChar w:fldCharType="end"/>
        </w:r>
      </w:hyperlink>
    </w:p>
    <w:p w14:paraId="456A69E4" w14:textId="54E840CC" w:rsidR="00422FCB" w:rsidRDefault="00422FCB">
      <w:pPr>
        <w:pStyle w:val="TableofFigures"/>
        <w:tabs>
          <w:tab w:val="right" w:leader="dot" w:pos="9350"/>
        </w:tabs>
        <w:rPr>
          <w:rFonts w:eastAsiaTheme="minorEastAsia"/>
          <w:noProof/>
          <w:szCs w:val="24"/>
        </w:rPr>
      </w:pPr>
      <w:hyperlink w:anchor="_Toc237000238" w:history="1">
        <w:r w:rsidRPr="00957A98">
          <w:rPr>
            <w:rStyle w:val="Hyperlink"/>
            <w:noProof/>
          </w:rPr>
          <w:t>Table 7. Document revision history</w:t>
        </w:r>
        <w:r>
          <w:rPr>
            <w:noProof/>
            <w:webHidden/>
          </w:rPr>
          <w:tab/>
        </w:r>
        <w:r>
          <w:rPr>
            <w:noProof/>
            <w:webHidden/>
          </w:rPr>
          <w:fldChar w:fldCharType="begin"/>
        </w:r>
        <w:r>
          <w:rPr>
            <w:noProof/>
            <w:webHidden/>
          </w:rPr>
          <w:instrText xml:space="preserve"> PAGEREF _Toc237000238 \h </w:instrText>
        </w:r>
        <w:r>
          <w:rPr>
            <w:noProof/>
            <w:webHidden/>
          </w:rPr>
        </w:r>
        <w:r>
          <w:rPr>
            <w:noProof/>
            <w:webHidden/>
          </w:rPr>
          <w:fldChar w:fldCharType="separate"/>
        </w:r>
        <w:r>
          <w:rPr>
            <w:noProof/>
            <w:webHidden/>
          </w:rPr>
          <w:t>40</w:t>
        </w:r>
        <w:r>
          <w:rPr>
            <w:noProof/>
            <w:webHidden/>
          </w:rPr>
          <w:fldChar w:fldCharType="end"/>
        </w:r>
      </w:hyperlink>
    </w:p>
    <w:p w14:paraId="3BA59992" w14:textId="1E6D391B" w:rsidR="000402C5" w:rsidRDefault="006077A5" w:rsidP="00505247">
      <w:pPr>
        <w:sectPr w:rsidR="000402C5" w:rsidSect="007F0E0A">
          <w:footerReference w:type="default" r:id="rId15"/>
          <w:footerReference w:type="first" r:id="rId16"/>
          <w:pgSz w:w="12240" w:h="15840"/>
          <w:pgMar w:top="900" w:right="1440" w:bottom="1170" w:left="1440" w:header="720" w:footer="576" w:gutter="0"/>
          <w:pgNumType w:fmt="lowerRoman" w:start="2"/>
          <w:cols w:space="720"/>
          <w:docGrid w:linePitch="360"/>
        </w:sectPr>
      </w:pPr>
      <w:r w:rsidRPr="00C7042C">
        <w:fldChar w:fldCharType="end"/>
      </w:r>
    </w:p>
    <w:p w14:paraId="3BFA0F45" w14:textId="6D5EB255" w:rsidR="003D0A5B" w:rsidRDefault="00FF57DC" w:rsidP="00295654">
      <w:pPr>
        <w:pStyle w:val="Heading2"/>
      </w:pPr>
      <w:bookmarkStart w:id="3" w:name="_Toc237000197"/>
      <w:r>
        <w:lastRenderedPageBreak/>
        <w:t xml:space="preserve">1.0 </w:t>
      </w:r>
      <w:bookmarkEnd w:id="2"/>
      <w:r w:rsidR="001027F6">
        <w:t>Introduction</w:t>
      </w:r>
      <w:bookmarkEnd w:id="3"/>
    </w:p>
    <w:p w14:paraId="5F2C3DF8" w14:textId="5054D427" w:rsidR="001027F6" w:rsidRDefault="001027F6" w:rsidP="0067067A">
      <w:pPr>
        <w:rPr>
          <w:b/>
        </w:rPr>
      </w:pPr>
      <w:bookmarkStart w:id="4" w:name="_Toc217895686"/>
      <w:r w:rsidRPr="001027F6">
        <w:t>This guidance affects projects that are developed by or for review by the Texas Department of Transportation (TxDOT) Environmental Affairs Division (ENV) for roadway</w:t>
      </w:r>
      <w:r w:rsidR="0067067A">
        <w:t xml:space="preserve"> and </w:t>
      </w:r>
      <w:r w:rsidRPr="001027F6">
        <w:t>highway projects, including Federal Highway Administration (FHWA)</w:t>
      </w:r>
      <w:r w:rsidR="0067067A">
        <w:t>,</w:t>
      </w:r>
      <w:r w:rsidRPr="001027F6">
        <w:t xml:space="preserve"> Federal Transit Administration (FTA) projects. Certain air quality information needs to be documented in the project file </w:t>
      </w:r>
      <w:proofErr w:type="gramStart"/>
      <w:r w:rsidRPr="001027F6">
        <w:t>and</w:t>
      </w:r>
      <w:r w:rsidR="0067067A">
        <w:t xml:space="preserve">, </w:t>
      </w:r>
      <w:r w:rsidRPr="001027F6">
        <w:t>or</w:t>
      </w:r>
      <w:proofErr w:type="gramEnd"/>
      <w:r w:rsidRPr="001027F6">
        <w:t xml:space="preserve"> addressed in the air quality section of an environmental review document. The air quality elements that must be addressed for every project </w:t>
      </w:r>
      <w:r w:rsidRPr="0067067A">
        <w:rPr>
          <w:bCs/>
        </w:rPr>
        <w:t>are</w:t>
      </w:r>
      <w:r w:rsidRPr="001027F6">
        <w:t xml:space="preserve"> conformity including hotspot analyses; carbon monoxide (CO) traffic air quality analysis (TAQA); mobile source air toxics (MSAT); Congestion Management Process (CMP); and construction air emissions. However, the specific documentation for each element varies based on project specifics. This guidance is intended to assist project sponsors identify, customize, and document the specific language for any given project, resulting </w:t>
      </w:r>
      <w:proofErr w:type="gramStart"/>
      <w:r w:rsidRPr="001027F6">
        <w:t>with</w:t>
      </w:r>
      <w:proofErr w:type="gramEnd"/>
      <w:r w:rsidRPr="001027F6">
        <w:t xml:space="preserve"> a project-specific statement that </w:t>
      </w:r>
      <w:proofErr w:type="gramStart"/>
      <w:r w:rsidRPr="001027F6">
        <w:t>address</w:t>
      </w:r>
      <w:proofErr w:type="gramEnd"/>
      <w:r w:rsidRPr="001027F6">
        <w:t xml:space="preserve"> all the air quality elements.</w:t>
      </w:r>
    </w:p>
    <w:p w14:paraId="316DB524" w14:textId="6BF84CF4" w:rsidR="001027F6" w:rsidRDefault="001027F6" w:rsidP="001027F6">
      <w:pPr>
        <w:pStyle w:val="Heading2"/>
      </w:pPr>
      <w:bookmarkStart w:id="5" w:name="_Toc237000198"/>
      <w:r>
        <w:t>2.0 Authorities</w:t>
      </w:r>
      <w:bookmarkEnd w:id="5"/>
    </w:p>
    <w:p w14:paraId="58CAF880" w14:textId="78E6242C" w:rsidR="001027F6" w:rsidRDefault="001027F6" w:rsidP="001027F6">
      <w:r>
        <w:t xml:space="preserve">There is no specific authority or requirement to use this guidance, but there are multiple statutes that require the previously mentioned air quality elements to be addressed for transportation projects, including: The Clean Air Act (CAA), the National Environmental Policy Act (NEPA), and 23 </w:t>
      </w:r>
      <w:r w:rsidR="0067067A">
        <w:t>United States Code (</w:t>
      </w:r>
      <w:r>
        <w:t>USC</w:t>
      </w:r>
      <w:r w:rsidR="0067067A">
        <w:t>)</w:t>
      </w:r>
      <w:r>
        <w:t>. This guidance is intended to help document preparers satisfy those requirements by properly documenting compliance with each, as applicable.</w:t>
      </w:r>
    </w:p>
    <w:p w14:paraId="7DAC18D8" w14:textId="43305266" w:rsidR="001027F6" w:rsidRDefault="001027F6" w:rsidP="001027F6">
      <w:pPr>
        <w:pStyle w:val="Heading2"/>
      </w:pPr>
      <w:bookmarkStart w:id="6" w:name="_Toc237000199"/>
      <w:r>
        <w:t xml:space="preserve">3.0 </w:t>
      </w:r>
      <w:r w:rsidR="00B428C6">
        <w:t xml:space="preserve">Air Quality </w:t>
      </w:r>
      <w:r>
        <w:t>Toolkit</w:t>
      </w:r>
      <w:bookmarkEnd w:id="6"/>
    </w:p>
    <w:p w14:paraId="4E420836" w14:textId="77777777" w:rsidR="001027F6" w:rsidRDefault="001027F6" w:rsidP="001027F6">
      <w:r>
        <w:t>If a conformity report, hot-spot analysis technical report, CO TAQA technical report, or quantitative MSAT technical report was prepared for the project; those reports are required to prepare the air quality statement. The information in the statements must be consistent with the reports.</w:t>
      </w:r>
    </w:p>
    <w:p w14:paraId="5641CF44" w14:textId="15439831" w:rsidR="001027F6" w:rsidRDefault="001027F6" w:rsidP="001027F6">
      <w:pPr>
        <w:pStyle w:val="Heading2"/>
      </w:pPr>
      <w:bookmarkStart w:id="7" w:name="_Toc237000200"/>
      <w:r>
        <w:lastRenderedPageBreak/>
        <w:t>4.0 Personnel</w:t>
      </w:r>
      <w:bookmarkEnd w:id="7"/>
    </w:p>
    <w:p w14:paraId="35B940C4" w14:textId="294DBF5D" w:rsidR="001027F6" w:rsidRDefault="001027F6" w:rsidP="001027F6">
      <w:r>
        <w:t xml:space="preserve">The audience for this guidance includes any TxDOT personnel, contractors, and consultants responsible for maintaining a legally sufficient project file </w:t>
      </w:r>
      <w:proofErr w:type="gramStart"/>
      <w:r>
        <w:t>and</w:t>
      </w:r>
      <w:r w:rsidR="0067067A">
        <w:t xml:space="preserve">, </w:t>
      </w:r>
      <w:r>
        <w:t>or</w:t>
      </w:r>
      <w:proofErr w:type="gramEnd"/>
      <w:r>
        <w:t xml:space="preserve"> preparing environmental review documents for transportation projects.</w:t>
      </w:r>
    </w:p>
    <w:p w14:paraId="1EF6699C" w14:textId="22C8C9D1" w:rsidR="001027F6" w:rsidRPr="004E55E7" w:rsidRDefault="001027F6" w:rsidP="001027F6">
      <w:pPr>
        <w:pStyle w:val="Heading2"/>
      </w:pPr>
      <w:bookmarkStart w:id="8" w:name="_Toc237000201"/>
      <w:r w:rsidRPr="004E55E7">
        <w:t>5.0 Hyperlinks in the Procedures</w:t>
      </w:r>
      <w:bookmarkEnd w:id="8"/>
    </w:p>
    <w:p w14:paraId="6E3E474E" w14:textId="77777777" w:rsidR="001027F6" w:rsidRPr="00881DFC" w:rsidRDefault="001027F6" w:rsidP="0094044E">
      <w:r w:rsidRPr="004E55E7">
        <w:t xml:space="preserve">Throughout this document there are hyperlinks on references to numbered statements that are routed to Appendix </w:t>
      </w:r>
      <w:proofErr w:type="gramStart"/>
      <w:r w:rsidRPr="004E55E7">
        <w:t>A, and</w:t>
      </w:r>
      <w:proofErr w:type="gramEnd"/>
      <w:r w:rsidRPr="004E55E7">
        <w:t xml:space="preserve"> following these hyperlinks routes users to the appendix. Therefore, before selecting one of these hyperlinks, note the step the hyperlink is set on to be able to easily return to that step.</w:t>
      </w:r>
    </w:p>
    <w:p w14:paraId="09E182C0" w14:textId="77777777" w:rsidR="00F42742" w:rsidRPr="001027F6" w:rsidRDefault="00F42742" w:rsidP="00F42742">
      <w:pPr>
        <w:pStyle w:val="Heading2"/>
      </w:pPr>
      <w:bookmarkStart w:id="9" w:name="_Toc226380611"/>
      <w:bookmarkStart w:id="10" w:name="_Toc237000202"/>
      <w:bookmarkEnd w:id="4"/>
      <w:r>
        <w:t>6.0 Procedure</w:t>
      </w:r>
      <w:bookmarkEnd w:id="10"/>
    </w:p>
    <w:p w14:paraId="2B61A909" w14:textId="77777777" w:rsidR="00F42742" w:rsidRPr="0094044E" w:rsidRDefault="00F42742" w:rsidP="00F42742">
      <w:pPr>
        <w:pStyle w:val="StepLevel1"/>
      </w:pPr>
      <w:r w:rsidRPr="0094044E">
        <w:t>Dete</w:t>
      </w:r>
      <w:r w:rsidRPr="0094044E">
        <w:rPr>
          <w:spacing w:val="1"/>
        </w:rPr>
        <w:t>r</w:t>
      </w:r>
      <w:r w:rsidRPr="0094044E">
        <w:rPr>
          <w:spacing w:val="4"/>
        </w:rPr>
        <w:t>m</w:t>
      </w:r>
      <w:r w:rsidRPr="0094044E">
        <w:t>ine</w:t>
      </w:r>
      <w:r w:rsidRPr="0094044E">
        <w:rPr>
          <w:spacing w:val="-10"/>
        </w:rPr>
        <w:t xml:space="preserve"> </w:t>
      </w:r>
      <w:r w:rsidRPr="0094044E">
        <w:t>if</w:t>
      </w:r>
      <w:r w:rsidRPr="0094044E">
        <w:rPr>
          <w:spacing w:val="1"/>
        </w:rPr>
        <w:t xml:space="preserve"> </w:t>
      </w:r>
      <w:r w:rsidRPr="0094044E">
        <w:t>this pro</w:t>
      </w:r>
      <w:r w:rsidRPr="0094044E">
        <w:rPr>
          <w:spacing w:val="1"/>
        </w:rPr>
        <w:t>j</w:t>
      </w:r>
      <w:r w:rsidRPr="0094044E">
        <w:t>e</w:t>
      </w:r>
      <w:r w:rsidRPr="0094044E">
        <w:rPr>
          <w:spacing w:val="1"/>
        </w:rPr>
        <w:t>c</w:t>
      </w:r>
      <w:r w:rsidRPr="0094044E">
        <w:t>t</w:t>
      </w:r>
      <w:r w:rsidRPr="0094044E">
        <w:rPr>
          <w:spacing w:val="-6"/>
        </w:rPr>
        <w:t xml:space="preserve"> </w:t>
      </w:r>
      <w:r w:rsidRPr="0094044E">
        <w:t>h</w:t>
      </w:r>
      <w:r w:rsidRPr="0094044E">
        <w:rPr>
          <w:spacing w:val="2"/>
        </w:rPr>
        <w:t>a</w:t>
      </w:r>
      <w:r w:rsidRPr="0094044E">
        <w:t>s</w:t>
      </w:r>
      <w:r w:rsidRPr="0094044E">
        <w:rPr>
          <w:spacing w:val="-2"/>
        </w:rPr>
        <w:t xml:space="preserve"> </w:t>
      </w:r>
      <w:r w:rsidRPr="0094044E">
        <w:t>a</w:t>
      </w:r>
      <w:r w:rsidRPr="0094044E">
        <w:rPr>
          <w:spacing w:val="-2"/>
        </w:rPr>
        <w:t xml:space="preserve"> </w:t>
      </w:r>
      <w:r w:rsidRPr="0094044E">
        <w:rPr>
          <w:spacing w:val="5"/>
        </w:rPr>
        <w:t>f</w:t>
      </w:r>
      <w:r w:rsidRPr="0094044E">
        <w:t>ederal</w:t>
      </w:r>
      <w:r w:rsidRPr="0094044E">
        <w:rPr>
          <w:spacing w:val="-5"/>
        </w:rPr>
        <w:t xml:space="preserve"> </w:t>
      </w:r>
      <w:r w:rsidRPr="0094044E">
        <w:t>l</w:t>
      </w:r>
      <w:r w:rsidRPr="0094044E">
        <w:rPr>
          <w:spacing w:val="2"/>
        </w:rPr>
        <w:t>e</w:t>
      </w:r>
      <w:r w:rsidRPr="0094044E">
        <w:t>a</w:t>
      </w:r>
      <w:r w:rsidRPr="0094044E">
        <w:rPr>
          <w:spacing w:val="3"/>
        </w:rPr>
        <w:t>d</w:t>
      </w:r>
      <w:r w:rsidRPr="0094044E">
        <w:rPr>
          <w:rStyle w:val="FootnoteReference"/>
          <w:spacing w:val="3"/>
          <w:sz w:val="22"/>
          <w:szCs w:val="28"/>
        </w:rPr>
        <w:footnoteReference w:id="1"/>
      </w:r>
      <w:r w:rsidRPr="0094044E">
        <w:rPr>
          <w:spacing w:val="3"/>
        </w:rPr>
        <w:t xml:space="preserve"> </w:t>
      </w:r>
      <w:r w:rsidRPr="0094044E">
        <w:t>other</w:t>
      </w:r>
      <w:r w:rsidRPr="0094044E">
        <w:rPr>
          <w:spacing w:val="-5"/>
        </w:rPr>
        <w:t xml:space="preserve"> </w:t>
      </w:r>
      <w:r w:rsidRPr="0094044E">
        <w:rPr>
          <w:spacing w:val="2"/>
        </w:rPr>
        <w:t>t</w:t>
      </w:r>
      <w:r w:rsidRPr="0094044E">
        <w:t>han</w:t>
      </w:r>
      <w:r w:rsidRPr="0094044E">
        <w:rPr>
          <w:spacing w:val="-3"/>
        </w:rPr>
        <w:t xml:space="preserve"> </w:t>
      </w:r>
      <w:r w:rsidRPr="0094044E">
        <w:t>F</w:t>
      </w:r>
      <w:r w:rsidRPr="0094044E">
        <w:rPr>
          <w:spacing w:val="-5"/>
        </w:rPr>
        <w:t>H</w:t>
      </w:r>
      <w:r w:rsidRPr="0094044E">
        <w:rPr>
          <w:spacing w:val="9"/>
        </w:rPr>
        <w:t>W</w:t>
      </w:r>
      <w:r w:rsidRPr="0094044E">
        <w:t>A or</w:t>
      </w:r>
      <w:r w:rsidRPr="0094044E">
        <w:rPr>
          <w:spacing w:val="-6"/>
        </w:rPr>
        <w:t xml:space="preserve"> </w:t>
      </w:r>
      <w:r w:rsidRPr="0094044E">
        <w:rPr>
          <w:spacing w:val="-2"/>
        </w:rPr>
        <w:t>F</w:t>
      </w:r>
      <w:r w:rsidRPr="0094044E">
        <w:rPr>
          <w:spacing w:val="3"/>
        </w:rPr>
        <w:t>T</w:t>
      </w:r>
      <w:r w:rsidRPr="0094044E">
        <w:t>A.</w:t>
      </w:r>
      <w:r w:rsidRPr="0094044E">
        <w:rPr>
          <w:spacing w:val="-4"/>
        </w:rPr>
        <w:t xml:space="preserve"> </w:t>
      </w:r>
      <w:r w:rsidRPr="0094044E">
        <w:t>If yes,</w:t>
      </w:r>
      <w:r w:rsidRPr="0094044E">
        <w:rPr>
          <w:spacing w:val="-4"/>
        </w:rPr>
        <w:t xml:space="preserve"> </w:t>
      </w:r>
      <w:r w:rsidRPr="0094044E">
        <w:rPr>
          <w:spacing w:val="1"/>
        </w:rPr>
        <w:t>c</w:t>
      </w:r>
      <w:r w:rsidRPr="0094044E">
        <w:t>on</w:t>
      </w:r>
      <w:r w:rsidRPr="0094044E">
        <w:rPr>
          <w:spacing w:val="1"/>
        </w:rPr>
        <w:t>s</w:t>
      </w:r>
      <w:r w:rsidRPr="0094044E">
        <w:t>ult</w:t>
      </w:r>
      <w:r w:rsidRPr="0094044E">
        <w:rPr>
          <w:spacing w:val="-4"/>
        </w:rPr>
        <w:t xml:space="preserve"> </w:t>
      </w:r>
      <w:r w:rsidRPr="0094044E">
        <w:t>with</w:t>
      </w:r>
      <w:r w:rsidRPr="0094044E">
        <w:rPr>
          <w:spacing w:val="-3"/>
        </w:rPr>
        <w:t xml:space="preserve"> </w:t>
      </w:r>
      <w:r w:rsidRPr="0094044E">
        <w:t>the E</w:t>
      </w:r>
      <w:r w:rsidRPr="0094044E">
        <w:rPr>
          <w:spacing w:val="2"/>
        </w:rPr>
        <w:t>N</w:t>
      </w:r>
      <w:r w:rsidRPr="0094044E">
        <w:t>V</w:t>
      </w:r>
      <w:r w:rsidRPr="0094044E">
        <w:rPr>
          <w:spacing w:val="-5"/>
        </w:rPr>
        <w:t xml:space="preserve"> </w:t>
      </w:r>
      <w:r w:rsidRPr="0094044E">
        <w:rPr>
          <w:spacing w:val="2"/>
        </w:rPr>
        <w:t>a</w:t>
      </w:r>
      <w:r w:rsidRPr="0094044E">
        <w:t xml:space="preserve">ir </w:t>
      </w:r>
      <w:r w:rsidRPr="0094044E">
        <w:rPr>
          <w:spacing w:val="1"/>
        </w:rPr>
        <w:t>s</w:t>
      </w:r>
      <w:r w:rsidRPr="0094044E">
        <w:t>pe</w:t>
      </w:r>
      <w:r w:rsidRPr="0094044E">
        <w:rPr>
          <w:spacing w:val="1"/>
        </w:rPr>
        <w:t>c</w:t>
      </w:r>
      <w:r w:rsidRPr="0094044E">
        <w:t>ia</w:t>
      </w:r>
      <w:r w:rsidRPr="0094044E">
        <w:rPr>
          <w:spacing w:val="1"/>
        </w:rPr>
        <w:t>l</w:t>
      </w:r>
      <w:r w:rsidRPr="0094044E">
        <w:t>i</w:t>
      </w:r>
      <w:r w:rsidRPr="0094044E">
        <w:rPr>
          <w:spacing w:val="1"/>
        </w:rPr>
        <w:t>s</w:t>
      </w:r>
      <w:r w:rsidRPr="0094044E">
        <w:t>t</w:t>
      </w:r>
      <w:r w:rsidRPr="0094044E">
        <w:rPr>
          <w:spacing w:val="-8"/>
        </w:rPr>
        <w:t xml:space="preserve"> </w:t>
      </w:r>
      <w:r w:rsidRPr="0094044E">
        <w:rPr>
          <w:spacing w:val="2"/>
        </w:rPr>
        <w:t>a</w:t>
      </w:r>
      <w:r w:rsidRPr="0094044E">
        <w:t>bout</w:t>
      </w:r>
      <w:r w:rsidRPr="0094044E">
        <w:rPr>
          <w:spacing w:val="-4"/>
        </w:rPr>
        <w:t xml:space="preserve"> </w:t>
      </w:r>
      <w:r w:rsidRPr="0094044E">
        <w:t>a</w:t>
      </w:r>
      <w:r w:rsidRPr="0094044E">
        <w:rPr>
          <w:spacing w:val="1"/>
        </w:rPr>
        <w:t>ppr</w:t>
      </w:r>
      <w:r w:rsidRPr="0094044E">
        <w:t>op</w:t>
      </w:r>
      <w:r w:rsidRPr="0094044E">
        <w:rPr>
          <w:spacing w:val="1"/>
        </w:rPr>
        <w:t>ri</w:t>
      </w:r>
      <w:r w:rsidRPr="0094044E">
        <w:t>ate</w:t>
      </w:r>
      <w:r w:rsidRPr="0094044E">
        <w:rPr>
          <w:spacing w:val="-8"/>
        </w:rPr>
        <w:t xml:space="preserve"> </w:t>
      </w:r>
      <w:r w:rsidRPr="0094044E">
        <w:t>air</w:t>
      </w:r>
      <w:r w:rsidRPr="0094044E">
        <w:rPr>
          <w:spacing w:val="-2"/>
        </w:rPr>
        <w:t xml:space="preserve"> </w:t>
      </w:r>
      <w:r w:rsidRPr="0094044E">
        <w:rPr>
          <w:spacing w:val="2"/>
        </w:rPr>
        <w:t>q</w:t>
      </w:r>
      <w:r w:rsidRPr="0094044E">
        <w:t>ua</w:t>
      </w:r>
      <w:r w:rsidRPr="0094044E">
        <w:rPr>
          <w:spacing w:val="1"/>
        </w:rPr>
        <w:t>l</w:t>
      </w:r>
      <w:r w:rsidRPr="0094044E">
        <w:t>i</w:t>
      </w:r>
      <w:r w:rsidRPr="0094044E">
        <w:rPr>
          <w:spacing w:val="4"/>
        </w:rPr>
        <w:t>t</w:t>
      </w:r>
      <w:r w:rsidRPr="0094044E">
        <w:t>y</w:t>
      </w:r>
      <w:r w:rsidRPr="0094044E">
        <w:rPr>
          <w:spacing w:val="-9"/>
        </w:rPr>
        <w:t xml:space="preserve"> </w:t>
      </w:r>
      <w:r w:rsidRPr="0094044E">
        <w:rPr>
          <w:spacing w:val="2"/>
        </w:rPr>
        <w:t>d</w:t>
      </w:r>
      <w:r w:rsidRPr="0094044E">
        <w:t>i</w:t>
      </w:r>
      <w:r w:rsidRPr="0094044E">
        <w:rPr>
          <w:spacing w:val="1"/>
        </w:rPr>
        <w:t>sc</w:t>
      </w:r>
      <w:r w:rsidRPr="0094044E">
        <w:t>lo</w:t>
      </w:r>
      <w:r w:rsidRPr="0094044E">
        <w:rPr>
          <w:spacing w:val="1"/>
        </w:rPr>
        <w:t>s</w:t>
      </w:r>
      <w:r w:rsidRPr="0094044E">
        <w:t>ure</w:t>
      </w:r>
      <w:r w:rsidRPr="0094044E">
        <w:rPr>
          <w:spacing w:val="-7"/>
        </w:rPr>
        <w:t xml:space="preserve"> </w:t>
      </w:r>
      <w:r w:rsidRPr="0094044E">
        <w:t>l</w:t>
      </w:r>
      <w:r w:rsidRPr="0094044E">
        <w:rPr>
          <w:spacing w:val="2"/>
        </w:rPr>
        <w:t>a</w:t>
      </w:r>
      <w:r w:rsidRPr="0094044E">
        <w:t>ng</w:t>
      </w:r>
      <w:r w:rsidRPr="0094044E">
        <w:rPr>
          <w:spacing w:val="2"/>
        </w:rPr>
        <w:t>u</w:t>
      </w:r>
      <w:r w:rsidRPr="0094044E">
        <w:t>ag</w:t>
      </w:r>
      <w:r w:rsidRPr="0094044E">
        <w:rPr>
          <w:spacing w:val="2"/>
        </w:rPr>
        <w:t>e</w:t>
      </w:r>
      <w:r w:rsidRPr="0094044E">
        <w:t>,</w:t>
      </w:r>
      <w:r w:rsidRPr="0094044E">
        <w:rPr>
          <w:spacing w:val="-7"/>
        </w:rPr>
        <w:t xml:space="preserve"> </w:t>
      </w:r>
      <w:r w:rsidRPr="0094044E">
        <w:t>in</w:t>
      </w:r>
      <w:r w:rsidRPr="0094044E">
        <w:rPr>
          <w:spacing w:val="1"/>
        </w:rPr>
        <w:t>cl</w:t>
      </w:r>
      <w:r w:rsidRPr="0094044E">
        <w:t>ude</w:t>
      </w:r>
      <w:r w:rsidRPr="0094044E">
        <w:rPr>
          <w:spacing w:val="-4"/>
        </w:rPr>
        <w:t xml:space="preserve"> </w:t>
      </w:r>
      <w:r w:rsidRPr="0094044E">
        <w:t>it</w:t>
      </w:r>
      <w:r w:rsidRPr="0094044E">
        <w:rPr>
          <w:spacing w:val="1"/>
        </w:rPr>
        <w:t xml:space="preserve"> </w:t>
      </w:r>
      <w:r w:rsidRPr="0094044E">
        <w:t>in the</w:t>
      </w:r>
      <w:r w:rsidRPr="0094044E">
        <w:rPr>
          <w:spacing w:val="-2"/>
        </w:rPr>
        <w:t xml:space="preserve"> </w:t>
      </w:r>
      <w:r w:rsidRPr="00661416">
        <w:t>air</w:t>
      </w:r>
      <w:r w:rsidRPr="0094044E">
        <w:t xml:space="preserve"> qu</w:t>
      </w:r>
      <w:r w:rsidRPr="0094044E">
        <w:rPr>
          <w:spacing w:val="2"/>
        </w:rPr>
        <w:t>a</w:t>
      </w:r>
      <w:r w:rsidRPr="0094044E">
        <w:t>li</w:t>
      </w:r>
      <w:r w:rsidRPr="0094044E">
        <w:rPr>
          <w:spacing w:val="4"/>
        </w:rPr>
        <w:t>t</w:t>
      </w:r>
      <w:r w:rsidRPr="0094044E">
        <w:t>y</w:t>
      </w:r>
      <w:r w:rsidRPr="0094044E">
        <w:rPr>
          <w:spacing w:val="-10"/>
        </w:rPr>
        <w:t xml:space="preserve"> </w:t>
      </w:r>
      <w:r w:rsidRPr="0094044E">
        <w:rPr>
          <w:spacing w:val="1"/>
        </w:rPr>
        <w:t>s</w:t>
      </w:r>
      <w:r w:rsidRPr="0094044E">
        <w:t>e</w:t>
      </w:r>
      <w:r w:rsidRPr="0094044E">
        <w:rPr>
          <w:spacing w:val="1"/>
        </w:rPr>
        <w:t>c</w:t>
      </w:r>
      <w:r w:rsidRPr="0094044E">
        <w:t>t</w:t>
      </w:r>
      <w:r w:rsidRPr="0094044E">
        <w:rPr>
          <w:spacing w:val="1"/>
        </w:rPr>
        <w:t>i</w:t>
      </w:r>
      <w:r w:rsidRPr="0094044E">
        <w:t>on</w:t>
      </w:r>
      <w:r w:rsidRPr="0094044E">
        <w:rPr>
          <w:spacing w:val="-5"/>
        </w:rPr>
        <w:t xml:space="preserve"> </w:t>
      </w:r>
      <w:r w:rsidRPr="0094044E">
        <w:t>of the ap</w:t>
      </w:r>
      <w:r w:rsidRPr="0094044E">
        <w:rPr>
          <w:spacing w:val="2"/>
        </w:rPr>
        <w:t>p</w:t>
      </w:r>
      <w:r w:rsidRPr="0094044E">
        <w:t>li</w:t>
      </w:r>
      <w:r w:rsidRPr="0094044E">
        <w:rPr>
          <w:spacing w:val="1"/>
        </w:rPr>
        <w:t>c</w:t>
      </w:r>
      <w:r w:rsidRPr="0094044E">
        <w:t>a</w:t>
      </w:r>
      <w:r w:rsidRPr="0094044E">
        <w:rPr>
          <w:spacing w:val="1"/>
        </w:rPr>
        <w:t>b</w:t>
      </w:r>
      <w:r w:rsidRPr="0094044E">
        <w:t>le</w:t>
      </w:r>
      <w:r w:rsidRPr="0094044E">
        <w:rPr>
          <w:spacing w:val="-8"/>
        </w:rPr>
        <w:t xml:space="preserve"> </w:t>
      </w:r>
      <w:r w:rsidRPr="0094044E">
        <w:t>e</w:t>
      </w:r>
      <w:r w:rsidRPr="0094044E">
        <w:rPr>
          <w:spacing w:val="1"/>
        </w:rPr>
        <w:t>n</w:t>
      </w:r>
      <w:r w:rsidRPr="0094044E">
        <w:t>vi</w:t>
      </w:r>
      <w:r w:rsidRPr="0094044E">
        <w:rPr>
          <w:spacing w:val="1"/>
        </w:rPr>
        <w:t>r</w:t>
      </w:r>
      <w:r w:rsidRPr="0094044E">
        <w:rPr>
          <w:spacing w:val="2"/>
        </w:rPr>
        <w:t>o</w:t>
      </w:r>
      <w:r w:rsidRPr="0094044E">
        <w:t>n</w:t>
      </w:r>
      <w:r w:rsidRPr="0094044E">
        <w:rPr>
          <w:spacing w:val="4"/>
        </w:rPr>
        <w:t>m</w:t>
      </w:r>
      <w:r w:rsidRPr="0094044E">
        <w:t>ental</w:t>
      </w:r>
      <w:r w:rsidRPr="0094044E">
        <w:rPr>
          <w:spacing w:val="-15"/>
        </w:rPr>
        <w:t xml:space="preserve"> </w:t>
      </w:r>
      <w:r w:rsidRPr="0094044E">
        <w:t>r</w:t>
      </w:r>
      <w:r w:rsidRPr="0094044E">
        <w:rPr>
          <w:spacing w:val="2"/>
        </w:rPr>
        <w:t>e</w:t>
      </w:r>
      <w:r w:rsidRPr="0094044E">
        <w:t>v</w:t>
      </w:r>
      <w:r w:rsidRPr="0094044E">
        <w:rPr>
          <w:spacing w:val="1"/>
        </w:rPr>
        <w:t>i</w:t>
      </w:r>
      <w:r w:rsidRPr="0094044E">
        <w:rPr>
          <w:spacing w:val="2"/>
        </w:rPr>
        <w:t>e</w:t>
      </w:r>
      <w:r w:rsidRPr="0094044E">
        <w:t>w</w:t>
      </w:r>
      <w:r w:rsidRPr="0094044E">
        <w:rPr>
          <w:spacing w:val="-8"/>
        </w:rPr>
        <w:t xml:space="preserve"> </w:t>
      </w:r>
      <w:r w:rsidRPr="0094044E">
        <w:rPr>
          <w:spacing w:val="2"/>
        </w:rPr>
        <w:t>d</w:t>
      </w:r>
      <w:r w:rsidRPr="0094044E">
        <w:t>o</w:t>
      </w:r>
      <w:r w:rsidRPr="0094044E">
        <w:rPr>
          <w:spacing w:val="1"/>
        </w:rPr>
        <w:t>c</w:t>
      </w:r>
      <w:r w:rsidRPr="0094044E">
        <w:t>u</w:t>
      </w:r>
      <w:r w:rsidRPr="0094044E">
        <w:rPr>
          <w:spacing w:val="4"/>
        </w:rPr>
        <w:t>m</w:t>
      </w:r>
      <w:r w:rsidRPr="0094044E">
        <w:t>en</w:t>
      </w:r>
      <w:r w:rsidRPr="0094044E">
        <w:rPr>
          <w:spacing w:val="4"/>
        </w:rPr>
        <w:t>t</w:t>
      </w:r>
      <w:r w:rsidRPr="0094044E">
        <w:rPr>
          <w:spacing w:val="-10"/>
        </w:rPr>
        <w:t xml:space="preserve"> </w:t>
      </w:r>
      <w:r w:rsidRPr="0094044E">
        <w:t>and</w:t>
      </w:r>
      <w:r w:rsidRPr="0094044E">
        <w:rPr>
          <w:spacing w:val="-2"/>
        </w:rPr>
        <w:t xml:space="preserve"> </w:t>
      </w:r>
      <w:r w:rsidRPr="0094044E">
        <w:t>pro</w:t>
      </w:r>
      <w:r w:rsidRPr="0094044E">
        <w:rPr>
          <w:spacing w:val="1"/>
        </w:rPr>
        <w:t>c</w:t>
      </w:r>
      <w:r w:rsidRPr="0094044E">
        <w:t>e</w:t>
      </w:r>
      <w:r w:rsidRPr="0094044E">
        <w:rPr>
          <w:spacing w:val="1"/>
        </w:rPr>
        <w:t>e</w:t>
      </w:r>
      <w:r w:rsidRPr="0094044E">
        <w:t>d</w:t>
      </w:r>
      <w:r w:rsidRPr="0094044E">
        <w:rPr>
          <w:spacing w:val="-7"/>
        </w:rPr>
        <w:t xml:space="preserve"> </w:t>
      </w:r>
      <w:r w:rsidRPr="0094044E">
        <w:t xml:space="preserve">to Step </w:t>
      </w:r>
      <w:r w:rsidRPr="0094044E">
        <w:rPr>
          <w:spacing w:val="1"/>
        </w:rPr>
        <w:t>9 below</w:t>
      </w:r>
      <w:r w:rsidRPr="0094044E">
        <w:t>. If</w:t>
      </w:r>
      <w:r w:rsidRPr="0094044E">
        <w:rPr>
          <w:spacing w:val="1"/>
        </w:rPr>
        <w:t xml:space="preserve"> </w:t>
      </w:r>
      <w:r w:rsidRPr="0094044E">
        <w:t>not,</w:t>
      </w:r>
      <w:r w:rsidRPr="0094044E">
        <w:rPr>
          <w:spacing w:val="-3"/>
        </w:rPr>
        <w:t xml:space="preserve"> </w:t>
      </w:r>
      <w:r w:rsidRPr="0094044E">
        <w:rPr>
          <w:spacing w:val="1"/>
        </w:rPr>
        <w:t>c</w:t>
      </w:r>
      <w:r w:rsidRPr="0094044E">
        <w:t>o</w:t>
      </w:r>
      <w:r w:rsidRPr="0094044E">
        <w:rPr>
          <w:spacing w:val="1"/>
        </w:rPr>
        <w:t>n</w:t>
      </w:r>
      <w:r w:rsidRPr="0094044E">
        <w:t>ti</w:t>
      </w:r>
      <w:r w:rsidRPr="0094044E">
        <w:rPr>
          <w:spacing w:val="2"/>
        </w:rPr>
        <w:t>n</w:t>
      </w:r>
      <w:r w:rsidRPr="0094044E">
        <w:t>ue</w:t>
      </w:r>
      <w:r w:rsidRPr="0094044E">
        <w:rPr>
          <w:spacing w:val="-7"/>
        </w:rPr>
        <w:t xml:space="preserve"> </w:t>
      </w:r>
      <w:r w:rsidRPr="0094044E">
        <w:t>to</w:t>
      </w:r>
      <w:r w:rsidRPr="0094044E">
        <w:rPr>
          <w:spacing w:val="-3"/>
        </w:rPr>
        <w:t xml:space="preserve"> </w:t>
      </w:r>
      <w:r w:rsidRPr="0094044E">
        <w:t>S</w:t>
      </w:r>
      <w:r w:rsidRPr="0094044E">
        <w:rPr>
          <w:spacing w:val="2"/>
        </w:rPr>
        <w:t>t</w:t>
      </w:r>
      <w:r w:rsidRPr="0094044E">
        <w:t>ep</w:t>
      </w:r>
      <w:r w:rsidRPr="0094044E">
        <w:rPr>
          <w:spacing w:val="-2"/>
        </w:rPr>
        <w:t xml:space="preserve"> </w:t>
      </w:r>
      <w:r w:rsidRPr="0094044E">
        <w:t>2.</w:t>
      </w:r>
    </w:p>
    <w:p w14:paraId="5C9E9B54" w14:textId="77777777" w:rsidR="00F42742" w:rsidRPr="001F665E" w:rsidRDefault="00F42742" w:rsidP="00F42742">
      <w:pPr>
        <w:pStyle w:val="StepLevel1"/>
      </w:pPr>
      <w:r w:rsidRPr="00A4067C">
        <w:t>Identify</w:t>
      </w:r>
      <w:r w:rsidRPr="001F665E">
        <w:rPr>
          <w:spacing w:val="-10"/>
        </w:rPr>
        <w:t xml:space="preserve"> </w:t>
      </w:r>
      <w:r w:rsidRPr="001F665E">
        <w:t>t</w:t>
      </w:r>
      <w:r w:rsidRPr="001F665E">
        <w:rPr>
          <w:spacing w:val="2"/>
        </w:rPr>
        <w:t>h</w:t>
      </w:r>
      <w:r w:rsidRPr="001F665E">
        <w:t>e</w:t>
      </w:r>
      <w:r w:rsidRPr="001F665E">
        <w:rPr>
          <w:spacing w:val="-3"/>
        </w:rPr>
        <w:t xml:space="preserve"> </w:t>
      </w:r>
      <w:r w:rsidRPr="001F665E">
        <w:rPr>
          <w:spacing w:val="1"/>
        </w:rPr>
        <w:t>a</w:t>
      </w:r>
      <w:r w:rsidRPr="001F665E">
        <w:t>pp</w:t>
      </w:r>
      <w:r w:rsidRPr="001F665E">
        <w:rPr>
          <w:spacing w:val="1"/>
        </w:rPr>
        <w:t>r</w:t>
      </w:r>
      <w:r w:rsidRPr="001F665E">
        <w:t>op</w:t>
      </w:r>
      <w:r w:rsidRPr="001F665E">
        <w:rPr>
          <w:spacing w:val="3"/>
        </w:rPr>
        <w:t>r</w:t>
      </w:r>
      <w:r w:rsidRPr="001F665E">
        <w:t>iate</w:t>
      </w:r>
      <w:r w:rsidRPr="001F665E">
        <w:rPr>
          <w:spacing w:val="-9"/>
        </w:rPr>
        <w:t xml:space="preserve"> </w:t>
      </w:r>
      <w:r w:rsidRPr="001F665E">
        <w:rPr>
          <w:spacing w:val="2"/>
        </w:rPr>
        <w:t>f</w:t>
      </w:r>
      <w:r w:rsidRPr="001F665E">
        <w:t>in</w:t>
      </w:r>
      <w:r w:rsidRPr="001F665E">
        <w:rPr>
          <w:spacing w:val="1"/>
        </w:rPr>
        <w:t>d</w:t>
      </w:r>
      <w:r w:rsidRPr="001F665E">
        <w:t>ing</w:t>
      </w:r>
      <w:r w:rsidRPr="001F665E">
        <w:rPr>
          <w:spacing w:val="-7"/>
        </w:rPr>
        <w:t xml:space="preserve"> </w:t>
      </w:r>
      <w:r w:rsidRPr="001F665E">
        <w:rPr>
          <w:spacing w:val="1"/>
        </w:rPr>
        <w:t>s</w:t>
      </w:r>
      <w:r w:rsidRPr="001F665E">
        <w:rPr>
          <w:spacing w:val="2"/>
        </w:rPr>
        <w:t>t</w:t>
      </w:r>
      <w:r w:rsidRPr="001F665E">
        <w:t>ate</w:t>
      </w:r>
      <w:r w:rsidRPr="001F665E">
        <w:rPr>
          <w:spacing w:val="4"/>
        </w:rPr>
        <w:t>m</w:t>
      </w:r>
      <w:r w:rsidRPr="001F665E">
        <w:t>en</w:t>
      </w:r>
      <w:r w:rsidRPr="001F665E">
        <w:rPr>
          <w:spacing w:val="3"/>
        </w:rPr>
        <w:t>t</w:t>
      </w:r>
      <w:r w:rsidRPr="001F665E">
        <w:t>s</w:t>
      </w:r>
      <w:r w:rsidRPr="001F665E">
        <w:rPr>
          <w:spacing w:val="-9"/>
        </w:rPr>
        <w:t xml:space="preserve"> </w:t>
      </w:r>
      <w:r w:rsidRPr="001F665E">
        <w:rPr>
          <w:spacing w:val="2"/>
        </w:rPr>
        <w:t>f</w:t>
      </w:r>
      <w:r w:rsidRPr="001F665E">
        <w:t>or</w:t>
      </w:r>
      <w:r w:rsidRPr="001F665E">
        <w:rPr>
          <w:spacing w:val="-2"/>
        </w:rPr>
        <w:t xml:space="preserve"> </w:t>
      </w:r>
      <w:r w:rsidRPr="001F665E">
        <w:rPr>
          <w:spacing w:val="2"/>
        </w:rPr>
        <w:t>c</w:t>
      </w:r>
      <w:r w:rsidRPr="001F665E">
        <w:t>on</w:t>
      </w:r>
      <w:r w:rsidRPr="001F665E">
        <w:rPr>
          <w:spacing w:val="2"/>
        </w:rPr>
        <w:t>f</w:t>
      </w:r>
      <w:r w:rsidRPr="001F665E">
        <w:t>o</w:t>
      </w:r>
      <w:r w:rsidRPr="001F665E">
        <w:rPr>
          <w:spacing w:val="-2"/>
        </w:rPr>
        <w:t>r</w:t>
      </w:r>
      <w:r w:rsidRPr="001F665E">
        <w:rPr>
          <w:spacing w:val="4"/>
        </w:rPr>
        <w:t>m</w:t>
      </w:r>
      <w:r w:rsidRPr="001F665E">
        <w:rPr>
          <w:spacing w:val="-3"/>
        </w:rPr>
        <w:t>i</w:t>
      </w:r>
      <w:r w:rsidRPr="001F665E">
        <w:rPr>
          <w:spacing w:val="2"/>
        </w:rPr>
        <w:t>t</w:t>
      </w:r>
      <w:r w:rsidRPr="001F665E">
        <w:t>y</w:t>
      </w:r>
      <w:r w:rsidRPr="001F665E">
        <w:rPr>
          <w:spacing w:val="-12"/>
        </w:rPr>
        <w:t xml:space="preserve"> </w:t>
      </w:r>
      <w:r w:rsidRPr="001F665E">
        <w:rPr>
          <w:spacing w:val="4"/>
        </w:rPr>
        <w:t>b</w:t>
      </w:r>
      <w:r w:rsidRPr="001F665E">
        <w:t>y</w:t>
      </w:r>
      <w:r w:rsidRPr="001F665E">
        <w:rPr>
          <w:spacing w:val="-6"/>
        </w:rPr>
        <w:t xml:space="preserve"> </w:t>
      </w:r>
      <w:r w:rsidRPr="001F665E">
        <w:rPr>
          <w:spacing w:val="1"/>
        </w:rPr>
        <w:t>c</w:t>
      </w:r>
      <w:r w:rsidRPr="001F665E">
        <w:t>o</w:t>
      </w:r>
      <w:r w:rsidRPr="001F665E">
        <w:rPr>
          <w:spacing w:val="4"/>
        </w:rPr>
        <w:t>m</w:t>
      </w:r>
      <w:r w:rsidRPr="001F665E">
        <w:t>plet</w:t>
      </w:r>
      <w:r w:rsidRPr="001F665E">
        <w:rPr>
          <w:spacing w:val="1"/>
        </w:rPr>
        <w:t>i</w:t>
      </w:r>
      <w:r w:rsidRPr="001F665E">
        <w:t>ng</w:t>
      </w:r>
      <w:r w:rsidRPr="001F665E">
        <w:rPr>
          <w:spacing w:val="-9"/>
        </w:rPr>
        <w:t xml:space="preserve"> </w:t>
      </w:r>
      <w:r w:rsidRPr="001F665E">
        <w:t>St</w:t>
      </w:r>
      <w:r w:rsidRPr="001F665E">
        <w:rPr>
          <w:spacing w:val="2"/>
        </w:rPr>
        <w:t>e</w:t>
      </w:r>
      <w:r w:rsidRPr="001F665E">
        <w:t>ps</w:t>
      </w:r>
      <w:r w:rsidRPr="001F665E">
        <w:rPr>
          <w:spacing w:val="-5"/>
        </w:rPr>
        <w:t xml:space="preserve"> </w:t>
      </w:r>
      <w:r w:rsidRPr="001F665E">
        <w:t>2.1</w:t>
      </w:r>
      <w:r w:rsidRPr="001F665E">
        <w:rPr>
          <w:spacing w:val="1"/>
        </w:rPr>
        <w:t xml:space="preserve"> </w:t>
      </w:r>
      <w:r w:rsidRPr="001F665E">
        <w:t>throu</w:t>
      </w:r>
      <w:r w:rsidRPr="001F665E">
        <w:rPr>
          <w:spacing w:val="1"/>
        </w:rPr>
        <w:t>g</w:t>
      </w:r>
      <w:r w:rsidRPr="001F665E">
        <w:t>h</w:t>
      </w:r>
      <w:r w:rsidRPr="001F665E">
        <w:rPr>
          <w:spacing w:val="-7"/>
        </w:rPr>
        <w:t xml:space="preserve"> </w:t>
      </w:r>
      <w:r w:rsidRPr="001F665E">
        <w:t>2</w:t>
      </w:r>
      <w:r w:rsidRPr="001F665E">
        <w:rPr>
          <w:spacing w:val="2"/>
        </w:rPr>
        <w:t>.</w:t>
      </w:r>
      <w:r w:rsidRPr="001F665E">
        <w:t>10</w:t>
      </w:r>
      <w:r w:rsidRPr="001F665E">
        <w:rPr>
          <w:spacing w:val="-3"/>
        </w:rPr>
        <w:t xml:space="preserve"> </w:t>
      </w:r>
      <w:r w:rsidRPr="001F665E">
        <w:t xml:space="preserve">as </w:t>
      </w:r>
      <w:proofErr w:type="gramStart"/>
      <w:r w:rsidRPr="001F665E">
        <w:t>di</w:t>
      </w:r>
      <w:r w:rsidRPr="001F665E">
        <w:rPr>
          <w:spacing w:val="1"/>
        </w:rPr>
        <w:t>r</w:t>
      </w:r>
      <w:r w:rsidRPr="001F665E">
        <w:t>e</w:t>
      </w:r>
      <w:r w:rsidRPr="001F665E">
        <w:rPr>
          <w:spacing w:val="1"/>
        </w:rPr>
        <w:t>c</w:t>
      </w:r>
      <w:r w:rsidRPr="001F665E">
        <w:t>te</w:t>
      </w:r>
      <w:r w:rsidRPr="001F665E">
        <w:rPr>
          <w:spacing w:val="1"/>
        </w:rPr>
        <w:t>d</w:t>
      </w:r>
      <w:r w:rsidRPr="001F665E">
        <w:t>,</w:t>
      </w:r>
      <w:r w:rsidRPr="001F665E">
        <w:rPr>
          <w:spacing w:val="-8"/>
        </w:rPr>
        <w:t xml:space="preserve"> </w:t>
      </w:r>
      <w:r w:rsidRPr="001F665E">
        <w:t>a</w:t>
      </w:r>
      <w:r w:rsidRPr="001F665E">
        <w:rPr>
          <w:spacing w:val="1"/>
        </w:rPr>
        <w:t>n</w:t>
      </w:r>
      <w:r w:rsidRPr="001F665E">
        <w:t>d</w:t>
      </w:r>
      <w:proofErr w:type="gramEnd"/>
      <w:r w:rsidRPr="001F665E">
        <w:rPr>
          <w:spacing w:val="-3"/>
        </w:rPr>
        <w:t xml:space="preserve"> </w:t>
      </w:r>
      <w:r w:rsidRPr="001F665E">
        <w:rPr>
          <w:spacing w:val="1"/>
        </w:rPr>
        <w:t>p</w:t>
      </w:r>
      <w:r w:rsidRPr="001F665E">
        <w:t>la</w:t>
      </w:r>
      <w:r w:rsidRPr="001F665E">
        <w:rPr>
          <w:spacing w:val="1"/>
        </w:rPr>
        <w:t>c</w:t>
      </w:r>
      <w:r w:rsidRPr="001F665E">
        <w:t>e</w:t>
      </w:r>
      <w:r w:rsidRPr="001F665E">
        <w:rPr>
          <w:spacing w:val="-2"/>
        </w:rPr>
        <w:t xml:space="preserve"> </w:t>
      </w:r>
      <w:r w:rsidRPr="001F665E">
        <w:t>tho</w:t>
      </w:r>
      <w:r w:rsidRPr="001F665E">
        <w:rPr>
          <w:spacing w:val="1"/>
        </w:rPr>
        <w:t>s</w:t>
      </w:r>
      <w:r w:rsidRPr="001F665E">
        <w:t>e</w:t>
      </w:r>
      <w:r w:rsidRPr="001F665E">
        <w:rPr>
          <w:spacing w:val="-5"/>
        </w:rPr>
        <w:t xml:space="preserve"> </w:t>
      </w:r>
      <w:r w:rsidRPr="001F665E">
        <w:t>s</w:t>
      </w:r>
      <w:r w:rsidRPr="001F665E">
        <w:rPr>
          <w:spacing w:val="2"/>
        </w:rPr>
        <w:t>t</w:t>
      </w:r>
      <w:r w:rsidRPr="001F665E">
        <w:t>ate</w:t>
      </w:r>
      <w:r w:rsidRPr="001F665E">
        <w:rPr>
          <w:spacing w:val="4"/>
        </w:rPr>
        <w:t>m</w:t>
      </w:r>
      <w:r w:rsidRPr="001F665E">
        <w:t>ents</w:t>
      </w:r>
      <w:r w:rsidRPr="001F665E">
        <w:rPr>
          <w:spacing w:val="-8"/>
        </w:rPr>
        <w:t xml:space="preserve"> </w:t>
      </w:r>
      <w:r w:rsidRPr="001F665E">
        <w:t>in</w:t>
      </w:r>
      <w:r w:rsidRPr="001F665E">
        <w:rPr>
          <w:spacing w:val="-2"/>
        </w:rPr>
        <w:t xml:space="preserve"> </w:t>
      </w:r>
      <w:r w:rsidRPr="001F665E">
        <w:t>t</w:t>
      </w:r>
      <w:r w:rsidRPr="001F665E">
        <w:rPr>
          <w:spacing w:val="2"/>
        </w:rPr>
        <w:t>h</w:t>
      </w:r>
      <w:r w:rsidRPr="001F665E">
        <w:t>e</w:t>
      </w:r>
      <w:r w:rsidRPr="001F665E">
        <w:rPr>
          <w:spacing w:val="-3"/>
        </w:rPr>
        <w:t xml:space="preserve"> </w:t>
      </w:r>
      <w:r w:rsidRPr="001F665E">
        <w:t>con</w:t>
      </w:r>
      <w:r w:rsidRPr="001F665E">
        <w:rPr>
          <w:spacing w:val="2"/>
        </w:rPr>
        <w:t>f</w:t>
      </w:r>
      <w:r w:rsidRPr="001F665E">
        <w:t>or</w:t>
      </w:r>
      <w:r w:rsidRPr="001F665E">
        <w:rPr>
          <w:spacing w:val="5"/>
        </w:rPr>
        <w:t>m</w:t>
      </w:r>
      <w:r w:rsidRPr="001F665E">
        <w:t>i</w:t>
      </w:r>
      <w:r w:rsidRPr="001F665E">
        <w:rPr>
          <w:spacing w:val="2"/>
        </w:rPr>
        <w:t>t</w:t>
      </w:r>
      <w:r w:rsidRPr="001F665E">
        <w:t>y</w:t>
      </w:r>
      <w:r w:rsidRPr="001F665E">
        <w:rPr>
          <w:spacing w:val="-11"/>
        </w:rPr>
        <w:t xml:space="preserve"> </w:t>
      </w:r>
      <w:r w:rsidRPr="001F665E">
        <w:rPr>
          <w:spacing w:val="1"/>
        </w:rPr>
        <w:t>s</w:t>
      </w:r>
      <w:r w:rsidRPr="001F665E">
        <w:t>e</w:t>
      </w:r>
      <w:r w:rsidRPr="001F665E">
        <w:rPr>
          <w:spacing w:val="1"/>
        </w:rPr>
        <w:t>c</w:t>
      </w:r>
      <w:r w:rsidRPr="001F665E">
        <w:t>tion</w:t>
      </w:r>
      <w:r w:rsidRPr="001F665E">
        <w:rPr>
          <w:spacing w:val="-5"/>
        </w:rPr>
        <w:t xml:space="preserve"> </w:t>
      </w:r>
      <w:r w:rsidRPr="001F665E">
        <w:t xml:space="preserve">of the </w:t>
      </w:r>
      <w:r w:rsidRPr="001F665E">
        <w:rPr>
          <w:spacing w:val="2"/>
        </w:rPr>
        <w:t>e</w:t>
      </w:r>
      <w:r w:rsidRPr="001F665E">
        <w:t>n</w:t>
      </w:r>
      <w:r w:rsidRPr="001F665E">
        <w:rPr>
          <w:spacing w:val="1"/>
        </w:rPr>
        <w:t>v</w:t>
      </w:r>
      <w:r w:rsidRPr="001F665E">
        <w:t>i</w:t>
      </w:r>
      <w:r w:rsidRPr="001F665E">
        <w:rPr>
          <w:spacing w:val="1"/>
        </w:rPr>
        <w:t>r</w:t>
      </w:r>
      <w:r w:rsidRPr="001F665E">
        <w:t>on</w:t>
      </w:r>
      <w:r w:rsidRPr="001F665E">
        <w:rPr>
          <w:spacing w:val="4"/>
        </w:rPr>
        <w:t>m</w:t>
      </w:r>
      <w:r w:rsidRPr="001F665E">
        <w:t>ental</w:t>
      </w:r>
      <w:r w:rsidRPr="001F665E">
        <w:rPr>
          <w:spacing w:val="-15"/>
        </w:rPr>
        <w:t xml:space="preserve"> </w:t>
      </w:r>
      <w:r w:rsidRPr="001F665E">
        <w:t>r</w:t>
      </w:r>
      <w:r w:rsidRPr="001F665E">
        <w:rPr>
          <w:spacing w:val="2"/>
        </w:rPr>
        <w:t>e</w:t>
      </w:r>
      <w:r w:rsidRPr="001F665E">
        <w:t>v</w:t>
      </w:r>
      <w:r w:rsidRPr="001F665E">
        <w:rPr>
          <w:spacing w:val="1"/>
        </w:rPr>
        <w:t>i</w:t>
      </w:r>
      <w:r w:rsidRPr="001F665E">
        <w:rPr>
          <w:spacing w:val="2"/>
        </w:rPr>
        <w:t>e</w:t>
      </w:r>
      <w:r w:rsidRPr="001F665E">
        <w:t>w do</w:t>
      </w:r>
      <w:r w:rsidRPr="001F665E">
        <w:rPr>
          <w:spacing w:val="1"/>
        </w:rPr>
        <w:t>c</w:t>
      </w:r>
      <w:r w:rsidRPr="001F665E">
        <w:t>u</w:t>
      </w:r>
      <w:r w:rsidRPr="001F665E">
        <w:rPr>
          <w:spacing w:val="4"/>
        </w:rPr>
        <w:t>m</w:t>
      </w:r>
      <w:r w:rsidRPr="001F665E">
        <w:t>ent.</w:t>
      </w:r>
    </w:p>
    <w:p w14:paraId="4BB9D648" w14:textId="77777777" w:rsidR="00F42742" w:rsidRPr="00643F24" w:rsidRDefault="00F42742" w:rsidP="00F42742">
      <w:pPr>
        <w:pStyle w:val="StepLevel2"/>
      </w:pPr>
      <w:r w:rsidRPr="00A4067C">
        <w:t>Determine</w:t>
      </w:r>
      <w:r w:rsidRPr="00643F24">
        <w:t xml:space="preserve"> if the project </w:t>
      </w:r>
      <w:proofErr w:type="gramStart"/>
      <w:r w:rsidRPr="00643F24">
        <w:t>is located in</w:t>
      </w:r>
      <w:proofErr w:type="gramEnd"/>
      <w:r w:rsidRPr="00643F24">
        <w:t xml:space="preserve"> an attainment or unclassifiable area for all National Ambient Air Quality Standards (NAAQS). If yes, include </w:t>
      </w:r>
      <w:r w:rsidRPr="00D51EA2">
        <w:rPr>
          <w:color w:val="0056A9" w:themeColor="accent1"/>
          <w:u w:val="single"/>
        </w:rPr>
        <w:fldChar w:fldCharType="begin"/>
      </w:r>
      <w:r w:rsidRPr="00D51EA2">
        <w:rPr>
          <w:color w:val="0056A9" w:themeColor="accent1"/>
          <w:u w:val="single"/>
        </w:rPr>
        <w:instrText xml:space="preserve"> REF _Ref236135150 \h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t>Statement 1</w:t>
      </w:r>
      <w:r w:rsidRPr="00D51EA2">
        <w:rPr>
          <w:color w:val="0056A9" w:themeColor="accent1"/>
          <w:u w:val="single"/>
        </w:rPr>
        <w:fldChar w:fldCharType="end"/>
      </w:r>
      <w:r w:rsidRPr="00643F24">
        <w:t xml:space="preserve"> from </w:t>
      </w:r>
      <w:r w:rsidRPr="00643F24">
        <w:lastRenderedPageBreak/>
        <w:t xml:space="preserve">Appendix A and proceed to Step 3. If </w:t>
      </w:r>
      <w:proofErr w:type="gramStart"/>
      <w:r w:rsidRPr="00643F24">
        <w:t>no</w:t>
      </w:r>
      <w:proofErr w:type="gramEnd"/>
      <w:r w:rsidRPr="00643F24">
        <w:t>, continue to Step 2.2.</w:t>
      </w:r>
    </w:p>
    <w:p w14:paraId="335E7028" w14:textId="77777777" w:rsidR="00F42742" w:rsidRDefault="00F42742" w:rsidP="00F42742">
      <w:pPr>
        <w:pStyle w:val="StepLevel2"/>
      </w:pPr>
      <w:r>
        <w:t>Det</w:t>
      </w:r>
      <w:r w:rsidRPr="00946599">
        <w:t>ermi</w:t>
      </w:r>
      <w:r>
        <w:t>ne</w:t>
      </w:r>
      <w:r w:rsidRPr="00946599">
        <w:t xml:space="preserve"> i</w:t>
      </w:r>
      <w:r>
        <w:t>f</w:t>
      </w:r>
      <w:r w:rsidRPr="00946599">
        <w:t xml:space="preserve"> </w:t>
      </w:r>
      <w:r>
        <w:t>t</w:t>
      </w:r>
      <w:r w:rsidRPr="00946599">
        <w:t>hi</w:t>
      </w:r>
      <w:r>
        <w:t>s pro</w:t>
      </w:r>
      <w:r w:rsidRPr="00946599">
        <w:t>j</w:t>
      </w:r>
      <w:r>
        <w:t>e</w:t>
      </w:r>
      <w:r w:rsidRPr="00946599">
        <w:t>c</w:t>
      </w:r>
      <w:r>
        <w:t>t</w:t>
      </w:r>
      <w:r w:rsidRPr="00946599">
        <w:t xml:space="preserve"> i</w:t>
      </w:r>
      <w:r>
        <w:t>s</w:t>
      </w:r>
      <w:r w:rsidRPr="00946599">
        <w:t xml:space="preserve"> </w:t>
      </w:r>
      <w:r>
        <w:t>an</w:t>
      </w:r>
      <w:r w:rsidRPr="00946599">
        <w:t xml:space="preserve"> </w:t>
      </w:r>
      <w:r>
        <w:t>F</w:t>
      </w:r>
      <w:r w:rsidRPr="00946599">
        <w:t>HWA</w:t>
      </w:r>
      <w:r>
        <w:t xml:space="preserve"> or </w:t>
      </w:r>
      <w:r w:rsidRPr="00946599">
        <w:t>FT</w:t>
      </w:r>
      <w:r>
        <w:t>A</w:t>
      </w:r>
      <w:r w:rsidRPr="00946599">
        <w:t xml:space="preserve"> </w:t>
      </w:r>
      <w:r>
        <w:t>pro</w:t>
      </w:r>
      <w:r w:rsidRPr="00946599">
        <w:t>j</w:t>
      </w:r>
      <w:r>
        <w:t>e</w:t>
      </w:r>
      <w:r w:rsidRPr="00946599">
        <w:t>c</w:t>
      </w:r>
      <w:r>
        <w:t>t.</w:t>
      </w:r>
      <w:r w:rsidRPr="00946599">
        <w:t xml:space="preserve"> I</w:t>
      </w:r>
      <w:r>
        <w:t>f</w:t>
      </w:r>
      <w:r w:rsidRPr="00946599">
        <w:t xml:space="preserve"> </w:t>
      </w:r>
      <w:r>
        <w:t>yes,</w:t>
      </w:r>
      <w:r w:rsidRPr="00946599">
        <w:t xml:space="preserve"> </w:t>
      </w:r>
      <w:r>
        <w:t>pro</w:t>
      </w:r>
      <w:r w:rsidRPr="00946599">
        <w:t>c</w:t>
      </w:r>
      <w:r>
        <w:t>e</w:t>
      </w:r>
      <w:r w:rsidRPr="00946599">
        <w:t>e</w:t>
      </w:r>
      <w:r>
        <w:t>d</w:t>
      </w:r>
      <w:r w:rsidRPr="00946599">
        <w:t xml:space="preserve"> </w:t>
      </w:r>
      <w:r>
        <w:t>to</w:t>
      </w:r>
      <w:r w:rsidRPr="00946599">
        <w:t xml:space="preserve"> S</w:t>
      </w:r>
      <w:r>
        <w:t>t</w:t>
      </w:r>
      <w:r w:rsidRPr="00946599">
        <w:t>e</w:t>
      </w:r>
      <w:r>
        <w:t>p</w:t>
      </w:r>
      <w:r w:rsidRPr="00946599">
        <w:t xml:space="preserve"> 2.</w:t>
      </w:r>
      <w:r>
        <w:t>4.</w:t>
      </w:r>
      <w:r w:rsidRPr="00946599">
        <w:t xml:space="preserve"> </w:t>
      </w:r>
      <w:r>
        <w:t>If</w:t>
      </w:r>
      <w:r w:rsidRPr="00946599">
        <w:t xml:space="preserve"> </w:t>
      </w:r>
      <w:proofErr w:type="gramStart"/>
      <w:r>
        <w:t>n</w:t>
      </w:r>
      <w:r w:rsidRPr="00946599">
        <w:t>o</w:t>
      </w:r>
      <w:proofErr w:type="gramEnd"/>
      <w:r>
        <w:t>,</w:t>
      </w:r>
      <w:r w:rsidRPr="00946599">
        <w:t xml:space="preserve"> c</w:t>
      </w:r>
      <w:r>
        <w:t>o</w:t>
      </w:r>
      <w:r w:rsidRPr="00946599">
        <w:t>n</w:t>
      </w:r>
      <w:r>
        <w:t>t</w:t>
      </w:r>
      <w:r w:rsidRPr="00946599">
        <w:t>i</w:t>
      </w:r>
      <w:r>
        <w:t>n</w:t>
      </w:r>
      <w:r w:rsidRPr="00946599">
        <w:t>u</w:t>
      </w:r>
      <w:r>
        <w:t>e</w:t>
      </w:r>
      <w:r w:rsidRPr="00946599">
        <w:t xml:space="preserve"> </w:t>
      </w:r>
      <w:r>
        <w:t>to</w:t>
      </w:r>
      <w:r w:rsidRPr="00946599">
        <w:t xml:space="preserve"> Step 2.3.</w:t>
      </w:r>
    </w:p>
    <w:p w14:paraId="49018CDE" w14:textId="12B92F90" w:rsidR="00F42742" w:rsidRDefault="00F42742" w:rsidP="00F42742">
      <w:pPr>
        <w:pStyle w:val="StepLevel2"/>
      </w:pPr>
      <w:r w:rsidRPr="00EF36DD">
        <w:t xml:space="preserve">Determine if the project is considered regionally significant. If </w:t>
      </w:r>
      <w:r>
        <w:t>yes</w:t>
      </w:r>
      <w:r w:rsidRPr="00EF36DD">
        <w:t xml:space="preserve">, continue to Step 2.4. If no, include </w:t>
      </w:r>
      <w:hyperlink w:anchor="Statement_2" w:history="1">
        <w:r w:rsidRPr="00D51EA2">
          <w:rPr>
            <w:rStyle w:val="Hyperlink"/>
          </w:rPr>
          <w:fldChar w:fldCharType="begin"/>
        </w:r>
        <w:r w:rsidRPr="00D51EA2">
          <w:rPr>
            <w:color w:val="0056A9" w:themeColor="accent1"/>
            <w:u w:val="single"/>
          </w:rPr>
          <w:instrText xml:space="preserve"> REF _Ref236135284 \h </w:instrText>
        </w:r>
        <w:r w:rsidRPr="00D51EA2">
          <w:rPr>
            <w:rStyle w:val="Hyperlink"/>
          </w:rPr>
        </w:r>
        <w:r w:rsidRPr="00D51EA2">
          <w:rPr>
            <w:rStyle w:val="Hyperlink"/>
          </w:rPr>
          <w:fldChar w:fldCharType="separate"/>
        </w:r>
        <w:r w:rsidRPr="00D51EA2">
          <w:rPr>
            <w:color w:val="0056A9" w:themeColor="accent1"/>
            <w:u w:val="single"/>
          </w:rPr>
          <w:t>Statement 2</w:t>
        </w:r>
        <w:r w:rsidRPr="00D51EA2">
          <w:rPr>
            <w:rStyle w:val="Hyperlink"/>
          </w:rPr>
          <w:fldChar w:fldCharType="end"/>
        </w:r>
      </w:hyperlink>
      <w:r w:rsidRPr="009123BB">
        <w:t xml:space="preserve"> from</w:t>
      </w:r>
      <w:r w:rsidRPr="00EF36DD">
        <w:t xml:space="preserve"> Appendix A, and customize the statement with </w:t>
      </w:r>
      <w:proofErr w:type="gramStart"/>
      <w:r w:rsidRPr="00EF36DD">
        <w:t>project specifics</w:t>
      </w:r>
      <w:proofErr w:type="gramEnd"/>
      <w:r w:rsidRPr="00EF36DD">
        <w:t>; proceed to Step</w:t>
      </w:r>
      <w:r w:rsidR="000402C5">
        <w:t xml:space="preserve"> 3.0.</w:t>
      </w:r>
    </w:p>
    <w:p w14:paraId="5B85EE6C" w14:textId="77777777" w:rsidR="00F42742" w:rsidRDefault="00F42742" w:rsidP="00F42742">
      <w:pPr>
        <w:pStyle w:val="StepLevel2"/>
      </w:pPr>
      <w:r w:rsidRPr="00C65A8F">
        <w:t xml:space="preserve">Determine if the project </w:t>
      </w:r>
      <w:proofErr w:type="gramStart"/>
      <w:r w:rsidRPr="00C65A8F">
        <w:t>is located in</w:t>
      </w:r>
      <w:proofErr w:type="gramEnd"/>
      <w:r w:rsidRPr="00C65A8F">
        <w:t xml:space="preserve"> </w:t>
      </w:r>
      <w:r>
        <w:t xml:space="preserve">Jefferson, Orange, or Hardin counties. </w:t>
      </w:r>
      <w:r w:rsidRPr="00C65A8F">
        <w:t xml:space="preserve">If </w:t>
      </w:r>
      <w:r>
        <w:t>yes</w:t>
      </w:r>
      <w:r w:rsidRPr="00C65A8F">
        <w:t xml:space="preserve">, include </w:t>
      </w:r>
      <w:r w:rsidRPr="00D51EA2">
        <w:rPr>
          <w:color w:val="0056A9" w:themeColor="accent1"/>
          <w:u w:val="single"/>
        </w:rPr>
        <w:fldChar w:fldCharType="begin"/>
      </w:r>
      <w:r w:rsidRPr="00D51EA2">
        <w:rPr>
          <w:color w:val="0056A9" w:themeColor="accent1"/>
          <w:u w:val="single"/>
        </w:rPr>
        <w:instrText xml:space="preserve"> REF _Ref227308630 \h  \* MERGEFORMAT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fldChar w:fldCharType="begin"/>
      </w:r>
      <w:r w:rsidRPr="00D51EA2">
        <w:rPr>
          <w:color w:val="0056A9" w:themeColor="accent1"/>
          <w:u w:val="single"/>
        </w:rPr>
        <w:instrText xml:space="preserve"> REF _Ref236135391 \h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t>Statement 25</w:t>
      </w:r>
      <w:r w:rsidRPr="00D51EA2">
        <w:rPr>
          <w:color w:val="0056A9" w:themeColor="accent1"/>
          <w:u w:val="single"/>
        </w:rPr>
        <w:fldChar w:fldCharType="end"/>
      </w:r>
      <w:r w:rsidRPr="00D51EA2">
        <w:rPr>
          <w:color w:val="0056A9" w:themeColor="accent1"/>
          <w:u w:val="single"/>
        </w:rPr>
        <w:fldChar w:fldCharType="end"/>
      </w:r>
      <w:r w:rsidRPr="00D51EA2">
        <w:t xml:space="preserve"> fr</w:t>
      </w:r>
      <w:r w:rsidRPr="00DE77D3">
        <w:t>om</w:t>
      </w:r>
      <w:r w:rsidRPr="00C65A8F">
        <w:t xml:space="preserve"> Appendix A</w:t>
      </w:r>
      <w:r>
        <w:t xml:space="preserve"> and</w:t>
      </w:r>
      <w:r w:rsidRPr="00C65A8F">
        <w:t xml:space="preserve"> </w:t>
      </w:r>
      <w:r>
        <w:t>proceed</w:t>
      </w:r>
      <w:r w:rsidRPr="00C65A8F">
        <w:t xml:space="preserve"> to Step </w:t>
      </w:r>
      <w:r>
        <w:t>2.6</w:t>
      </w:r>
      <w:r w:rsidRPr="00C65A8F">
        <w:t xml:space="preserve">. If no, </w:t>
      </w:r>
      <w:r>
        <w:t>continue</w:t>
      </w:r>
      <w:r w:rsidRPr="00C65A8F">
        <w:t xml:space="preserve"> to Step 2.</w:t>
      </w:r>
      <w:r>
        <w:t>5.</w:t>
      </w:r>
    </w:p>
    <w:p w14:paraId="3C1893E7" w14:textId="77777777" w:rsidR="00F42742" w:rsidRDefault="00F42742" w:rsidP="00F42742">
      <w:pPr>
        <w:pStyle w:val="StepLevel2"/>
      </w:pPr>
      <w:r w:rsidRPr="00C65A8F">
        <w:t xml:space="preserve">Determine if the project </w:t>
      </w:r>
      <w:proofErr w:type="gramStart"/>
      <w:r w:rsidRPr="00C65A8F">
        <w:t>is located in</w:t>
      </w:r>
      <w:proofErr w:type="gramEnd"/>
      <w:r w:rsidRPr="00C65A8F">
        <w:t xml:space="preserve"> a nonattainment</w:t>
      </w:r>
      <w:r>
        <w:t xml:space="preserve"> (NA)</w:t>
      </w:r>
      <w:r w:rsidRPr="00C65A8F">
        <w:t xml:space="preserve"> or maintenance area (MA) for ozone, CO, particulate matter (PM), or nitrogen dioxide (NO</w:t>
      </w:r>
      <w:r w:rsidRPr="0067067A">
        <w:t>2</w:t>
      </w:r>
      <w:r w:rsidRPr="00C65A8F">
        <w:t xml:space="preserve">). If </w:t>
      </w:r>
      <w:r>
        <w:t>yes</w:t>
      </w:r>
      <w:r w:rsidRPr="00C65A8F">
        <w:t>, include</w:t>
      </w:r>
      <w:r>
        <w:t xml:space="preserve"> </w:t>
      </w:r>
      <w:r w:rsidRPr="00D51EA2">
        <w:rPr>
          <w:color w:val="0056A9" w:themeColor="accent1"/>
          <w:u w:val="single"/>
        </w:rPr>
        <w:fldChar w:fldCharType="begin"/>
      </w:r>
      <w:r w:rsidRPr="00D51EA2">
        <w:rPr>
          <w:color w:val="0056A9" w:themeColor="accent1"/>
          <w:u w:val="single"/>
        </w:rPr>
        <w:instrText xml:space="preserve"> REF _Ref236136820 \h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t>Statement 3</w:t>
      </w:r>
      <w:r w:rsidRPr="00D51EA2">
        <w:rPr>
          <w:color w:val="0056A9" w:themeColor="accent1"/>
          <w:u w:val="single"/>
        </w:rPr>
        <w:fldChar w:fldCharType="end"/>
      </w:r>
      <w:r>
        <w:t xml:space="preserve"> </w:t>
      </w:r>
      <w:r w:rsidRPr="00236CDD">
        <w:t>from</w:t>
      </w:r>
      <w:r w:rsidRPr="00C65A8F">
        <w:t xml:space="preserve"> Appendix A, and customize it to address the project specifics; continue to Step 2.</w:t>
      </w:r>
      <w:r>
        <w:t>6</w:t>
      </w:r>
      <w:r w:rsidRPr="00C65A8F">
        <w:t xml:space="preserve">. If </w:t>
      </w:r>
      <w:proofErr w:type="gramStart"/>
      <w:r w:rsidRPr="00C65A8F">
        <w:t>no</w:t>
      </w:r>
      <w:proofErr w:type="gramEnd"/>
      <w:r w:rsidRPr="00C65A8F">
        <w:t>, proceed to Step 2.</w:t>
      </w:r>
      <w:r>
        <w:t>9.</w:t>
      </w:r>
    </w:p>
    <w:p w14:paraId="15EEE9A0" w14:textId="77777777" w:rsidR="00F42742" w:rsidRDefault="00F42742" w:rsidP="00F42742">
      <w:pPr>
        <w:pStyle w:val="StepLevel2"/>
      </w:pPr>
      <w:r w:rsidRPr="00C65A8F">
        <w:t xml:space="preserve">Determine if the project is exempt from conformity under </w:t>
      </w:r>
      <w:r w:rsidRPr="00591DCA">
        <w:rPr>
          <w:rFonts w:cs="Times New Roman"/>
        </w:rPr>
        <w:t xml:space="preserve">40 Code of Federal Regulations (CFR) 93.126 </w:t>
      </w:r>
      <w:r w:rsidRPr="00C65A8F">
        <w:t xml:space="preserve">or </w:t>
      </w:r>
      <w:r w:rsidRPr="00591DCA">
        <w:rPr>
          <w:rFonts w:cs="Times New Roman"/>
        </w:rPr>
        <w:t>40 CFR 93.128</w:t>
      </w:r>
      <w:r w:rsidRPr="00C65A8F">
        <w:t xml:space="preserve">. If </w:t>
      </w:r>
      <w:r>
        <w:t>yes</w:t>
      </w:r>
      <w:r w:rsidRPr="00C65A8F">
        <w:t xml:space="preserve">, include </w:t>
      </w:r>
      <w:r w:rsidRPr="00D51EA2">
        <w:rPr>
          <w:color w:val="0056A9" w:themeColor="accent1"/>
          <w:u w:val="single"/>
        </w:rPr>
        <w:fldChar w:fldCharType="begin"/>
      </w:r>
      <w:r w:rsidRPr="00D51EA2">
        <w:rPr>
          <w:color w:val="0056A9" w:themeColor="accent1"/>
          <w:u w:val="single"/>
        </w:rPr>
        <w:instrText xml:space="preserve"> REF _Ref236136838 \h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t>Statement 4</w:t>
      </w:r>
      <w:r w:rsidRPr="00D51EA2">
        <w:rPr>
          <w:color w:val="0056A9" w:themeColor="accent1"/>
          <w:u w:val="single"/>
        </w:rPr>
        <w:fldChar w:fldCharType="end"/>
      </w:r>
      <w:r>
        <w:t xml:space="preserve"> </w:t>
      </w:r>
      <w:r w:rsidRPr="00B72A51">
        <w:t>from</w:t>
      </w:r>
      <w:r w:rsidRPr="00C65A8F">
        <w:t xml:space="preserve"> Appendix A, and customize the statement with project specifics; proceed to Step 2.</w:t>
      </w:r>
      <w:r>
        <w:t>9.</w:t>
      </w:r>
      <w:r w:rsidRPr="00C65A8F">
        <w:t xml:space="preserve"> If </w:t>
      </w:r>
      <w:proofErr w:type="gramStart"/>
      <w:r w:rsidRPr="00C65A8F">
        <w:t>no</w:t>
      </w:r>
      <w:proofErr w:type="gramEnd"/>
      <w:r w:rsidRPr="00C65A8F">
        <w:t>, continue to Step 2.</w:t>
      </w:r>
      <w:r>
        <w:t>7</w:t>
      </w:r>
      <w:r w:rsidRPr="00C65A8F">
        <w:t>.</w:t>
      </w:r>
    </w:p>
    <w:p w14:paraId="09855766" w14:textId="77777777" w:rsidR="00F42742" w:rsidRDefault="00F42742" w:rsidP="00F42742">
      <w:pPr>
        <w:pStyle w:val="StepLevel2"/>
      </w:pPr>
      <w:r w:rsidRPr="00C65A8F">
        <w:t>Determine if the project is exempt from the regional conformity analysis under</w:t>
      </w:r>
      <w:r w:rsidRPr="00591DCA">
        <w:t xml:space="preserve"> 40 CFR 93.127.</w:t>
      </w:r>
      <w:r w:rsidRPr="00C65A8F">
        <w:t xml:space="preserve"> If </w:t>
      </w:r>
      <w:r>
        <w:t>yes</w:t>
      </w:r>
      <w:r w:rsidRPr="00C65A8F">
        <w:t xml:space="preserve">, include </w:t>
      </w:r>
      <w:r w:rsidRPr="00D51EA2">
        <w:rPr>
          <w:color w:val="0056A9" w:themeColor="accent1"/>
          <w:u w:val="single"/>
        </w:rPr>
        <w:fldChar w:fldCharType="begin"/>
      </w:r>
      <w:r w:rsidRPr="00D51EA2">
        <w:rPr>
          <w:color w:val="0056A9" w:themeColor="accent1"/>
          <w:u w:val="single"/>
        </w:rPr>
        <w:instrText xml:space="preserve"> REF _Ref236136862 \h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t>Statement 5</w:t>
      </w:r>
      <w:r w:rsidRPr="00D51EA2">
        <w:rPr>
          <w:color w:val="0056A9" w:themeColor="accent1"/>
          <w:u w:val="single"/>
        </w:rPr>
        <w:fldChar w:fldCharType="end"/>
      </w:r>
      <w:r>
        <w:t xml:space="preserve"> </w:t>
      </w:r>
      <w:r w:rsidRPr="000115D9">
        <w:t>from</w:t>
      </w:r>
      <w:r w:rsidRPr="00C65A8F">
        <w:t xml:space="preserve"> Appendix A, and customize the statement with </w:t>
      </w:r>
      <w:proofErr w:type="gramStart"/>
      <w:r w:rsidRPr="00C65A8F">
        <w:t>project specifics</w:t>
      </w:r>
      <w:proofErr w:type="gramEnd"/>
      <w:r w:rsidRPr="00C65A8F">
        <w:t>; proceed to Step 2.</w:t>
      </w:r>
      <w:r>
        <w:t>9</w:t>
      </w:r>
      <w:r w:rsidRPr="00C65A8F">
        <w:t xml:space="preserve">. If </w:t>
      </w:r>
      <w:proofErr w:type="gramStart"/>
      <w:r w:rsidRPr="00C65A8F">
        <w:t>no</w:t>
      </w:r>
      <w:proofErr w:type="gramEnd"/>
      <w:r w:rsidRPr="00C65A8F">
        <w:t>, continue to Step 2.</w:t>
      </w:r>
      <w:r>
        <w:t>8</w:t>
      </w:r>
      <w:r w:rsidRPr="00C65A8F">
        <w:t>.</w:t>
      </w:r>
    </w:p>
    <w:p w14:paraId="5B76A757" w14:textId="77777777" w:rsidR="00F42742" w:rsidRPr="00604D2C" w:rsidRDefault="00F42742" w:rsidP="00F42742">
      <w:pPr>
        <w:pStyle w:val="StepLevel2"/>
      </w:pPr>
      <w:r w:rsidRPr="00604D2C">
        <w:lastRenderedPageBreak/>
        <w:t>Determine if the project is consistent</w:t>
      </w:r>
      <w:r w:rsidRPr="0047523A">
        <w:rPr>
          <w:vertAlign w:val="superscript"/>
        </w:rPr>
        <w:footnoteReference w:id="2"/>
      </w:r>
      <w:r w:rsidRPr="00604D2C">
        <w:t xml:space="preserve"> with the area’s current Metropolitan Transportation Plan (MTP) and Transportation Improvement Program (TIP). If </w:t>
      </w:r>
      <w:r>
        <w:t>yes</w:t>
      </w:r>
      <w:r w:rsidRPr="00604D2C">
        <w:t xml:space="preserve">, include </w:t>
      </w:r>
      <w:r w:rsidRPr="00D51EA2">
        <w:rPr>
          <w:color w:val="0056A9" w:themeColor="accent1"/>
          <w:u w:val="single"/>
        </w:rPr>
        <w:fldChar w:fldCharType="begin"/>
      </w:r>
      <w:r w:rsidRPr="00D51EA2">
        <w:rPr>
          <w:color w:val="0056A9" w:themeColor="accent1"/>
          <w:u w:val="single"/>
        </w:rPr>
        <w:instrText xml:space="preserve"> REF _Ref236136883 \h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t>Statement 6</w:t>
      </w:r>
      <w:r w:rsidRPr="00D51EA2">
        <w:rPr>
          <w:color w:val="0056A9" w:themeColor="accent1"/>
          <w:u w:val="single"/>
        </w:rPr>
        <w:fldChar w:fldCharType="end"/>
      </w:r>
      <w:r>
        <w:t xml:space="preserve"> </w:t>
      </w:r>
      <w:r w:rsidRPr="006C68C6">
        <w:t>from</w:t>
      </w:r>
      <w:r w:rsidRPr="00604D2C">
        <w:t xml:space="preserve"> Appendix A. If </w:t>
      </w:r>
      <w:proofErr w:type="gramStart"/>
      <w:r w:rsidRPr="00604D2C">
        <w:t>no</w:t>
      </w:r>
      <w:proofErr w:type="gramEnd"/>
      <w:r w:rsidRPr="00604D2C">
        <w:t>, include</w:t>
      </w:r>
      <w:r>
        <w:t xml:space="preserve"> </w:t>
      </w:r>
      <w:r w:rsidRPr="00D51EA2">
        <w:rPr>
          <w:color w:val="0056A9" w:themeColor="accent1"/>
          <w:u w:val="single"/>
        </w:rPr>
        <w:fldChar w:fldCharType="begin"/>
      </w:r>
      <w:r w:rsidRPr="00D51EA2">
        <w:rPr>
          <w:color w:val="0056A9" w:themeColor="accent1"/>
          <w:u w:val="single"/>
        </w:rPr>
        <w:instrText xml:space="preserve"> REF _Ref236136901 \h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t>Statement 7</w:t>
      </w:r>
      <w:r w:rsidRPr="00D51EA2">
        <w:rPr>
          <w:color w:val="0056A9" w:themeColor="accent1"/>
          <w:u w:val="single"/>
        </w:rPr>
        <w:fldChar w:fldCharType="end"/>
      </w:r>
      <w:r w:rsidRPr="00604D2C">
        <w:t xml:space="preserve"> </w:t>
      </w:r>
      <w:r w:rsidRPr="004F05DE">
        <w:t>from</w:t>
      </w:r>
      <w:r w:rsidRPr="00604D2C">
        <w:t xml:space="preserve"> Appendix A. Customize the appropriate statement with project specifics, and continue to Step 2.9</w:t>
      </w:r>
      <w:r>
        <w:t>.</w:t>
      </w:r>
    </w:p>
    <w:p w14:paraId="71FE92CA" w14:textId="77777777" w:rsidR="00F42742" w:rsidRDefault="00F42742" w:rsidP="00F42742">
      <w:pPr>
        <w:pStyle w:val="StepLevel2"/>
      </w:pPr>
      <w:r w:rsidRPr="00C65A8F">
        <w:t xml:space="preserve">Determine if the project is located within the Collin County </w:t>
      </w:r>
      <w:r>
        <w:t>maintenance</w:t>
      </w:r>
      <w:r w:rsidRPr="00C65A8F">
        <w:t xml:space="preserve"> area for lead. If </w:t>
      </w:r>
      <w:r>
        <w:t>yes</w:t>
      </w:r>
      <w:r w:rsidRPr="00C65A8F">
        <w:t xml:space="preserve">, include </w:t>
      </w:r>
      <w:r w:rsidRPr="00D51EA2">
        <w:rPr>
          <w:color w:val="0056A9" w:themeColor="accent1"/>
          <w:u w:val="single"/>
        </w:rPr>
        <w:fldChar w:fldCharType="begin"/>
      </w:r>
      <w:r w:rsidRPr="00D51EA2">
        <w:rPr>
          <w:color w:val="0056A9" w:themeColor="accent1"/>
          <w:u w:val="single"/>
        </w:rPr>
        <w:instrText xml:space="preserve"> REF _Ref236136918 \h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t>Statement 8</w:t>
      </w:r>
      <w:r w:rsidRPr="00D51EA2">
        <w:rPr>
          <w:color w:val="0056A9" w:themeColor="accent1"/>
          <w:u w:val="single"/>
        </w:rPr>
        <w:fldChar w:fldCharType="end"/>
      </w:r>
      <w:r>
        <w:t xml:space="preserve"> </w:t>
      </w:r>
      <w:r w:rsidRPr="00A22A41">
        <w:t>f</w:t>
      </w:r>
      <w:r w:rsidRPr="00CA5BAA">
        <w:t>rom</w:t>
      </w:r>
      <w:r w:rsidRPr="00C65A8F">
        <w:t xml:space="preserve"> Appendix A</w:t>
      </w:r>
      <w:r>
        <w:t>.</w:t>
      </w:r>
      <w:r w:rsidRPr="00C65A8F">
        <w:t xml:space="preserve"> </w:t>
      </w:r>
      <w:r>
        <w:t>Regardless,</w:t>
      </w:r>
      <w:r w:rsidRPr="00C65A8F">
        <w:t xml:space="preserve"> continue to Step 2.</w:t>
      </w:r>
      <w:r>
        <w:t>10</w:t>
      </w:r>
      <w:r w:rsidRPr="00C65A8F">
        <w:t>.</w:t>
      </w:r>
    </w:p>
    <w:p w14:paraId="4E523596" w14:textId="47165794" w:rsidR="00F42742" w:rsidRDefault="00F42742" w:rsidP="00F42742">
      <w:pPr>
        <w:pStyle w:val="StepLevel2"/>
      </w:pPr>
      <w:r w:rsidRPr="00C65A8F">
        <w:t xml:space="preserve">Determine if the project is located with one of the nonattainment areas for </w:t>
      </w:r>
      <w:r w:rsidR="00DC7A5A" w:rsidRPr="00C65A8F">
        <w:t xml:space="preserve">sulfur dioxide </w:t>
      </w:r>
      <w:r w:rsidRPr="00C65A8F">
        <w:t xml:space="preserve">(SO2). If </w:t>
      </w:r>
      <w:r>
        <w:t>yes</w:t>
      </w:r>
      <w:r w:rsidRPr="00C65A8F">
        <w:t>, include</w:t>
      </w:r>
      <w:r>
        <w:t xml:space="preserve"> </w:t>
      </w:r>
      <w:r w:rsidRPr="00D51EA2">
        <w:rPr>
          <w:color w:val="0056A9" w:themeColor="accent1"/>
          <w:u w:val="single"/>
        </w:rPr>
        <w:fldChar w:fldCharType="begin"/>
      </w:r>
      <w:r w:rsidRPr="00D51EA2">
        <w:rPr>
          <w:color w:val="0056A9" w:themeColor="accent1"/>
          <w:u w:val="single"/>
        </w:rPr>
        <w:instrText xml:space="preserve"> REF _Ref227310296 \h  \* MERGEFORMAT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fldChar w:fldCharType="begin"/>
      </w:r>
      <w:r w:rsidRPr="00D51EA2">
        <w:rPr>
          <w:color w:val="0056A9" w:themeColor="accent1"/>
          <w:u w:val="single"/>
        </w:rPr>
        <w:instrText xml:space="preserve"> REF _Ref236136939 \h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t>Statement 24</w:t>
      </w:r>
      <w:r w:rsidRPr="00D51EA2">
        <w:rPr>
          <w:color w:val="0056A9" w:themeColor="accent1"/>
          <w:u w:val="single"/>
        </w:rPr>
        <w:fldChar w:fldCharType="end"/>
      </w:r>
      <w:r w:rsidRPr="00D51EA2">
        <w:rPr>
          <w:color w:val="0056A9" w:themeColor="accent1"/>
          <w:u w:val="single"/>
        </w:rPr>
        <w:fldChar w:fldCharType="end"/>
      </w:r>
      <w:r w:rsidRPr="00D51EA2">
        <w:rPr>
          <w:color w:val="0056A9"/>
        </w:rPr>
        <w:t xml:space="preserve"> </w:t>
      </w:r>
      <w:r w:rsidRPr="00D51EA2">
        <w:t>fr</w:t>
      </w:r>
      <w:r w:rsidRPr="003A708E">
        <w:t xml:space="preserve">om </w:t>
      </w:r>
      <w:r w:rsidRPr="00C65A8F">
        <w:t>Appendix A</w:t>
      </w:r>
      <w:r>
        <w:t>. Regardless,</w:t>
      </w:r>
      <w:r w:rsidRPr="00C65A8F">
        <w:t xml:space="preserve"> continue to Step 3.</w:t>
      </w:r>
    </w:p>
    <w:p w14:paraId="42DE8C0A" w14:textId="77777777" w:rsidR="00F42742" w:rsidRDefault="00F42742" w:rsidP="00F42742">
      <w:pPr>
        <w:pStyle w:val="StepLevel1"/>
      </w:pPr>
      <w:r>
        <w:t xml:space="preserve">Identify the appropriate finding statement for a hot-spot analysis by completing Steps 3.1 through 3.5 as </w:t>
      </w:r>
      <w:proofErr w:type="gramStart"/>
      <w:r>
        <w:t>directed, and</w:t>
      </w:r>
      <w:proofErr w:type="gramEnd"/>
      <w:r>
        <w:t xml:space="preserve"> place the statement in the hot-spot analysis section of the environmental review document.</w:t>
      </w:r>
    </w:p>
    <w:p w14:paraId="6EAF3F96" w14:textId="77777777" w:rsidR="00F42742" w:rsidRDefault="00F42742" w:rsidP="00F42742">
      <w:pPr>
        <w:pStyle w:val="StepLevel2"/>
      </w:pPr>
      <w:r>
        <w:t>Determine if the project is within a nonattainment or maintenance area for CO or PM. If yes, continue to Step 3.2. If no, no declaration is necessary; proceed to Step 4.</w:t>
      </w:r>
    </w:p>
    <w:p w14:paraId="5427432B" w14:textId="77777777" w:rsidR="00F42742" w:rsidRDefault="00F42742" w:rsidP="00F42742">
      <w:pPr>
        <w:pStyle w:val="StepLevel2"/>
      </w:pPr>
      <w:r>
        <w:t xml:space="preserve">Determinate if the project is an FHWA or FTA project. If yes, continue to Step 3.3. If </w:t>
      </w:r>
      <w:proofErr w:type="gramStart"/>
      <w:r>
        <w:t>no</w:t>
      </w:r>
      <w:proofErr w:type="gramEnd"/>
      <w:r>
        <w:t xml:space="preserve">, include </w:t>
      </w:r>
      <w:r w:rsidRPr="00D51EA2">
        <w:rPr>
          <w:color w:val="0056A9" w:themeColor="accent1"/>
          <w:u w:val="single"/>
        </w:rPr>
        <w:fldChar w:fldCharType="begin"/>
      </w:r>
      <w:r w:rsidRPr="00D51EA2">
        <w:rPr>
          <w:color w:val="0056A9" w:themeColor="accent1"/>
          <w:u w:val="single"/>
        </w:rPr>
        <w:instrText xml:space="preserve"> REF _Ref227310631 \h  \* MERGEFORMAT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fldChar w:fldCharType="begin"/>
      </w:r>
      <w:r w:rsidRPr="00D51EA2">
        <w:rPr>
          <w:color w:val="0056A9" w:themeColor="accent1"/>
          <w:u w:val="single"/>
        </w:rPr>
        <w:instrText xml:space="preserve"> REF _Ref236136981 \h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t>Statement 10</w:t>
      </w:r>
      <w:r w:rsidRPr="00D51EA2">
        <w:rPr>
          <w:color w:val="0056A9" w:themeColor="accent1"/>
          <w:u w:val="single"/>
        </w:rPr>
        <w:fldChar w:fldCharType="end"/>
      </w:r>
      <w:r w:rsidRPr="00D51EA2">
        <w:rPr>
          <w:color w:val="0056A9" w:themeColor="accent1"/>
          <w:u w:val="single"/>
        </w:rPr>
        <w:fldChar w:fldCharType="end"/>
      </w:r>
      <w:r w:rsidRPr="00D51EA2">
        <w:rPr>
          <w:color w:val="0056A9"/>
        </w:rPr>
        <w:t xml:space="preserve"> </w:t>
      </w:r>
      <w:r w:rsidRPr="00D51EA2">
        <w:t>fr</w:t>
      </w:r>
      <w:r w:rsidRPr="0053271B">
        <w:t>om</w:t>
      </w:r>
      <w:r>
        <w:t xml:space="preserve"> Appendix A, and proceed to Step 4.</w:t>
      </w:r>
    </w:p>
    <w:p w14:paraId="0148B532" w14:textId="77777777" w:rsidR="00F42742" w:rsidRDefault="00F42742" w:rsidP="00F42742">
      <w:pPr>
        <w:pStyle w:val="StepLevel2"/>
      </w:pPr>
      <w:r>
        <w:lastRenderedPageBreak/>
        <w:t>Determine if the project is exempt from conformity under</w:t>
      </w:r>
      <w:r w:rsidRPr="00C65A8F">
        <w:t xml:space="preserve"> </w:t>
      </w:r>
      <w:r w:rsidRPr="00591DCA">
        <w:rPr>
          <w:rFonts w:cs="Times New Roman"/>
        </w:rPr>
        <w:t xml:space="preserve">40 CFR 93.126 </w:t>
      </w:r>
      <w:r w:rsidRPr="00C65A8F">
        <w:t xml:space="preserve">or </w:t>
      </w:r>
      <w:r w:rsidRPr="00591DCA">
        <w:rPr>
          <w:rFonts w:cs="Times New Roman"/>
        </w:rPr>
        <w:t>40 CFR 93.128</w:t>
      </w:r>
      <w:r w:rsidRPr="00C65A8F">
        <w:t>.</w:t>
      </w:r>
      <w:r>
        <w:t xml:space="preserve"> If yes, include </w:t>
      </w:r>
      <w:r w:rsidRPr="00D51EA2">
        <w:rPr>
          <w:color w:val="0056A9" w:themeColor="accent1"/>
          <w:u w:val="single"/>
        </w:rPr>
        <w:fldChar w:fldCharType="begin"/>
      </w:r>
      <w:r w:rsidRPr="00D51EA2">
        <w:rPr>
          <w:color w:val="0056A9" w:themeColor="accent1"/>
          <w:u w:val="single"/>
        </w:rPr>
        <w:instrText xml:space="preserve"> REF _Ref236137013 \h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t>Statement 11</w:t>
      </w:r>
      <w:r w:rsidRPr="00D51EA2">
        <w:rPr>
          <w:color w:val="0056A9" w:themeColor="accent1"/>
          <w:u w:val="single"/>
        </w:rPr>
        <w:fldChar w:fldCharType="end"/>
      </w:r>
      <w:r>
        <w:t xml:space="preserve"> </w:t>
      </w:r>
      <w:r w:rsidRPr="00640D1F">
        <w:t>from</w:t>
      </w:r>
      <w:r>
        <w:t xml:space="preserve"> Appendix A, and customize the statement with project specifics; proceed to Step 4. If no, continue to Step 3.4.</w:t>
      </w:r>
    </w:p>
    <w:p w14:paraId="5D5BFA35" w14:textId="77777777" w:rsidR="00F42742" w:rsidRDefault="00F42742" w:rsidP="00F42742">
      <w:pPr>
        <w:pStyle w:val="StepLevel2"/>
      </w:pPr>
      <w:r>
        <w:t>Identify whether the Consultation Partners determined</w:t>
      </w:r>
      <w:r w:rsidRPr="00B527B7">
        <w:rPr>
          <w:vertAlign w:val="superscript"/>
        </w:rPr>
        <w:footnoteReference w:id="3"/>
      </w:r>
      <w:r>
        <w:t xml:space="preserve"> that this is a project of air quality concern. If yes, continue to Step 3.5. If </w:t>
      </w:r>
      <w:proofErr w:type="gramStart"/>
      <w:r>
        <w:t>no</w:t>
      </w:r>
      <w:proofErr w:type="gramEnd"/>
      <w:r>
        <w:t xml:space="preserve">, include </w:t>
      </w:r>
      <w:r w:rsidRPr="00D51EA2">
        <w:rPr>
          <w:color w:val="0056A9" w:themeColor="accent1"/>
          <w:u w:val="single"/>
        </w:rPr>
        <w:fldChar w:fldCharType="begin"/>
      </w:r>
      <w:r w:rsidRPr="00D51EA2">
        <w:rPr>
          <w:color w:val="0056A9" w:themeColor="accent1"/>
          <w:u w:val="single"/>
        </w:rPr>
        <w:instrText xml:space="preserve"> REF _Ref227310936 \h  \* MERGEFORMAT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fldChar w:fldCharType="begin"/>
      </w:r>
      <w:r w:rsidRPr="00D51EA2">
        <w:rPr>
          <w:color w:val="0056A9" w:themeColor="accent1"/>
          <w:u w:val="single"/>
        </w:rPr>
        <w:instrText xml:space="preserve"> REF _Ref236137031 \h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t>Statement 12</w:t>
      </w:r>
      <w:r w:rsidRPr="00D51EA2">
        <w:rPr>
          <w:color w:val="0056A9" w:themeColor="accent1"/>
          <w:u w:val="single"/>
        </w:rPr>
        <w:fldChar w:fldCharType="end"/>
      </w:r>
      <w:r w:rsidRPr="00D51EA2">
        <w:rPr>
          <w:color w:val="0056A9" w:themeColor="accent1"/>
          <w:u w:val="single"/>
        </w:rPr>
        <w:fldChar w:fldCharType="end"/>
      </w:r>
      <w:r>
        <w:t xml:space="preserve"> </w:t>
      </w:r>
      <w:r w:rsidRPr="00F468F5">
        <w:t>from</w:t>
      </w:r>
      <w:r>
        <w:t xml:space="preserve"> Appendix A, and customize the statement with </w:t>
      </w:r>
      <w:proofErr w:type="gramStart"/>
      <w:r>
        <w:t>project specifics</w:t>
      </w:r>
      <w:proofErr w:type="gramEnd"/>
      <w:r>
        <w:t>; proceed to Step 4.</w:t>
      </w:r>
    </w:p>
    <w:p w14:paraId="2C9AA231" w14:textId="77777777" w:rsidR="00F42742" w:rsidRDefault="00F42742" w:rsidP="00F42742">
      <w:pPr>
        <w:pStyle w:val="StepLevel2"/>
      </w:pPr>
      <w:r>
        <w:t xml:space="preserve">Using the hot-spot analysis technical report </w:t>
      </w:r>
      <w:proofErr w:type="gramStart"/>
      <w:r>
        <w:t>determine</w:t>
      </w:r>
      <w:proofErr w:type="gramEnd"/>
      <w:r>
        <w:t xml:space="preserve"> whether the No Build Alternative was also analyzed. If yes, include </w:t>
      </w:r>
      <w:r w:rsidRPr="00D51EA2">
        <w:rPr>
          <w:color w:val="0056A9" w:themeColor="accent1"/>
          <w:u w:val="single"/>
        </w:rPr>
        <w:fldChar w:fldCharType="begin"/>
      </w:r>
      <w:r w:rsidRPr="00D51EA2">
        <w:rPr>
          <w:color w:val="0056A9" w:themeColor="accent1"/>
          <w:u w:val="single"/>
        </w:rPr>
        <w:instrText xml:space="preserve"> REF _Ref236137059 \h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t>Statement 14</w:t>
      </w:r>
      <w:r w:rsidRPr="00D51EA2">
        <w:rPr>
          <w:color w:val="0056A9" w:themeColor="accent1"/>
          <w:u w:val="single"/>
        </w:rPr>
        <w:fldChar w:fldCharType="end"/>
      </w:r>
      <w:r w:rsidRPr="00BA7B15">
        <w:rPr>
          <w:color w:val="0056A9"/>
        </w:rPr>
        <w:t xml:space="preserve"> </w:t>
      </w:r>
      <w:r w:rsidRPr="0018433E">
        <w:t>from</w:t>
      </w:r>
      <w:r>
        <w:t xml:space="preserve"> Appendix A to summarize the analysis. If </w:t>
      </w:r>
      <w:proofErr w:type="gramStart"/>
      <w:r>
        <w:t>no</w:t>
      </w:r>
      <w:proofErr w:type="gramEnd"/>
      <w:r>
        <w:t xml:space="preserve">, include </w:t>
      </w:r>
      <w:r w:rsidRPr="00D51EA2">
        <w:rPr>
          <w:color w:val="0056A9" w:themeColor="accent1"/>
          <w:u w:val="single"/>
        </w:rPr>
        <w:fldChar w:fldCharType="begin"/>
      </w:r>
      <w:r w:rsidRPr="00D51EA2">
        <w:rPr>
          <w:color w:val="0056A9" w:themeColor="accent1"/>
          <w:u w:val="single"/>
        </w:rPr>
        <w:instrText xml:space="preserve"> REF _Ref236137077 \h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t>Statement 13</w:t>
      </w:r>
      <w:r w:rsidRPr="00D51EA2">
        <w:rPr>
          <w:color w:val="0056A9" w:themeColor="accent1"/>
          <w:u w:val="single"/>
        </w:rPr>
        <w:fldChar w:fldCharType="end"/>
      </w:r>
      <w:r>
        <w:t xml:space="preserve"> f</w:t>
      </w:r>
      <w:r w:rsidRPr="00E22BB5">
        <w:t>rom</w:t>
      </w:r>
      <w:r>
        <w:t xml:space="preserve"> Appendix A to summarize the analysis. Customize the appropriate statement with project </w:t>
      </w:r>
      <w:proofErr w:type="gramStart"/>
      <w:r>
        <w:t>specifics, and</w:t>
      </w:r>
      <w:proofErr w:type="gramEnd"/>
      <w:r>
        <w:t xml:space="preserve"> continue to Step 4.</w:t>
      </w:r>
    </w:p>
    <w:p w14:paraId="434CF610" w14:textId="77777777" w:rsidR="00F42742" w:rsidRDefault="00F42742" w:rsidP="00F42742">
      <w:pPr>
        <w:pStyle w:val="StepLevel1"/>
      </w:pPr>
      <w:r w:rsidRPr="00CD008E">
        <w:t xml:space="preserve">Identify the appropriate finding statement for the CO traffic air quality analysis (TAQA) by completing Steps 4.1 through 4.2 as </w:t>
      </w:r>
      <w:proofErr w:type="gramStart"/>
      <w:r w:rsidRPr="00CD008E">
        <w:t>directed, and</w:t>
      </w:r>
      <w:proofErr w:type="gramEnd"/>
      <w:r w:rsidRPr="00CD008E">
        <w:t xml:space="preserve"> place it in the CO TAQA section of the environmental review document</w:t>
      </w:r>
      <w:r>
        <w:rPr>
          <w:rStyle w:val="FootnoteReference"/>
        </w:rPr>
        <w:footnoteReference w:id="4"/>
      </w:r>
      <w:r w:rsidRPr="00CD008E">
        <w:t>.</w:t>
      </w:r>
    </w:p>
    <w:p w14:paraId="7A88897E" w14:textId="77777777" w:rsidR="00F42742" w:rsidRDefault="00F42742" w:rsidP="00F42742">
      <w:pPr>
        <w:pStyle w:val="StepLevel2"/>
      </w:pPr>
      <w:r>
        <w:lastRenderedPageBreak/>
        <w:t>Determine if the project is adding capacity</w:t>
      </w:r>
      <w:r>
        <w:rPr>
          <w:rStyle w:val="FootnoteReference"/>
        </w:rPr>
        <w:footnoteReference w:id="5"/>
      </w:r>
      <w:r>
        <w:t xml:space="preserve"> . If yes, continue to Step 4.2. If </w:t>
      </w:r>
      <w:proofErr w:type="gramStart"/>
      <w:r>
        <w:t>no</w:t>
      </w:r>
      <w:proofErr w:type="gramEnd"/>
      <w:r>
        <w:t xml:space="preserve">, include </w:t>
      </w:r>
      <w:r w:rsidRPr="00D51EA2">
        <w:rPr>
          <w:color w:val="0056A9" w:themeColor="accent1"/>
          <w:u w:val="single"/>
        </w:rPr>
        <w:fldChar w:fldCharType="begin"/>
      </w:r>
      <w:r w:rsidRPr="00D51EA2">
        <w:rPr>
          <w:color w:val="0056A9" w:themeColor="accent1"/>
          <w:u w:val="single"/>
        </w:rPr>
        <w:instrText xml:space="preserve"> REF _Ref236137106 \h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t>Statement 15</w:t>
      </w:r>
      <w:r w:rsidRPr="00D51EA2">
        <w:rPr>
          <w:color w:val="0056A9" w:themeColor="accent1"/>
          <w:u w:val="single"/>
        </w:rPr>
        <w:fldChar w:fldCharType="end"/>
      </w:r>
      <w:r>
        <w:t xml:space="preserve"> </w:t>
      </w:r>
      <w:r w:rsidRPr="00D15EDA">
        <w:t>from</w:t>
      </w:r>
      <w:r>
        <w:t xml:space="preserve"> Appendix A, and proceed to Step 5.</w:t>
      </w:r>
    </w:p>
    <w:p w14:paraId="630FA420" w14:textId="77777777" w:rsidR="00F42742" w:rsidRPr="00CD008E" w:rsidRDefault="00F42742" w:rsidP="00F42742">
      <w:pPr>
        <w:pStyle w:val="StepLevel2"/>
      </w:pPr>
      <w:r>
        <w:t>Determine if the project estimated time of completion (ETC) and design year annual average daily traffic (AADT</w:t>
      </w:r>
      <w:r>
        <w:rPr>
          <w:rStyle w:val="FootnoteReference"/>
        </w:rPr>
        <w:footnoteReference w:id="6"/>
      </w:r>
      <w:r>
        <w:t>) is less than 140,000 vehicles per day</w:t>
      </w:r>
      <w:r>
        <w:rPr>
          <w:rStyle w:val="FootnoteReference"/>
        </w:rPr>
        <w:footnoteReference w:id="7"/>
      </w:r>
      <w:r>
        <w:t xml:space="preserve">. If yes, include </w:t>
      </w:r>
      <w:r w:rsidRPr="00D51EA2">
        <w:rPr>
          <w:color w:val="0056A9" w:themeColor="accent1"/>
          <w:u w:val="single"/>
        </w:rPr>
        <w:fldChar w:fldCharType="begin"/>
      </w:r>
      <w:r w:rsidRPr="00D51EA2">
        <w:rPr>
          <w:color w:val="0056A9" w:themeColor="accent1"/>
          <w:u w:val="single"/>
        </w:rPr>
        <w:instrText xml:space="preserve"> REF _Ref236137132 \h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t>Statement 16</w:t>
      </w:r>
      <w:r w:rsidRPr="00D51EA2">
        <w:rPr>
          <w:color w:val="0056A9" w:themeColor="accent1"/>
          <w:u w:val="single"/>
        </w:rPr>
        <w:fldChar w:fldCharType="end"/>
      </w:r>
      <w:r>
        <w:t xml:space="preserve"> </w:t>
      </w:r>
      <w:r w:rsidRPr="00937A0C">
        <w:t>from A</w:t>
      </w:r>
      <w:r>
        <w:t xml:space="preserve">ppendix A, and customize the statement with project specifics. If </w:t>
      </w:r>
      <w:proofErr w:type="gramStart"/>
      <w:r>
        <w:t>no</w:t>
      </w:r>
      <w:proofErr w:type="gramEnd"/>
      <w:r>
        <w:t xml:space="preserve">, use the information in the CO TAQA technical report to customize </w:t>
      </w:r>
      <w:r w:rsidRPr="00D51EA2">
        <w:rPr>
          <w:rStyle w:val="Hyperlink"/>
        </w:rPr>
        <w:fldChar w:fldCharType="begin"/>
      </w:r>
      <w:r w:rsidRPr="00D51EA2">
        <w:rPr>
          <w:rStyle w:val="Hyperlink"/>
        </w:rPr>
        <w:instrText xml:space="preserve"> REF _Ref227317049 \h  \* MERGEFORMAT </w:instrText>
      </w:r>
      <w:r w:rsidRPr="00D51EA2">
        <w:rPr>
          <w:rStyle w:val="Hyperlink"/>
        </w:rPr>
      </w:r>
      <w:r w:rsidRPr="00D51EA2">
        <w:rPr>
          <w:rStyle w:val="Hyperlink"/>
        </w:rPr>
        <w:fldChar w:fldCharType="separate"/>
      </w:r>
      <w:r w:rsidRPr="00D51EA2">
        <w:rPr>
          <w:color w:val="0056A9" w:themeColor="accent1"/>
          <w:u w:val="single"/>
        </w:rPr>
        <w:fldChar w:fldCharType="begin"/>
      </w:r>
      <w:r w:rsidRPr="00D51EA2">
        <w:rPr>
          <w:rStyle w:val="Hyperlink"/>
        </w:rPr>
        <w:instrText xml:space="preserve"> REF _Ref236137151 \h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t>Statement 17</w:t>
      </w:r>
      <w:r w:rsidRPr="00D51EA2">
        <w:rPr>
          <w:color w:val="0056A9" w:themeColor="accent1"/>
          <w:u w:val="single"/>
        </w:rPr>
        <w:fldChar w:fldCharType="end"/>
      </w:r>
      <w:r w:rsidRPr="00D51EA2">
        <w:rPr>
          <w:rStyle w:val="Hyperlink"/>
        </w:rPr>
        <w:fldChar w:fldCharType="end"/>
      </w:r>
      <w:r>
        <w:t xml:space="preserve"> f</w:t>
      </w:r>
      <w:r w:rsidRPr="00087797">
        <w:t>rom</w:t>
      </w:r>
      <w:r>
        <w:t xml:space="preserve"> Appendix A to summarize the results. Continue to Step 5.</w:t>
      </w:r>
    </w:p>
    <w:p w14:paraId="6A185B7B" w14:textId="77777777" w:rsidR="00F42742" w:rsidRDefault="00F42742" w:rsidP="00F42742">
      <w:pPr>
        <w:pStyle w:val="StepLevel1"/>
      </w:pPr>
      <w:r>
        <w:t xml:space="preserve">Identify the appropriate finding statement for MSAT by completing Steps 5.1 through 5.3 as </w:t>
      </w:r>
      <w:proofErr w:type="gramStart"/>
      <w:r>
        <w:t>directed, and</w:t>
      </w:r>
      <w:proofErr w:type="gramEnd"/>
      <w:r>
        <w:t xml:space="preserve"> place it in the MSAT section of the environmental review document. Use bullets whenever it is necessary to list things that are not steps in the procedure.</w:t>
      </w:r>
    </w:p>
    <w:p w14:paraId="437A6130" w14:textId="77777777" w:rsidR="00F42742" w:rsidRDefault="00F42742" w:rsidP="00F42742">
      <w:pPr>
        <w:pStyle w:val="StepLevel2"/>
      </w:pPr>
      <w:r>
        <w:t>Identify whether the project meets any of the following criteria.</w:t>
      </w:r>
    </w:p>
    <w:p w14:paraId="48EF50AB" w14:textId="77777777" w:rsidR="00F42742" w:rsidRDefault="00F42742" w:rsidP="00F42742">
      <w:pPr>
        <w:pStyle w:val="ListBullet"/>
      </w:pPr>
      <w:r>
        <w:lastRenderedPageBreak/>
        <w:t>It is a Categorical Exclusion; or</w:t>
      </w:r>
    </w:p>
    <w:p w14:paraId="1FF68EFC" w14:textId="77777777" w:rsidR="00F42742" w:rsidRDefault="00F42742" w:rsidP="00F42742">
      <w:pPr>
        <w:pStyle w:val="ListBullet"/>
      </w:pPr>
      <w:r>
        <w:t>It is NOT added capacity, not affecting an intermodal facility or port, and not involving a specific public concern regarding air quality; or</w:t>
      </w:r>
    </w:p>
    <w:p w14:paraId="50D80B60" w14:textId="77777777" w:rsidR="00F42742" w:rsidRDefault="00F42742" w:rsidP="00F42742">
      <w:pPr>
        <w:pStyle w:val="ListBullet"/>
      </w:pPr>
      <w:r>
        <w:t xml:space="preserve">It is a project type identified in </w:t>
      </w:r>
      <w:r w:rsidRPr="00591DCA">
        <w:t>40 CFR 93.126</w:t>
      </w:r>
      <w:r w:rsidRPr="007D485D">
        <w:rPr>
          <w:color w:val="auto"/>
        </w:rPr>
        <w:t>.</w:t>
      </w:r>
    </w:p>
    <w:p w14:paraId="0B3933B3" w14:textId="77777777" w:rsidR="00F42742" w:rsidRDefault="00F42742" w:rsidP="00F42742">
      <w:pPr>
        <w:pStyle w:val="ListBullet"/>
        <w:numPr>
          <w:ilvl w:val="0"/>
          <w:numId w:val="0"/>
        </w:numPr>
        <w:ind w:left="810"/>
      </w:pPr>
      <w:r>
        <w:t xml:space="preserve">If yes, include </w:t>
      </w:r>
      <w:r w:rsidRPr="00D51EA2">
        <w:rPr>
          <w:rStyle w:val="Hyperlink"/>
        </w:rPr>
        <w:fldChar w:fldCharType="begin"/>
      </w:r>
      <w:r w:rsidRPr="00D51EA2">
        <w:rPr>
          <w:color w:val="0056A9" w:themeColor="accent1"/>
          <w:u w:val="single"/>
        </w:rPr>
        <w:instrText xml:space="preserve"> REF _Ref236137178 \h </w:instrText>
      </w:r>
      <w:r w:rsidRPr="00D51EA2">
        <w:rPr>
          <w:rStyle w:val="Hyperlink"/>
        </w:rPr>
      </w:r>
      <w:r w:rsidRPr="00D51EA2">
        <w:rPr>
          <w:rStyle w:val="Hyperlink"/>
        </w:rPr>
        <w:fldChar w:fldCharType="separate"/>
      </w:r>
      <w:r w:rsidRPr="00D51EA2">
        <w:rPr>
          <w:color w:val="0056A9" w:themeColor="accent1"/>
          <w:u w:val="single"/>
        </w:rPr>
        <w:t>Statement 18</w:t>
      </w:r>
      <w:r w:rsidRPr="00D51EA2">
        <w:rPr>
          <w:rStyle w:val="Hyperlink"/>
        </w:rPr>
        <w:fldChar w:fldCharType="end"/>
      </w:r>
      <w:r w:rsidRPr="00364DDC">
        <w:rPr>
          <w:rStyle w:val="Hyperlink"/>
          <w:u w:val="none"/>
        </w:rPr>
        <w:t xml:space="preserve"> </w:t>
      </w:r>
      <w:r>
        <w:t xml:space="preserve">Appendix A, and customize the statement with project specific; proceed to Step 6. If </w:t>
      </w:r>
      <w:proofErr w:type="gramStart"/>
      <w:r>
        <w:t>no</w:t>
      </w:r>
      <w:proofErr w:type="gramEnd"/>
      <w:r>
        <w:t>, continue to Step 5.2.</w:t>
      </w:r>
    </w:p>
    <w:p w14:paraId="2C811AFE" w14:textId="77777777" w:rsidR="00F42742" w:rsidRPr="00CC7BA1" w:rsidRDefault="00F42742" w:rsidP="00F42742">
      <w:pPr>
        <w:pStyle w:val="StepLevel2"/>
      </w:pPr>
      <w:r w:rsidRPr="00CC7BA1">
        <w:t xml:space="preserve">Determine if an approved technical report already includes the current qualitative MSAT language. If yes, summarize the analysis using the Project Specific MSAT Information section of the analysis and continue to Step 5.3. If no, include </w:t>
      </w:r>
      <w:r w:rsidRPr="00261D50">
        <w:rPr>
          <w:color w:val="0056A9" w:themeColor="accent1"/>
          <w:u w:val="single"/>
        </w:rPr>
        <w:fldChar w:fldCharType="begin"/>
      </w:r>
      <w:r w:rsidRPr="00261D50">
        <w:rPr>
          <w:color w:val="0056A9" w:themeColor="accent1"/>
          <w:u w:val="single"/>
        </w:rPr>
        <w:instrText xml:space="preserve"> REF _Ref236137354 \h </w:instrText>
      </w:r>
      <w:r w:rsidRPr="00261D50">
        <w:rPr>
          <w:color w:val="0056A9" w:themeColor="accent1"/>
          <w:u w:val="single"/>
        </w:rPr>
      </w:r>
      <w:r w:rsidRPr="00261D50">
        <w:rPr>
          <w:color w:val="0056A9" w:themeColor="accent1"/>
          <w:u w:val="single"/>
        </w:rPr>
        <w:fldChar w:fldCharType="separate"/>
      </w:r>
      <w:r w:rsidRPr="00261D50">
        <w:rPr>
          <w:color w:val="0056A9" w:themeColor="accent1"/>
          <w:u w:val="single"/>
        </w:rPr>
        <w:t>Statement 19</w:t>
      </w:r>
      <w:r w:rsidRPr="00261D50">
        <w:rPr>
          <w:color w:val="0056A9" w:themeColor="accent1"/>
          <w:u w:val="single"/>
        </w:rPr>
        <w:fldChar w:fldCharType="end"/>
      </w:r>
      <w:r>
        <w:t xml:space="preserve"> </w:t>
      </w:r>
      <w:r w:rsidRPr="00CC7BA1">
        <w:t>from Appendix A, and customize the statement with project specifics according to Steps 5.2.1 through 5.2.3.</w:t>
      </w:r>
    </w:p>
    <w:p w14:paraId="6FF54841" w14:textId="77777777" w:rsidR="00F42742" w:rsidRDefault="00F42742" w:rsidP="00F42742">
      <w:pPr>
        <w:pStyle w:val="StepLevel3"/>
      </w:pPr>
      <w:r>
        <w:t>Include, without change, the Background Section, including the graph of emissions. Continue to Step 5.2.2.</w:t>
      </w:r>
    </w:p>
    <w:p w14:paraId="2FE1D87B" w14:textId="77777777" w:rsidR="00F42742" w:rsidRDefault="00F42742" w:rsidP="00F42742">
      <w:pPr>
        <w:pStyle w:val="StepLevel3"/>
      </w:pPr>
      <w:r>
        <w:t xml:space="preserve">In the Project-Specific MSAT Information Section of </w:t>
      </w:r>
      <w:r w:rsidRPr="00261D50">
        <w:rPr>
          <w:color w:val="0056A9" w:themeColor="accent1"/>
          <w:u w:val="single"/>
        </w:rPr>
        <w:fldChar w:fldCharType="begin"/>
      </w:r>
      <w:r w:rsidRPr="00261D50">
        <w:rPr>
          <w:color w:val="0056A9" w:themeColor="accent1"/>
          <w:u w:val="single"/>
        </w:rPr>
        <w:instrText xml:space="preserve"> REF _Ref236137354 \h </w:instrText>
      </w:r>
      <w:r w:rsidRPr="00261D50">
        <w:rPr>
          <w:color w:val="0056A9" w:themeColor="accent1"/>
          <w:u w:val="single"/>
        </w:rPr>
      </w:r>
      <w:r w:rsidRPr="00261D50">
        <w:rPr>
          <w:color w:val="0056A9" w:themeColor="accent1"/>
          <w:u w:val="single"/>
        </w:rPr>
        <w:fldChar w:fldCharType="separate"/>
      </w:r>
      <w:r w:rsidRPr="00261D50">
        <w:rPr>
          <w:color w:val="0056A9" w:themeColor="accent1"/>
          <w:u w:val="single"/>
        </w:rPr>
        <w:t>Statement 19</w:t>
      </w:r>
      <w:r w:rsidRPr="00261D50">
        <w:rPr>
          <w:color w:val="0056A9" w:themeColor="accent1"/>
          <w:u w:val="single"/>
        </w:rPr>
        <w:fldChar w:fldCharType="end"/>
      </w:r>
      <w:r>
        <w:t>, four examples of qualitative MSAT statements for various project types have been provided.</w:t>
      </w:r>
    </w:p>
    <w:p w14:paraId="063AABB2" w14:textId="77777777" w:rsidR="00F42742" w:rsidRDefault="00F42742" w:rsidP="00F42742">
      <w:pPr>
        <w:pStyle w:val="ListBullet"/>
        <w:ind w:left="2880" w:hanging="720"/>
      </w:pPr>
      <w:r>
        <w:t>Widening Projects</w:t>
      </w:r>
      <w:r w:rsidRPr="00AB2916">
        <w:rPr>
          <w:vertAlign w:val="superscript"/>
        </w:rPr>
        <w:footnoteReference w:id="8"/>
      </w:r>
    </w:p>
    <w:p w14:paraId="13D98A4F" w14:textId="77777777" w:rsidR="00F42742" w:rsidRDefault="00F42742" w:rsidP="00F42742">
      <w:pPr>
        <w:pStyle w:val="ListBullet"/>
        <w:ind w:left="2880" w:hanging="720"/>
      </w:pPr>
      <w:r>
        <w:lastRenderedPageBreak/>
        <w:t>New Interchange Connecting an Existing Roadway with a New Roadway</w:t>
      </w:r>
      <w:r w:rsidRPr="00AB2916">
        <w:rPr>
          <w:vertAlign w:val="superscript"/>
        </w:rPr>
        <w:footnoteReference w:id="9"/>
      </w:r>
      <w:r>
        <w:t>,</w:t>
      </w:r>
    </w:p>
    <w:p w14:paraId="1B9BA67C" w14:textId="77777777" w:rsidR="00F42742" w:rsidRDefault="00F42742" w:rsidP="00F42742">
      <w:pPr>
        <w:pStyle w:val="ListBullet"/>
        <w:ind w:left="2880" w:hanging="720"/>
      </w:pPr>
      <w:r>
        <w:t>New Interchange Connecting New Roadways</w:t>
      </w:r>
      <w:r w:rsidRPr="00AB2916">
        <w:rPr>
          <w:vertAlign w:val="superscript"/>
        </w:rPr>
        <w:footnoteReference w:id="10"/>
      </w:r>
      <w:r>
        <w:t>, and</w:t>
      </w:r>
    </w:p>
    <w:p w14:paraId="3D4E95D9" w14:textId="77777777" w:rsidR="00F42742" w:rsidRDefault="00F42742" w:rsidP="00F42742">
      <w:pPr>
        <w:pStyle w:val="ListBullet"/>
        <w:ind w:left="2880" w:hanging="720"/>
      </w:pPr>
      <w:r>
        <w:t>Minor Improvements or Expansions to Intermodal Centers or Other Projects that Affect Truck Traffic</w:t>
      </w:r>
      <w:r w:rsidRPr="00AB2916">
        <w:rPr>
          <w:vertAlign w:val="superscript"/>
        </w:rPr>
        <w:footnoteReference w:id="11"/>
      </w:r>
    </w:p>
    <w:p w14:paraId="0AD78585" w14:textId="77777777" w:rsidR="00F42742" w:rsidRDefault="00F42742" w:rsidP="00F42742">
      <w:pPr>
        <w:pStyle w:val="ListNumber"/>
        <w:tabs>
          <w:tab w:val="left" w:pos="1620"/>
        </w:tabs>
        <w:ind w:left="1440"/>
        <w:contextualSpacing w:val="0"/>
      </w:pPr>
      <w:r>
        <w:t>Include the option</w:t>
      </w:r>
      <w:r>
        <w:rPr>
          <w:rStyle w:val="FootnoteReference"/>
        </w:rPr>
        <w:footnoteReference w:id="12"/>
      </w:r>
      <w:r>
        <w:t xml:space="preserve"> that best represents the project and customize the statement to reflect the unique circumstances of the project, particularly those areas of the statement that are shaded. Continue to Step 5.2.3.</w:t>
      </w:r>
    </w:p>
    <w:p w14:paraId="0929F113" w14:textId="77777777" w:rsidR="00F42742" w:rsidRDefault="00F42742" w:rsidP="00F42742">
      <w:pPr>
        <w:pStyle w:val="StepLevel3"/>
      </w:pPr>
      <w:r>
        <w:t>Include without change, the Incomplete or Unavailable Information for Project Specific MSAT Health Impacts Analysis Section. Continue to Step 5.3.</w:t>
      </w:r>
    </w:p>
    <w:p w14:paraId="29120A65" w14:textId="77777777" w:rsidR="00F42742" w:rsidRDefault="00F42742" w:rsidP="00F42742">
      <w:pPr>
        <w:pStyle w:val="StepLevel2"/>
      </w:pPr>
      <w:r>
        <w:lastRenderedPageBreak/>
        <w:t xml:space="preserve">Identify whether a quantitative MSAT analysis was required for this project. If so, include a summary of the analysis results from the quantitative MSAT technical report; at a minimum the summary </w:t>
      </w:r>
      <w:r w:rsidRPr="00261D50">
        <w:rPr>
          <w:b/>
          <w:bCs/>
        </w:rPr>
        <w:t>must</w:t>
      </w:r>
      <w:r>
        <w:t xml:space="preserve"> include the following:</w:t>
      </w:r>
    </w:p>
    <w:p w14:paraId="342589C7" w14:textId="77777777" w:rsidR="00F42742" w:rsidRPr="007D485D" w:rsidRDefault="00F42742" w:rsidP="00F42742">
      <w:pPr>
        <w:pStyle w:val="ListBullet"/>
      </w:pPr>
      <w:r w:rsidRPr="007D485D">
        <w:t>A brief description of the analysis methodology and the emissions model used</w:t>
      </w:r>
    </w:p>
    <w:p w14:paraId="1F235CE7" w14:textId="77777777" w:rsidR="00F42742" w:rsidRDefault="00F42742" w:rsidP="00F42742">
      <w:pPr>
        <w:pStyle w:val="ListBullet"/>
      </w:pPr>
      <w:r>
        <w:t>A table with total MSAT emissions for each priority MSAT and traffic volumes for each year analyzed for both the Build and the No Build scenario</w:t>
      </w:r>
    </w:p>
    <w:p w14:paraId="2AAFD9F1" w14:textId="77777777" w:rsidR="00F42742" w:rsidRDefault="00F42742" w:rsidP="00F42742">
      <w:pPr>
        <w:pStyle w:val="ListBullet"/>
      </w:pPr>
      <w:r>
        <w:t>A bar chart showing the emission changes per MSAT for each year analyzed, and showing the vehicles-miles traveled (VMT) charted on a secondary axis</w:t>
      </w:r>
    </w:p>
    <w:p w14:paraId="3748CC17" w14:textId="77777777" w:rsidR="00F42742" w:rsidRDefault="00F42742" w:rsidP="00F42742">
      <w:pPr>
        <w:pStyle w:val="ListBullet"/>
      </w:pPr>
      <w:r>
        <w:t>A summary of the quantitative MSAT analysis results</w:t>
      </w:r>
    </w:p>
    <w:p w14:paraId="7ECA6A84" w14:textId="77777777" w:rsidR="00F42742" w:rsidRDefault="00F42742" w:rsidP="00F42742">
      <w:pPr>
        <w:pStyle w:val="ListBullet"/>
      </w:pPr>
      <w:r>
        <w:t>A conclusion statement for MSAT</w:t>
      </w:r>
      <w:r>
        <w:rPr>
          <w:rStyle w:val="FootnoteReference"/>
        </w:rPr>
        <w:footnoteReference w:id="13"/>
      </w:r>
    </w:p>
    <w:p w14:paraId="366533D4" w14:textId="77777777" w:rsidR="00F42742" w:rsidRDefault="00F42742" w:rsidP="00F42742">
      <w:pPr>
        <w:pStyle w:val="ListNumber"/>
        <w:ind w:left="630"/>
        <w:contextualSpacing w:val="0"/>
      </w:pPr>
      <w:r>
        <w:t>Continue to Step 6</w:t>
      </w:r>
    </w:p>
    <w:p w14:paraId="638218D1" w14:textId="77777777" w:rsidR="00F42742" w:rsidRDefault="00F42742" w:rsidP="00F42742">
      <w:pPr>
        <w:pStyle w:val="StepLevel1"/>
      </w:pPr>
      <w:r>
        <w:t>Identify the appropriate finding statement for the CMP analysis by completing Steps 6.1 as directed and place it in the CMP section of the environmental review document.</w:t>
      </w:r>
    </w:p>
    <w:p w14:paraId="10FEEABD" w14:textId="77777777" w:rsidR="00F42742" w:rsidRDefault="00F42742" w:rsidP="00F42742">
      <w:pPr>
        <w:pStyle w:val="StepLevel2"/>
      </w:pPr>
      <w:r>
        <w:t xml:space="preserve">Determine if the project meets </w:t>
      </w:r>
      <w:r w:rsidRPr="007D485D">
        <w:rPr>
          <w:b/>
          <w:bCs/>
        </w:rPr>
        <w:t>all</w:t>
      </w:r>
      <w:r>
        <w:t xml:space="preserve"> the following criteria.</w:t>
      </w:r>
    </w:p>
    <w:p w14:paraId="1E7FFBDA" w14:textId="77777777" w:rsidR="00F42742" w:rsidRDefault="00F42742" w:rsidP="00F42742">
      <w:pPr>
        <w:pStyle w:val="ListBullet"/>
      </w:pPr>
      <w:r>
        <w:t>Is a FHWA or FTA project</w:t>
      </w:r>
    </w:p>
    <w:p w14:paraId="2EED8D99" w14:textId="77777777" w:rsidR="00F42742" w:rsidRDefault="00F42742" w:rsidP="00F42742">
      <w:pPr>
        <w:pStyle w:val="ListBullet"/>
      </w:pPr>
      <w:r>
        <w:t>Is in a nonattainment area of ozone or CO</w:t>
      </w:r>
    </w:p>
    <w:p w14:paraId="6A5DF149" w14:textId="77777777" w:rsidR="00F42742" w:rsidRDefault="00F42742" w:rsidP="00F42742">
      <w:pPr>
        <w:pStyle w:val="ListBullet"/>
      </w:pPr>
      <w:r>
        <w:t>Is adding Single Occupancy Vehicle (SOV) capacity</w:t>
      </w:r>
    </w:p>
    <w:p w14:paraId="30FE5B08" w14:textId="77777777" w:rsidR="00F42742" w:rsidRDefault="00F42742" w:rsidP="00F42742">
      <w:pPr>
        <w:pStyle w:val="ListBullet"/>
      </w:pPr>
      <w:r>
        <w:lastRenderedPageBreak/>
        <w:t xml:space="preserve">Is within a Transportation Management Area (TMA) (Appendix </w:t>
      </w:r>
      <w:r w:rsidRPr="000C0221">
        <w:t>B</w:t>
      </w:r>
      <w:r>
        <w:t>)</w:t>
      </w:r>
    </w:p>
    <w:p w14:paraId="28F70FC2" w14:textId="77777777" w:rsidR="00F42742" w:rsidRDefault="00F42742" w:rsidP="00F42742">
      <w:pPr>
        <w:pStyle w:val="ListNumber"/>
        <w:ind w:left="720"/>
        <w:contextualSpacing w:val="0"/>
      </w:pPr>
      <w:r>
        <w:t>If yes, include and customize</w:t>
      </w:r>
      <w:r w:rsidRPr="00A76F6B">
        <w:rPr>
          <w:rStyle w:val="Hyperlink"/>
          <w:u w:val="none"/>
        </w:rPr>
        <w:t xml:space="preserve"> </w:t>
      </w:r>
      <w:r w:rsidRPr="00D51EA2">
        <w:rPr>
          <w:color w:val="0056A9" w:themeColor="accent1"/>
          <w:u w:val="single"/>
        </w:rPr>
        <w:fldChar w:fldCharType="begin"/>
      </w:r>
      <w:r w:rsidRPr="00D51EA2">
        <w:rPr>
          <w:color w:val="0056A9" w:themeColor="accent1"/>
          <w:u w:val="single"/>
        </w:rPr>
        <w:instrText xml:space="preserve"> REF _Ref227317925 \h  \* MERGEFORMAT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fldChar w:fldCharType="begin"/>
      </w:r>
      <w:r w:rsidRPr="00D51EA2">
        <w:rPr>
          <w:color w:val="0056A9" w:themeColor="accent1"/>
          <w:u w:val="single"/>
        </w:rPr>
        <w:instrText xml:space="preserve"> REF _Ref236137204 \h </w:instrText>
      </w:r>
      <w:r w:rsidRPr="00D51EA2">
        <w:rPr>
          <w:color w:val="0056A9" w:themeColor="accent1"/>
          <w:u w:val="single"/>
        </w:rPr>
      </w:r>
      <w:r w:rsidRPr="00D51EA2">
        <w:rPr>
          <w:color w:val="0056A9" w:themeColor="accent1"/>
          <w:u w:val="single"/>
        </w:rPr>
        <w:fldChar w:fldCharType="separate"/>
      </w:r>
      <w:r w:rsidRPr="00D51EA2">
        <w:rPr>
          <w:color w:val="0056A9" w:themeColor="accent1"/>
          <w:u w:val="single"/>
        </w:rPr>
        <w:t>Statement 21</w:t>
      </w:r>
      <w:r w:rsidRPr="00D51EA2">
        <w:rPr>
          <w:color w:val="0056A9" w:themeColor="accent1"/>
          <w:u w:val="single"/>
        </w:rPr>
        <w:fldChar w:fldCharType="end"/>
      </w:r>
      <w:r w:rsidRPr="00D51EA2">
        <w:rPr>
          <w:color w:val="0056A9" w:themeColor="accent1"/>
          <w:u w:val="single"/>
        </w:rPr>
        <w:fldChar w:fldCharType="end"/>
      </w:r>
      <w:r w:rsidRPr="00D51EA2">
        <w:rPr>
          <w:color w:val="0056A9"/>
        </w:rPr>
        <w:t xml:space="preserve"> </w:t>
      </w:r>
      <w:r w:rsidRPr="00D51EA2">
        <w:rPr>
          <w:color w:val="auto"/>
        </w:rPr>
        <w:t>f</w:t>
      </w:r>
      <w:r w:rsidRPr="0055018B">
        <w:rPr>
          <w:color w:val="auto"/>
        </w:rPr>
        <w:t>ro</w:t>
      </w:r>
      <w:r w:rsidRPr="00D3120B">
        <w:rPr>
          <w:color w:val="auto"/>
        </w:rPr>
        <w:t>m</w:t>
      </w:r>
      <w:r>
        <w:t xml:space="preserve"> Appendix A with project specifics. Regardless, continue to Step 7.</w:t>
      </w:r>
    </w:p>
    <w:p w14:paraId="292454C1" w14:textId="77777777" w:rsidR="00F42742" w:rsidRDefault="00F42742" w:rsidP="00F42742">
      <w:pPr>
        <w:pStyle w:val="StepLevel1"/>
      </w:pPr>
      <w:r>
        <w:t>Include</w:t>
      </w:r>
      <w:r w:rsidRPr="00A76F6B">
        <w:rPr>
          <w:rStyle w:val="Hyperlink"/>
          <w:color w:val="0056A9"/>
          <w:u w:val="none"/>
        </w:rPr>
        <w:t xml:space="preserve"> </w:t>
      </w:r>
      <w:r w:rsidRPr="00D51EA2">
        <w:rPr>
          <w:rStyle w:val="Hyperlink"/>
          <w:highlight w:val="yellow"/>
        </w:rPr>
        <w:fldChar w:fldCharType="begin"/>
      </w:r>
      <w:r w:rsidRPr="00D51EA2">
        <w:rPr>
          <w:rStyle w:val="Hyperlink"/>
        </w:rPr>
        <w:instrText xml:space="preserve"> REF _Ref236137235 \h </w:instrText>
      </w:r>
      <w:r w:rsidRPr="00D51EA2">
        <w:rPr>
          <w:rStyle w:val="Hyperlink"/>
          <w:highlight w:val="yellow"/>
        </w:rPr>
      </w:r>
      <w:r w:rsidRPr="00D51EA2">
        <w:rPr>
          <w:rStyle w:val="Hyperlink"/>
          <w:highlight w:val="yellow"/>
        </w:rPr>
        <w:fldChar w:fldCharType="separate"/>
      </w:r>
      <w:r w:rsidRPr="00D51EA2">
        <w:rPr>
          <w:color w:val="0056A9" w:themeColor="accent1"/>
          <w:u w:val="single"/>
        </w:rPr>
        <w:t>Statement 23</w:t>
      </w:r>
      <w:r w:rsidRPr="00D51EA2">
        <w:rPr>
          <w:rStyle w:val="Hyperlink"/>
          <w:highlight w:val="yellow"/>
        </w:rPr>
        <w:fldChar w:fldCharType="end"/>
      </w:r>
      <w:r w:rsidRPr="00FC23F5">
        <w:rPr>
          <w:color w:val="0056A9"/>
        </w:rPr>
        <w:t xml:space="preserve"> </w:t>
      </w:r>
      <w:r w:rsidRPr="00B61908">
        <w:t>as</w:t>
      </w:r>
      <w:r>
        <w:t xml:space="preserve"> the appropriate finding statement for construction emissions and place it in the construction emissions section of the environmental review document. Continue to Step 8.</w:t>
      </w:r>
    </w:p>
    <w:p w14:paraId="71D42A54" w14:textId="77777777" w:rsidR="00F42742" w:rsidRDefault="00F42742" w:rsidP="00F42742">
      <w:pPr>
        <w:pStyle w:val="StepLevel1"/>
      </w:pPr>
      <w:r>
        <w:t>Remove all grey highlighting and any other project-related information. Continue to Step 9.</w:t>
      </w:r>
    </w:p>
    <w:p w14:paraId="7368DDE3" w14:textId="4E1261DB" w:rsidR="00F42742" w:rsidRDefault="00F42742" w:rsidP="00F42742">
      <w:pPr>
        <w:pStyle w:val="StepLevel1"/>
      </w:pPr>
      <w:r>
        <w:t xml:space="preserve">Ensure that all acronyms are </w:t>
      </w:r>
      <w:proofErr w:type="gramStart"/>
      <w:r>
        <w:t>defined on</w:t>
      </w:r>
      <w:proofErr w:type="gramEnd"/>
      <w:r>
        <w:t xml:space="preserve"> the first time they are used. In environmental review documents, include the acronyms and full names consistently with the rest of the document; refer to the </w:t>
      </w:r>
      <w:r w:rsidR="0062190E" w:rsidRPr="0062190E">
        <w:rPr>
          <w:color w:val="0056A9" w:themeColor="accent1"/>
          <w:highlight w:val="yellow"/>
          <w:u w:val="single"/>
        </w:rPr>
        <w:fldChar w:fldCharType="begin"/>
      </w:r>
      <w:r w:rsidR="0062190E" w:rsidRPr="0062190E">
        <w:rPr>
          <w:color w:val="0056A9" w:themeColor="accent1"/>
          <w:u w:val="single"/>
        </w:rPr>
        <w:instrText xml:space="preserve"> REF _Ref236211207 \h </w:instrText>
      </w:r>
      <w:r w:rsidR="0062190E" w:rsidRPr="0062190E">
        <w:rPr>
          <w:color w:val="0056A9" w:themeColor="accent1"/>
          <w:highlight w:val="yellow"/>
          <w:u w:val="single"/>
        </w:rPr>
      </w:r>
      <w:r w:rsidR="0062190E" w:rsidRPr="0062190E">
        <w:rPr>
          <w:color w:val="0056A9" w:themeColor="accent1"/>
          <w:highlight w:val="yellow"/>
          <w:u w:val="single"/>
        </w:rPr>
        <w:fldChar w:fldCharType="separate"/>
      </w:r>
      <w:r w:rsidR="0062190E" w:rsidRPr="0062190E">
        <w:rPr>
          <w:color w:val="0056A9" w:themeColor="accent1"/>
          <w:u w:val="single"/>
        </w:rPr>
        <w:t>Abbreviations and Acronyms</w:t>
      </w:r>
      <w:r w:rsidR="0062190E" w:rsidRPr="0062190E">
        <w:rPr>
          <w:color w:val="0056A9" w:themeColor="accent1"/>
          <w:highlight w:val="yellow"/>
          <w:u w:val="single"/>
        </w:rPr>
        <w:fldChar w:fldCharType="end"/>
      </w:r>
      <w:r>
        <w:t xml:space="preserve"> for acronyms’ full definitions, Continue to Step 10.</w:t>
      </w:r>
    </w:p>
    <w:p w14:paraId="19153398" w14:textId="77777777" w:rsidR="00F42742" w:rsidRDefault="00F42742" w:rsidP="00F42742">
      <w:pPr>
        <w:pStyle w:val="StepLevel1"/>
      </w:pPr>
      <w:r w:rsidRPr="00A67A4C">
        <w:t>Proofread</w:t>
      </w:r>
      <w:r>
        <w:t xml:space="preserve"> the complete air quality </w:t>
      </w:r>
      <w:proofErr w:type="gramStart"/>
      <w:r>
        <w:t>statement, and</w:t>
      </w:r>
      <w:proofErr w:type="gramEnd"/>
      <w:r>
        <w:t xml:space="preserve"> ensure that no grey highlighting or fields remain.</w:t>
      </w:r>
    </w:p>
    <w:p w14:paraId="7DCFE1B8" w14:textId="77777777" w:rsidR="00AB00CF" w:rsidRDefault="00AB00CF" w:rsidP="005B14DA">
      <w:pPr>
        <w:pStyle w:val="Heading2"/>
        <w:sectPr w:rsidR="00AB00CF" w:rsidSect="00B531C6">
          <w:footerReference w:type="default" r:id="rId17"/>
          <w:pgSz w:w="12240" w:h="15840"/>
          <w:pgMar w:top="900" w:right="1440" w:bottom="1170" w:left="1440" w:header="720" w:footer="576" w:gutter="0"/>
          <w:pgNumType w:start="1"/>
          <w:cols w:space="720"/>
          <w:docGrid w:linePitch="360"/>
        </w:sectPr>
      </w:pPr>
    </w:p>
    <w:p w14:paraId="551527B5" w14:textId="4EE956D9" w:rsidR="005B14DA" w:rsidRDefault="00B23894" w:rsidP="005B14DA">
      <w:pPr>
        <w:pStyle w:val="Heading2"/>
      </w:pPr>
      <w:bookmarkStart w:id="11" w:name="_Toc237000203"/>
      <w:r>
        <w:lastRenderedPageBreak/>
        <w:t>7.</w:t>
      </w:r>
      <w:r w:rsidR="005B14DA">
        <w:t xml:space="preserve">0 </w:t>
      </w:r>
      <w:r w:rsidR="00CC4542">
        <w:t>Glossary</w:t>
      </w:r>
      <w:bookmarkEnd w:id="11"/>
    </w:p>
    <w:p w14:paraId="14EA8768" w14:textId="77777777" w:rsidR="00A412FB" w:rsidRDefault="00AF7A35" w:rsidP="001117C6">
      <w:r w:rsidRPr="005A37F0">
        <w:rPr>
          <w:b/>
          <w:bCs/>
        </w:rPr>
        <w:t>Design Year</w:t>
      </w:r>
      <w:r w:rsidR="00FA75B6">
        <w:t xml:space="preserve"> </w:t>
      </w:r>
      <w:r w:rsidR="00FA75B6" w:rsidRPr="00A412FB">
        <w:t>- Typically, the design year for roadways is either twenty years after the ETC year, or the horizon year of the MTP.</w:t>
      </w:r>
    </w:p>
    <w:p w14:paraId="460D764F" w14:textId="77777777" w:rsidR="00E4064E" w:rsidRDefault="00A412FB" w:rsidP="001117C6">
      <w:r w:rsidRPr="005A37F0">
        <w:rPr>
          <w:b/>
          <w:bCs/>
        </w:rPr>
        <w:t>FHWA or FTA Project</w:t>
      </w:r>
      <w:r>
        <w:t xml:space="preserve"> - </w:t>
      </w:r>
      <w:r w:rsidR="00E4064E" w:rsidRPr="00E4064E">
        <w:t>These projects have FHWA or FTA funding, need a FHWA or FTA decision, or have been delegated.</w:t>
      </w:r>
    </w:p>
    <w:p w14:paraId="27A12DF6" w14:textId="236884D5" w:rsidR="005B14DA" w:rsidRDefault="00E4064E" w:rsidP="001117C6">
      <w:r w:rsidRPr="005A37F0">
        <w:rPr>
          <w:b/>
          <w:bCs/>
        </w:rPr>
        <w:t>Non- Regionally Significant Project -</w:t>
      </w:r>
      <w:r>
        <w:t xml:space="preserve"> </w:t>
      </w:r>
      <w:r w:rsidRPr="00E4064E">
        <w:t>These projects are not regionally significant and are often specifically identified by the Metropolitan Planning Organization (MPO) as being non-regionally significant.</w:t>
      </w:r>
    </w:p>
    <w:p w14:paraId="2F1AABBD" w14:textId="77777777" w:rsidR="00A157E7" w:rsidRDefault="00A157E7" w:rsidP="00A157E7">
      <w:r w:rsidRPr="0071145C">
        <w:rPr>
          <w:b/>
          <w:bCs/>
        </w:rPr>
        <w:t>Regionally Significant Project -</w:t>
      </w:r>
      <w:r>
        <w:t xml:space="preserve"> Federal definition (40 CFR 93.101): These transportation projects (other than an exempt project) are on a facility which serves regional transportation needs (such as access to and from the area outside of the region, major activity centers in the region, major planned developments such as new retail malls, sports complexes, etcetera., or transportation terminals as well as most terminals themselves) and would normally be included in the modeling of a metropolitan area's transportation network, including at a minimum all principal arterial highways and all fixed guideway transit facilities that offer an alternative to regional highway travel.</w:t>
      </w:r>
    </w:p>
    <w:p w14:paraId="276009A7" w14:textId="4D47C92F" w:rsidR="00A157E7" w:rsidRDefault="00A157E7" w:rsidP="00A157E7">
      <w:r>
        <w:t>State definition (30 T</w:t>
      </w:r>
      <w:r w:rsidR="00ED41D0">
        <w:t>exas Administrative Code (T</w:t>
      </w:r>
      <w:r>
        <w:t>AC</w:t>
      </w:r>
      <w:r w:rsidR="00ED41D0">
        <w:t>)</w:t>
      </w:r>
      <w:r>
        <w:t xml:space="preserve"> 114.260(2)(A)(iv)): Regionally significant projects include, at a minimum, all facilities classified as principal arterial or higher, or fixed guideway systems or extensions that offer an alternative to regional highway travel. Also, these projects include minor arterials included in the travel demand modeling process that serve significant interregional and intraregional travel connect rural population centers not already served by a principal arterial, and, or connect with intermodal transportation terminals not already served by a principal arterial. A significant change in design concept and scope is defined as a revision of a project in the MTP or TIP that would significantly affect model speeds, vehicle miles </w:t>
      </w:r>
      <w:proofErr w:type="gramStart"/>
      <w:r>
        <w:t>traveled</w:t>
      </w:r>
      <w:proofErr w:type="gramEnd"/>
      <w:r>
        <w:t xml:space="preserve">, or network connections. In addition to new </w:t>
      </w:r>
      <w:r>
        <w:lastRenderedPageBreak/>
        <w:t>facilities, examples include changes in the number of through lanes or length of project (more than one mile), access control, addition of major intermodal terminal facilities (such as new international bridges, park-and-ride lots, and transfer terminals), addition or deletion of interchanges, or changing between free and toll facilities</w:t>
      </w:r>
      <w:r w:rsidR="00B85783">
        <w:t>.</w:t>
      </w:r>
    </w:p>
    <w:p w14:paraId="204E7E63" w14:textId="77777777" w:rsidR="00AB00CF" w:rsidRDefault="00B85783" w:rsidP="00E31C67">
      <w:pPr>
        <w:sectPr w:rsidR="00AB00CF" w:rsidSect="00DD7ED1">
          <w:pgSz w:w="12240" w:h="15840"/>
          <w:pgMar w:top="900" w:right="1440" w:bottom="1170" w:left="1440" w:header="720" w:footer="576" w:gutter="0"/>
          <w:cols w:space="720"/>
          <w:docGrid w:linePitch="360"/>
        </w:sectPr>
      </w:pPr>
      <w:r w:rsidRPr="0071145C">
        <w:rPr>
          <w:b/>
          <w:bCs/>
        </w:rPr>
        <w:t>TMA -</w:t>
      </w:r>
      <w:r>
        <w:t xml:space="preserve"> </w:t>
      </w:r>
      <w:r w:rsidRPr="008331C3">
        <w:t xml:space="preserve">These areas are urbanized with a population greater than 200,000 as determined by the 2010 Census. Refer to Appendix </w:t>
      </w:r>
      <w:r>
        <w:t>B</w:t>
      </w:r>
      <w:r w:rsidRPr="008331C3">
        <w:t xml:space="preserve"> for a list of TMAs within ozone or CO nonattainment areas.</w:t>
      </w:r>
    </w:p>
    <w:p w14:paraId="2052933D" w14:textId="188D6AE0" w:rsidR="00B23894" w:rsidRDefault="00B23894" w:rsidP="00B23894">
      <w:pPr>
        <w:pStyle w:val="Heading2"/>
      </w:pPr>
      <w:bookmarkStart w:id="12" w:name="_Ref236211207"/>
      <w:bookmarkStart w:id="13" w:name="_Toc237000204"/>
      <w:r>
        <w:lastRenderedPageBreak/>
        <w:t>8.0 Abbreviations and Acronyms</w:t>
      </w:r>
      <w:bookmarkEnd w:id="12"/>
      <w:bookmarkEnd w:id="13"/>
    </w:p>
    <w:p w14:paraId="1AE74AA1" w14:textId="29B731D7" w:rsidR="00B23894" w:rsidRPr="00EA372E" w:rsidRDefault="00B23894" w:rsidP="00B23894">
      <w:pPr>
        <w:pStyle w:val="Caption"/>
      </w:pPr>
      <w:bookmarkStart w:id="14" w:name="_Toc237000233"/>
      <w:r w:rsidRPr="00EA372E">
        <w:t xml:space="preserve">Table </w:t>
      </w:r>
      <w:r w:rsidR="00152945">
        <w:fldChar w:fldCharType="begin"/>
      </w:r>
      <w:r w:rsidR="00152945">
        <w:instrText xml:space="preserve"> SEQ Table \* ARABIC </w:instrText>
      </w:r>
      <w:r w:rsidR="00152945">
        <w:fldChar w:fldCharType="separate"/>
      </w:r>
      <w:r w:rsidR="00F6336C">
        <w:rPr>
          <w:noProof/>
        </w:rPr>
        <w:t>1</w:t>
      </w:r>
      <w:r w:rsidR="00152945">
        <w:fldChar w:fldCharType="end"/>
      </w:r>
      <w:r w:rsidRPr="00EA372E">
        <w:t>. Abbreviations and acronyms</w:t>
      </w:r>
      <w:r>
        <w:t xml:space="preserve"> definitions</w:t>
      </w:r>
      <w:bookmarkEnd w:id="14"/>
    </w:p>
    <w:tbl>
      <w:tblPr>
        <w:tblStyle w:val="ATFTxDOTTable"/>
        <w:tblW w:w="9175" w:type="dxa"/>
        <w:tblLook w:val="0020" w:firstRow="1" w:lastRow="0" w:firstColumn="0" w:lastColumn="0" w:noHBand="0" w:noVBand="0"/>
        <w:tblCaption w:val="Abbreviations and acronyms definitions"/>
        <w:tblDescription w:val="This table identifies all abbreviations and acronyms used throughout the document and defines each term for reference."/>
      </w:tblPr>
      <w:tblGrid>
        <w:gridCol w:w="3865"/>
        <w:gridCol w:w="5310"/>
      </w:tblGrid>
      <w:tr w:rsidR="00B23894" w:rsidRPr="00211BC0" w14:paraId="59ABED3A" w14:textId="77777777" w:rsidTr="00804934">
        <w:trPr>
          <w:cnfStyle w:val="100000000000" w:firstRow="1" w:lastRow="0" w:firstColumn="0" w:lastColumn="0" w:oddVBand="0" w:evenVBand="0" w:oddHBand="0" w:evenHBand="0" w:firstRowFirstColumn="0" w:firstRowLastColumn="0" w:lastRowFirstColumn="0" w:lastRowLastColumn="0"/>
          <w:cantSplit/>
          <w:tblHeader/>
        </w:trPr>
        <w:tc>
          <w:tcPr>
            <w:tcW w:w="3865" w:type="dxa"/>
          </w:tcPr>
          <w:p w14:paraId="3626B032" w14:textId="77777777" w:rsidR="00B23894" w:rsidRPr="00211BC0" w:rsidRDefault="00B23894" w:rsidP="00804934">
            <w:pPr>
              <w:pStyle w:val="TableHeadingSingle"/>
              <w:framePr w:wrap="auto" w:vAnchor="margin" w:yAlign="inline"/>
              <w:suppressOverlap w:val="0"/>
              <w:rPr>
                <w:rFonts w:asciiTheme="minorHAnsi" w:hAnsiTheme="minorHAnsi"/>
                <w:b/>
                <w:bCs/>
                <w:szCs w:val="24"/>
              </w:rPr>
            </w:pPr>
            <w:r>
              <w:rPr>
                <w:rFonts w:asciiTheme="minorHAnsi" w:hAnsiTheme="minorHAnsi"/>
                <w:b/>
                <w:bCs/>
                <w:szCs w:val="24"/>
              </w:rPr>
              <w:t>Abbreviation or acronyms</w:t>
            </w:r>
          </w:p>
        </w:tc>
        <w:tc>
          <w:tcPr>
            <w:tcW w:w="5310" w:type="dxa"/>
          </w:tcPr>
          <w:p w14:paraId="0542405D" w14:textId="77777777" w:rsidR="00B23894" w:rsidRPr="00211BC0" w:rsidRDefault="00B23894" w:rsidP="00804934">
            <w:pPr>
              <w:pStyle w:val="TableHeadingSingle"/>
              <w:framePr w:wrap="auto" w:vAnchor="margin" w:yAlign="inline"/>
              <w:suppressOverlap w:val="0"/>
              <w:rPr>
                <w:rFonts w:asciiTheme="minorHAnsi" w:hAnsiTheme="minorHAnsi"/>
                <w:b/>
                <w:bCs/>
                <w:szCs w:val="24"/>
              </w:rPr>
            </w:pPr>
            <w:r>
              <w:rPr>
                <w:rFonts w:asciiTheme="minorHAnsi" w:hAnsiTheme="minorHAnsi"/>
                <w:b/>
                <w:bCs/>
                <w:szCs w:val="24"/>
              </w:rPr>
              <w:t>Definition</w:t>
            </w:r>
          </w:p>
        </w:tc>
      </w:tr>
      <w:tr w:rsidR="00B23894" w:rsidRPr="00211BC0" w14:paraId="0AF3AEE1" w14:textId="77777777" w:rsidTr="00804934">
        <w:trPr>
          <w:cnfStyle w:val="000000100000" w:firstRow="0" w:lastRow="0" w:firstColumn="0" w:lastColumn="0" w:oddVBand="0" w:evenVBand="0" w:oddHBand="1" w:evenHBand="0" w:firstRowFirstColumn="0" w:firstRowLastColumn="0" w:lastRowFirstColumn="0" w:lastRowLastColumn="0"/>
          <w:cantSplit/>
          <w:trHeight w:val="25"/>
        </w:trPr>
        <w:tc>
          <w:tcPr>
            <w:tcW w:w="3865" w:type="dxa"/>
          </w:tcPr>
          <w:p w14:paraId="33B8A1D0" w14:textId="77777777" w:rsidR="00B23894" w:rsidRPr="00211BC0" w:rsidRDefault="00B23894" w:rsidP="00804934">
            <w:pPr>
              <w:pStyle w:val="TableNormalNoSpaceAfter"/>
              <w:rPr>
                <w:szCs w:val="24"/>
              </w:rPr>
            </w:pPr>
            <w:r w:rsidRPr="00870907">
              <w:t>AADT</w:t>
            </w:r>
          </w:p>
        </w:tc>
        <w:tc>
          <w:tcPr>
            <w:tcW w:w="5310" w:type="dxa"/>
          </w:tcPr>
          <w:p w14:paraId="4D2476F0" w14:textId="77777777" w:rsidR="00B23894" w:rsidRPr="00211BC0" w:rsidRDefault="00B23894" w:rsidP="00804934">
            <w:pPr>
              <w:pStyle w:val="TableNormalNoSpaceAfter"/>
              <w:rPr>
                <w:szCs w:val="24"/>
              </w:rPr>
            </w:pPr>
            <w:r w:rsidRPr="00870907">
              <w:t>Annual Average Daily Traffic</w:t>
            </w:r>
          </w:p>
        </w:tc>
      </w:tr>
      <w:tr w:rsidR="00B531C6" w:rsidRPr="00211BC0" w14:paraId="4DBA87C0" w14:textId="77777777" w:rsidTr="00804934">
        <w:trPr>
          <w:cnfStyle w:val="000000010000" w:firstRow="0" w:lastRow="0" w:firstColumn="0" w:lastColumn="0" w:oddVBand="0" w:evenVBand="0" w:oddHBand="0" w:evenHBand="1" w:firstRowFirstColumn="0" w:firstRowLastColumn="0" w:lastRowFirstColumn="0" w:lastRowLastColumn="0"/>
          <w:cantSplit/>
          <w:trHeight w:val="25"/>
        </w:trPr>
        <w:tc>
          <w:tcPr>
            <w:tcW w:w="3865" w:type="dxa"/>
          </w:tcPr>
          <w:p w14:paraId="21AAE0D4" w14:textId="61224084" w:rsidR="00B531C6" w:rsidRPr="00870907" w:rsidRDefault="00B531C6" w:rsidP="00804934">
            <w:pPr>
              <w:pStyle w:val="TableNormalNoSpaceAfter"/>
            </w:pPr>
            <w:r>
              <w:t>AERMOD</w:t>
            </w:r>
          </w:p>
        </w:tc>
        <w:tc>
          <w:tcPr>
            <w:tcW w:w="5310" w:type="dxa"/>
          </w:tcPr>
          <w:p w14:paraId="337FED2C" w14:textId="77777777" w:rsidR="00B531C6" w:rsidRPr="00870907" w:rsidRDefault="00B531C6" w:rsidP="00804934">
            <w:pPr>
              <w:pStyle w:val="TableNormalNoSpaceAfter"/>
            </w:pPr>
          </w:p>
        </w:tc>
      </w:tr>
      <w:tr w:rsidR="00B23894" w:rsidRPr="00211BC0" w14:paraId="7DD97E54"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4188B179" w14:textId="77777777" w:rsidR="00B23894" w:rsidRPr="00ED41D0" w:rsidRDefault="00B23894" w:rsidP="00804934">
            <w:pPr>
              <w:pStyle w:val="TableNormalNoSpaceAfter"/>
              <w:rPr>
                <w:szCs w:val="24"/>
              </w:rPr>
            </w:pPr>
            <w:r w:rsidRPr="00ED41D0">
              <w:t>CAA</w:t>
            </w:r>
          </w:p>
        </w:tc>
        <w:tc>
          <w:tcPr>
            <w:tcW w:w="5310" w:type="dxa"/>
          </w:tcPr>
          <w:p w14:paraId="340D5097" w14:textId="77777777" w:rsidR="00B23894" w:rsidRPr="00ED41D0" w:rsidRDefault="00B23894" w:rsidP="00804934">
            <w:pPr>
              <w:pStyle w:val="TableNormalNoSpaceAfter"/>
              <w:rPr>
                <w:szCs w:val="24"/>
              </w:rPr>
            </w:pPr>
            <w:r w:rsidRPr="00ED41D0">
              <w:t>Clean Air Act</w:t>
            </w:r>
          </w:p>
        </w:tc>
      </w:tr>
      <w:tr w:rsidR="00B23894" w:rsidRPr="00211BC0" w14:paraId="48512F7E"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1BD055AD" w14:textId="77777777" w:rsidR="00B23894" w:rsidRPr="00B531C6" w:rsidRDefault="00B23894" w:rsidP="00804934">
            <w:pPr>
              <w:pStyle w:val="TableNormalNoSpaceAfter"/>
              <w:rPr>
                <w:szCs w:val="24"/>
              </w:rPr>
            </w:pPr>
            <w:r w:rsidRPr="00B531C6">
              <w:t>CAAA</w:t>
            </w:r>
          </w:p>
        </w:tc>
        <w:tc>
          <w:tcPr>
            <w:tcW w:w="5310" w:type="dxa"/>
          </w:tcPr>
          <w:p w14:paraId="22739CC0" w14:textId="77777777" w:rsidR="00B23894" w:rsidRPr="00B531C6" w:rsidRDefault="00B23894" w:rsidP="00804934">
            <w:pPr>
              <w:pStyle w:val="TableNormalNoSpaceAfter"/>
              <w:rPr>
                <w:szCs w:val="24"/>
              </w:rPr>
            </w:pPr>
            <w:r w:rsidRPr="00B531C6">
              <w:t>Clean Air Act Amendments</w:t>
            </w:r>
          </w:p>
        </w:tc>
      </w:tr>
      <w:tr w:rsidR="00B23894" w:rsidRPr="00211BC0" w14:paraId="4F7D31A9"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6D97C206" w14:textId="77777777" w:rsidR="00B23894" w:rsidRPr="00211BC0" w:rsidRDefault="00B23894" w:rsidP="00804934">
            <w:pPr>
              <w:pStyle w:val="TableNormalNoSpaceAfter"/>
              <w:rPr>
                <w:szCs w:val="24"/>
              </w:rPr>
            </w:pPr>
            <w:r w:rsidRPr="00870907">
              <w:t>CFR</w:t>
            </w:r>
          </w:p>
        </w:tc>
        <w:tc>
          <w:tcPr>
            <w:tcW w:w="5310" w:type="dxa"/>
          </w:tcPr>
          <w:p w14:paraId="71FB446E" w14:textId="77777777" w:rsidR="00B23894" w:rsidRPr="00211BC0" w:rsidRDefault="00B23894" w:rsidP="00804934">
            <w:pPr>
              <w:pStyle w:val="TableNormalNoSpaceAfter"/>
              <w:rPr>
                <w:szCs w:val="24"/>
              </w:rPr>
            </w:pPr>
            <w:r w:rsidRPr="00870907">
              <w:t>Code of Federal Regulations</w:t>
            </w:r>
          </w:p>
        </w:tc>
      </w:tr>
      <w:tr w:rsidR="00B23894" w:rsidRPr="00211BC0" w14:paraId="0C1AAA5F"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10E70A6C" w14:textId="77777777" w:rsidR="00B23894" w:rsidRPr="00B531C6" w:rsidRDefault="00B23894" w:rsidP="00804934">
            <w:pPr>
              <w:pStyle w:val="TableNormalNoSpaceAfter"/>
              <w:rPr>
                <w:szCs w:val="24"/>
              </w:rPr>
            </w:pPr>
            <w:r w:rsidRPr="00B531C6">
              <w:t>CMAQ</w:t>
            </w:r>
          </w:p>
        </w:tc>
        <w:tc>
          <w:tcPr>
            <w:tcW w:w="5310" w:type="dxa"/>
          </w:tcPr>
          <w:p w14:paraId="0A87858A" w14:textId="77777777" w:rsidR="00B23894" w:rsidRPr="00B531C6" w:rsidRDefault="00B23894" w:rsidP="00804934">
            <w:pPr>
              <w:pStyle w:val="TableNormalNoSpaceAfter"/>
              <w:rPr>
                <w:szCs w:val="24"/>
              </w:rPr>
            </w:pPr>
            <w:r w:rsidRPr="00B531C6">
              <w:t>Congestion Mitigation and Air Quality Improvement Program</w:t>
            </w:r>
          </w:p>
        </w:tc>
      </w:tr>
      <w:tr w:rsidR="00B23894" w:rsidRPr="00211BC0" w14:paraId="0A06226C"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7606AA91" w14:textId="77777777" w:rsidR="00B23894" w:rsidRPr="00211BC0" w:rsidRDefault="00B23894" w:rsidP="00804934">
            <w:pPr>
              <w:pStyle w:val="TableNormalNoSpaceAfter"/>
              <w:rPr>
                <w:szCs w:val="24"/>
              </w:rPr>
            </w:pPr>
            <w:r w:rsidRPr="00870907">
              <w:t>CMP</w:t>
            </w:r>
          </w:p>
        </w:tc>
        <w:tc>
          <w:tcPr>
            <w:tcW w:w="5310" w:type="dxa"/>
          </w:tcPr>
          <w:p w14:paraId="78CA7562" w14:textId="77777777" w:rsidR="00B23894" w:rsidRPr="00211BC0" w:rsidRDefault="00B23894" w:rsidP="00804934">
            <w:pPr>
              <w:pStyle w:val="TableNormalNoSpaceAfter"/>
              <w:rPr>
                <w:szCs w:val="24"/>
              </w:rPr>
            </w:pPr>
            <w:r w:rsidRPr="00870907">
              <w:t>Congestion Management Process</w:t>
            </w:r>
          </w:p>
        </w:tc>
      </w:tr>
      <w:tr w:rsidR="00B531C6" w:rsidRPr="00211BC0" w14:paraId="6541DB47"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459E31CA" w14:textId="3CA90A63" w:rsidR="00B531C6" w:rsidRPr="00870907" w:rsidRDefault="00B531C6" w:rsidP="00804934">
            <w:pPr>
              <w:pStyle w:val="TableNormalNoSpaceAfter"/>
            </w:pPr>
            <w:r>
              <w:t>CNG</w:t>
            </w:r>
          </w:p>
        </w:tc>
        <w:tc>
          <w:tcPr>
            <w:tcW w:w="5310" w:type="dxa"/>
          </w:tcPr>
          <w:p w14:paraId="60E8FD14" w14:textId="7CC2C29E" w:rsidR="00B531C6" w:rsidRPr="00870907" w:rsidRDefault="00B531C6" w:rsidP="00804934">
            <w:pPr>
              <w:pStyle w:val="TableNormalNoSpaceAfter"/>
            </w:pPr>
            <w:r>
              <w:t>Compressed Natural Gas</w:t>
            </w:r>
          </w:p>
        </w:tc>
      </w:tr>
      <w:tr w:rsidR="00B23894" w:rsidRPr="00211BC0" w14:paraId="35416296"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2863396A" w14:textId="77777777" w:rsidR="00B23894" w:rsidRPr="00211BC0" w:rsidRDefault="00B23894" w:rsidP="00804934">
            <w:pPr>
              <w:pStyle w:val="TableNormalNoSpaceAfter"/>
              <w:rPr>
                <w:szCs w:val="24"/>
              </w:rPr>
            </w:pPr>
            <w:r w:rsidRPr="00870907">
              <w:t>CO</w:t>
            </w:r>
          </w:p>
        </w:tc>
        <w:tc>
          <w:tcPr>
            <w:tcW w:w="5310" w:type="dxa"/>
          </w:tcPr>
          <w:p w14:paraId="019E697C" w14:textId="77777777" w:rsidR="00B23894" w:rsidRPr="00211BC0" w:rsidRDefault="00B23894" w:rsidP="00804934">
            <w:pPr>
              <w:pStyle w:val="TableNormalNoSpaceAfter"/>
              <w:rPr>
                <w:szCs w:val="24"/>
              </w:rPr>
            </w:pPr>
            <w:r w:rsidRPr="00870907">
              <w:t>Carbon Monoxide</w:t>
            </w:r>
          </w:p>
        </w:tc>
      </w:tr>
      <w:tr w:rsidR="00B23894" w:rsidRPr="00211BC0" w14:paraId="2BAA8DC3"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286FD23C" w14:textId="77777777" w:rsidR="00B23894" w:rsidRPr="00211BC0" w:rsidRDefault="00B23894" w:rsidP="00804934">
            <w:pPr>
              <w:pStyle w:val="TableNormalNoSpaceAfter"/>
              <w:rPr>
                <w:szCs w:val="24"/>
              </w:rPr>
            </w:pPr>
            <w:r w:rsidRPr="00870907">
              <w:t>ENV</w:t>
            </w:r>
          </w:p>
        </w:tc>
        <w:tc>
          <w:tcPr>
            <w:tcW w:w="5310" w:type="dxa"/>
          </w:tcPr>
          <w:p w14:paraId="64E1208C" w14:textId="77777777" w:rsidR="00B23894" w:rsidRPr="00211BC0" w:rsidRDefault="00B23894" w:rsidP="00804934">
            <w:pPr>
              <w:pStyle w:val="TableNormalNoSpaceAfter"/>
              <w:rPr>
                <w:szCs w:val="24"/>
              </w:rPr>
            </w:pPr>
            <w:r w:rsidRPr="00870907">
              <w:t>TxDOT Environmental Affairs Division</w:t>
            </w:r>
          </w:p>
        </w:tc>
      </w:tr>
      <w:tr w:rsidR="00B23894" w:rsidRPr="00211BC0" w14:paraId="4749F1FA"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490D4D67" w14:textId="77777777" w:rsidR="00B23894" w:rsidRPr="000C0221" w:rsidRDefault="00B23894" w:rsidP="00804934">
            <w:pPr>
              <w:pStyle w:val="TableNormalNoSpaceAfter"/>
              <w:rPr>
                <w:szCs w:val="24"/>
              </w:rPr>
            </w:pPr>
            <w:r w:rsidRPr="000C0221">
              <w:t>EPA</w:t>
            </w:r>
          </w:p>
        </w:tc>
        <w:tc>
          <w:tcPr>
            <w:tcW w:w="5310" w:type="dxa"/>
          </w:tcPr>
          <w:p w14:paraId="1E5F40E9" w14:textId="77777777" w:rsidR="00B23894" w:rsidRPr="000C0221" w:rsidRDefault="00B23894" w:rsidP="00804934">
            <w:pPr>
              <w:pStyle w:val="TableNormalNoSpaceAfter"/>
              <w:rPr>
                <w:szCs w:val="24"/>
              </w:rPr>
            </w:pPr>
            <w:r w:rsidRPr="000C0221">
              <w:t>Environmental Protection Agency</w:t>
            </w:r>
          </w:p>
        </w:tc>
      </w:tr>
      <w:tr w:rsidR="00B23894" w:rsidRPr="00211BC0" w14:paraId="61B2D016"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7AD4DAA9" w14:textId="77777777" w:rsidR="00B23894" w:rsidRPr="000C0221" w:rsidRDefault="00B23894" w:rsidP="00804934">
            <w:pPr>
              <w:pStyle w:val="TableNormalNoSpaceAfter"/>
              <w:rPr>
                <w:szCs w:val="24"/>
              </w:rPr>
            </w:pPr>
            <w:r w:rsidRPr="000C0221">
              <w:t>ETC</w:t>
            </w:r>
          </w:p>
        </w:tc>
        <w:tc>
          <w:tcPr>
            <w:tcW w:w="5310" w:type="dxa"/>
          </w:tcPr>
          <w:p w14:paraId="52D5733D" w14:textId="77777777" w:rsidR="00B23894" w:rsidRPr="000C0221" w:rsidRDefault="00B23894" w:rsidP="00804934">
            <w:pPr>
              <w:pStyle w:val="TableNormalNoSpaceAfter"/>
              <w:rPr>
                <w:szCs w:val="24"/>
              </w:rPr>
            </w:pPr>
            <w:r w:rsidRPr="000C0221">
              <w:t>Estimated Time of Completion</w:t>
            </w:r>
          </w:p>
        </w:tc>
      </w:tr>
      <w:tr w:rsidR="00B23894" w:rsidRPr="00211BC0" w14:paraId="2FB1729C"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23E5CF89" w14:textId="77777777" w:rsidR="00B23894" w:rsidRPr="00211BC0" w:rsidRDefault="00B23894" w:rsidP="00804934">
            <w:pPr>
              <w:pStyle w:val="TableNormalNoSpaceAfter"/>
              <w:rPr>
                <w:szCs w:val="24"/>
              </w:rPr>
            </w:pPr>
            <w:r w:rsidRPr="00870907">
              <w:t>FHWA</w:t>
            </w:r>
          </w:p>
        </w:tc>
        <w:tc>
          <w:tcPr>
            <w:tcW w:w="5310" w:type="dxa"/>
          </w:tcPr>
          <w:p w14:paraId="425771B1" w14:textId="77777777" w:rsidR="00B23894" w:rsidRPr="00211BC0" w:rsidRDefault="00B23894" w:rsidP="00804934">
            <w:pPr>
              <w:pStyle w:val="TableNormalNoSpaceAfter"/>
              <w:rPr>
                <w:szCs w:val="24"/>
              </w:rPr>
            </w:pPr>
            <w:r w:rsidRPr="00870907">
              <w:t>Federal Highway Administration</w:t>
            </w:r>
          </w:p>
        </w:tc>
      </w:tr>
      <w:tr w:rsidR="00B23894" w:rsidRPr="00211BC0" w14:paraId="77575C1A"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4586A64F" w14:textId="77777777" w:rsidR="00B23894" w:rsidRPr="00B531C6" w:rsidRDefault="00B23894" w:rsidP="00804934">
            <w:pPr>
              <w:pStyle w:val="TableNormalNoSpaceAfter"/>
              <w:rPr>
                <w:szCs w:val="24"/>
              </w:rPr>
            </w:pPr>
            <w:r w:rsidRPr="00B531C6">
              <w:t>FR</w:t>
            </w:r>
          </w:p>
        </w:tc>
        <w:tc>
          <w:tcPr>
            <w:tcW w:w="5310" w:type="dxa"/>
          </w:tcPr>
          <w:p w14:paraId="59A70428" w14:textId="77777777" w:rsidR="00B23894" w:rsidRPr="00B531C6" w:rsidRDefault="00B23894" w:rsidP="00804934">
            <w:pPr>
              <w:pStyle w:val="TableNormalNoSpaceAfter"/>
              <w:rPr>
                <w:szCs w:val="24"/>
              </w:rPr>
            </w:pPr>
            <w:r w:rsidRPr="00B531C6">
              <w:t>Federal Register</w:t>
            </w:r>
          </w:p>
        </w:tc>
      </w:tr>
      <w:tr w:rsidR="00B23894" w:rsidRPr="00211BC0" w14:paraId="7972BC1C"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6D754F06" w14:textId="77777777" w:rsidR="00B23894" w:rsidRPr="00211BC0" w:rsidRDefault="00B23894" w:rsidP="00804934">
            <w:pPr>
              <w:pStyle w:val="TableNormalNoSpaceAfter"/>
              <w:rPr>
                <w:szCs w:val="24"/>
              </w:rPr>
            </w:pPr>
            <w:r w:rsidRPr="00870907">
              <w:t>FTA</w:t>
            </w:r>
          </w:p>
        </w:tc>
        <w:tc>
          <w:tcPr>
            <w:tcW w:w="5310" w:type="dxa"/>
          </w:tcPr>
          <w:p w14:paraId="48658381" w14:textId="77777777" w:rsidR="00B23894" w:rsidRPr="00211BC0" w:rsidRDefault="00B23894" w:rsidP="00804934">
            <w:pPr>
              <w:pStyle w:val="TableNormalNoSpaceAfter"/>
              <w:rPr>
                <w:szCs w:val="24"/>
              </w:rPr>
            </w:pPr>
            <w:r w:rsidRPr="00870907">
              <w:t>Federal Transit Administration</w:t>
            </w:r>
          </w:p>
        </w:tc>
      </w:tr>
      <w:tr w:rsidR="00B531C6" w:rsidRPr="00211BC0" w14:paraId="3B8792E2"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33065E2D" w14:textId="2C8C27B4" w:rsidR="00B531C6" w:rsidRDefault="00B531C6" w:rsidP="00804934">
            <w:pPr>
              <w:pStyle w:val="TableNormalNoSpaceAfter"/>
            </w:pPr>
            <w:r>
              <w:t>GDI</w:t>
            </w:r>
          </w:p>
        </w:tc>
        <w:tc>
          <w:tcPr>
            <w:tcW w:w="5310" w:type="dxa"/>
          </w:tcPr>
          <w:p w14:paraId="1657A5FD" w14:textId="162354D1" w:rsidR="00B531C6" w:rsidRDefault="00B531C6" w:rsidP="00804934">
            <w:pPr>
              <w:pStyle w:val="TableNormalNoSpaceAfter"/>
            </w:pPr>
            <w:r>
              <w:t>Gasoline Direct Injection</w:t>
            </w:r>
          </w:p>
        </w:tc>
      </w:tr>
      <w:tr w:rsidR="00B531C6" w:rsidRPr="00211BC0" w14:paraId="74F0835C"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645009B4" w14:textId="0821DB78" w:rsidR="00B531C6" w:rsidRDefault="00B531C6" w:rsidP="00804934">
            <w:pPr>
              <w:pStyle w:val="TableNormalNoSpaceAfter"/>
            </w:pPr>
            <w:r>
              <w:t>HC</w:t>
            </w:r>
          </w:p>
        </w:tc>
        <w:tc>
          <w:tcPr>
            <w:tcW w:w="5310" w:type="dxa"/>
          </w:tcPr>
          <w:p w14:paraId="6D912976" w14:textId="4C306B3C" w:rsidR="00B531C6" w:rsidRDefault="00B531C6" w:rsidP="00804934">
            <w:pPr>
              <w:pStyle w:val="TableNormalNoSpaceAfter"/>
            </w:pPr>
            <w:r>
              <w:t>Hydrocarbon</w:t>
            </w:r>
          </w:p>
        </w:tc>
      </w:tr>
      <w:tr w:rsidR="00B531C6" w:rsidRPr="00211BC0" w14:paraId="00D7EAA0"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36BEA65D" w14:textId="46EA8A80" w:rsidR="00B531C6" w:rsidRPr="000C0221" w:rsidRDefault="00B531C6" w:rsidP="00804934">
            <w:pPr>
              <w:pStyle w:val="TableNormalNoSpaceAfter"/>
            </w:pPr>
            <w:r>
              <w:t>HD</w:t>
            </w:r>
          </w:p>
        </w:tc>
        <w:tc>
          <w:tcPr>
            <w:tcW w:w="5310" w:type="dxa"/>
          </w:tcPr>
          <w:p w14:paraId="4B0102DE" w14:textId="0FF85C71" w:rsidR="00B531C6" w:rsidRPr="000C0221" w:rsidRDefault="00B531C6" w:rsidP="00804934">
            <w:pPr>
              <w:pStyle w:val="TableNormalNoSpaceAfter"/>
            </w:pPr>
            <w:r>
              <w:t>Heavy Duty</w:t>
            </w:r>
          </w:p>
        </w:tc>
      </w:tr>
      <w:tr w:rsidR="00B23894" w:rsidRPr="00211BC0" w14:paraId="1D195DE8"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41A76C9E" w14:textId="77777777" w:rsidR="00B23894" w:rsidRPr="000C0221" w:rsidRDefault="00B23894" w:rsidP="00804934">
            <w:pPr>
              <w:pStyle w:val="TableNormalNoSpaceAfter"/>
              <w:rPr>
                <w:szCs w:val="24"/>
              </w:rPr>
            </w:pPr>
            <w:r w:rsidRPr="000C0221">
              <w:t>HEI</w:t>
            </w:r>
          </w:p>
        </w:tc>
        <w:tc>
          <w:tcPr>
            <w:tcW w:w="5310" w:type="dxa"/>
          </w:tcPr>
          <w:p w14:paraId="4EFEB959" w14:textId="77777777" w:rsidR="00B23894" w:rsidRPr="000C0221" w:rsidRDefault="00B23894" w:rsidP="00804934">
            <w:pPr>
              <w:pStyle w:val="TableNormalNoSpaceAfter"/>
              <w:rPr>
                <w:szCs w:val="24"/>
              </w:rPr>
            </w:pPr>
            <w:r w:rsidRPr="000C0221">
              <w:t>Health Effects Institute</w:t>
            </w:r>
          </w:p>
        </w:tc>
      </w:tr>
      <w:tr w:rsidR="00B531C6" w:rsidRPr="00211BC0" w14:paraId="693FF191"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539C2F02" w14:textId="63ED1903" w:rsidR="00B531C6" w:rsidRPr="000C0221" w:rsidRDefault="00B531C6" w:rsidP="00804934">
            <w:pPr>
              <w:pStyle w:val="TableNormalNoSpaceAfter"/>
            </w:pPr>
            <w:r>
              <w:t>ID</w:t>
            </w:r>
          </w:p>
        </w:tc>
        <w:tc>
          <w:tcPr>
            <w:tcW w:w="5310" w:type="dxa"/>
          </w:tcPr>
          <w:p w14:paraId="29C442B5" w14:textId="254CF1B0" w:rsidR="00B531C6" w:rsidRPr="000C0221" w:rsidRDefault="00B531C6" w:rsidP="00804934">
            <w:pPr>
              <w:pStyle w:val="TableNormalNoSpaceAfter"/>
            </w:pPr>
            <w:r>
              <w:t>Identification</w:t>
            </w:r>
          </w:p>
        </w:tc>
      </w:tr>
      <w:tr w:rsidR="00B23894" w:rsidRPr="00211BC0" w14:paraId="721031CA"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71344733" w14:textId="77777777" w:rsidR="00B23894" w:rsidRPr="000C0221" w:rsidRDefault="00B23894" w:rsidP="00804934">
            <w:pPr>
              <w:pStyle w:val="TableNormalNoSpaceAfter"/>
              <w:rPr>
                <w:szCs w:val="24"/>
              </w:rPr>
            </w:pPr>
            <w:r w:rsidRPr="000C0221">
              <w:lastRenderedPageBreak/>
              <w:t>IRIS</w:t>
            </w:r>
          </w:p>
        </w:tc>
        <w:tc>
          <w:tcPr>
            <w:tcW w:w="5310" w:type="dxa"/>
          </w:tcPr>
          <w:p w14:paraId="7D9C5906" w14:textId="77777777" w:rsidR="00B23894" w:rsidRPr="000C0221" w:rsidRDefault="00B23894" w:rsidP="00804934">
            <w:pPr>
              <w:pStyle w:val="TableNormalNoSpaceAfter"/>
              <w:rPr>
                <w:szCs w:val="24"/>
              </w:rPr>
            </w:pPr>
            <w:r w:rsidRPr="000C0221">
              <w:t>Integrated Risk Information System</w:t>
            </w:r>
          </w:p>
        </w:tc>
      </w:tr>
      <w:tr w:rsidR="00B531C6" w:rsidRPr="00211BC0" w14:paraId="3C517028"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2CCF4BE9" w14:textId="47F7FDF1" w:rsidR="00B531C6" w:rsidRDefault="00B531C6" w:rsidP="00804934">
            <w:pPr>
              <w:pStyle w:val="TableNormalNoSpaceAfter"/>
            </w:pPr>
            <w:r>
              <w:t>LD</w:t>
            </w:r>
          </w:p>
        </w:tc>
        <w:tc>
          <w:tcPr>
            <w:tcW w:w="5310" w:type="dxa"/>
          </w:tcPr>
          <w:p w14:paraId="279FE643" w14:textId="32B556DD" w:rsidR="00B531C6" w:rsidRPr="00B531C6" w:rsidRDefault="00B531C6" w:rsidP="00804934">
            <w:pPr>
              <w:pStyle w:val="TableNormalNoSpaceAfter"/>
            </w:pPr>
            <w:r>
              <w:t>Light Duty</w:t>
            </w:r>
          </w:p>
        </w:tc>
      </w:tr>
      <w:tr w:rsidR="000C0221" w:rsidRPr="00211BC0" w14:paraId="1AA08A9F"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1A677BC3" w14:textId="7801A089" w:rsidR="000C0221" w:rsidRPr="00870907" w:rsidRDefault="000C0221" w:rsidP="00804934">
            <w:pPr>
              <w:pStyle w:val="TableNormalNoSpaceAfter"/>
            </w:pPr>
            <w:r>
              <w:t>MOVES</w:t>
            </w:r>
          </w:p>
        </w:tc>
        <w:tc>
          <w:tcPr>
            <w:tcW w:w="5310" w:type="dxa"/>
          </w:tcPr>
          <w:p w14:paraId="0F03AA14" w14:textId="212AAE0A" w:rsidR="000C0221" w:rsidRPr="00870907" w:rsidRDefault="00B531C6" w:rsidP="00804934">
            <w:pPr>
              <w:pStyle w:val="TableNormalNoSpaceAfter"/>
            </w:pPr>
            <w:r w:rsidRPr="00B531C6">
              <w:t>M</w:t>
            </w:r>
            <w:r w:rsidR="00915484">
              <w:t>o</w:t>
            </w:r>
            <w:r w:rsidRPr="00B531C6">
              <w:t>tor Vehicle Emissions Simulator</w:t>
            </w:r>
          </w:p>
        </w:tc>
      </w:tr>
      <w:tr w:rsidR="00B23894" w:rsidRPr="00211BC0" w14:paraId="10CA2466"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725300E6" w14:textId="77777777" w:rsidR="00B23894" w:rsidRPr="00211BC0" w:rsidRDefault="00B23894" w:rsidP="00804934">
            <w:pPr>
              <w:pStyle w:val="TableNormalNoSpaceAfter"/>
              <w:rPr>
                <w:szCs w:val="24"/>
              </w:rPr>
            </w:pPr>
            <w:r w:rsidRPr="00870907">
              <w:t>MPO</w:t>
            </w:r>
          </w:p>
        </w:tc>
        <w:tc>
          <w:tcPr>
            <w:tcW w:w="5310" w:type="dxa"/>
          </w:tcPr>
          <w:p w14:paraId="755674C2" w14:textId="77777777" w:rsidR="00B23894" w:rsidRPr="00211BC0" w:rsidRDefault="00B23894" w:rsidP="00804934">
            <w:pPr>
              <w:pStyle w:val="TableNormalNoSpaceAfter"/>
              <w:rPr>
                <w:szCs w:val="24"/>
              </w:rPr>
            </w:pPr>
            <w:r w:rsidRPr="00870907">
              <w:t>Metropolitan Planning Organization</w:t>
            </w:r>
          </w:p>
        </w:tc>
      </w:tr>
      <w:tr w:rsidR="00B23894" w:rsidRPr="00211BC0" w14:paraId="27CC356B"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35E32284" w14:textId="77777777" w:rsidR="00B23894" w:rsidRPr="00211BC0" w:rsidRDefault="00B23894" w:rsidP="00804934">
            <w:pPr>
              <w:pStyle w:val="TableNormalNoSpaceAfter"/>
              <w:rPr>
                <w:szCs w:val="24"/>
              </w:rPr>
            </w:pPr>
            <w:r w:rsidRPr="00870907">
              <w:t>MSAT</w:t>
            </w:r>
          </w:p>
        </w:tc>
        <w:tc>
          <w:tcPr>
            <w:tcW w:w="5310" w:type="dxa"/>
          </w:tcPr>
          <w:p w14:paraId="65AFE40A" w14:textId="77777777" w:rsidR="00B23894" w:rsidRPr="00211BC0" w:rsidRDefault="00B23894" w:rsidP="00804934">
            <w:pPr>
              <w:pStyle w:val="TableNormalNoSpaceAfter"/>
              <w:rPr>
                <w:szCs w:val="24"/>
              </w:rPr>
            </w:pPr>
            <w:r w:rsidRPr="00870907">
              <w:t>Mobile Source Air Toxics</w:t>
            </w:r>
          </w:p>
        </w:tc>
      </w:tr>
      <w:tr w:rsidR="00B23894" w:rsidRPr="00211BC0" w14:paraId="2504DC75"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6029FEEB" w14:textId="77777777" w:rsidR="00B23894" w:rsidRPr="00211BC0" w:rsidRDefault="00B23894" w:rsidP="00804934">
            <w:pPr>
              <w:pStyle w:val="TableNormalNoSpaceAfter"/>
              <w:rPr>
                <w:szCs w:val="24"/>
              </w:rPr>
            </w:pPr>
            <w:r w:rsidRPr="00870907">
              <w:t>MTP</w:t>
            </w:r>
          </w:p>
        </w:tc>
        <w:tc>
          <w:tcPr>
            <w:tcW w:w="5310" w:type="dxa"/>
          </w:tcPr>
          <w:p w14:paraId="46256E4A" w14:textId="77777777" w:rsidR="00B23894" w:rsidRPr="00211BC0" w:rsidRDefault="00B23894" w:rsidP="00804934">
            <w:pPr>
              <w:pStyle w:val="TableNormalNoSpaceAfter"/>
              <w:rPr>
                <w:szCs w:val="24"/>
              </w:rPr>
            </w:pPr>
            <w:r w:rsidRPr="00870907">
              <w:t>Metropolitan Transportation Plan</w:t>
            </w:r>
          </w:p>
        </w:tc>
      </w:tr>
      <w:tr w:rsidR="00B23894" w:rsidRPr="00211BC0" w14:paraId="762A596E"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468A4A99" w14:textId="77777777" w:rsidR="00B23894" w:rsidRPr="00211BC0" w:rsidRDefault="00B23894" w:rsidP="00804934">
            <w:pPr>
              <w:pStyle w:val="TableNormalNoSpaceAfter"/>
              <w:rPr>
                <w:szCs w:val="24"/>
              </w:rPr>
            </w:pPr>
            <w:r w:rsidRPr="00870907">
              <w:t>NAAQS</w:t>
            </w:r>
          </w:p>
        </w:tc>
        <w:tc>
          <w:tcPr>
            <w:tcW w:w="5310" w:type="dxa"/>
          </w:tcPr>
          <w:p w14:paraId="425C9E1B" w14:textId="77777777" w:rsidR="00B23894" w:rsidRPr="00211BC0" w:rsidRDefault="00B23894" w:rsidP="00804934">
            <w:pPr>
              <w:pStyle w:val="TableNormalNoSpaceAfter"/>
              <w:rPr>
                <w:szCs w:val="24"/>
              </w:rPr>
            </w:pPr>
            <w:r w:rsidRPr="00870907">
              <w:t>National Ambient Air Quality Standards</w:t>
            </w:r>
          </w:p>
        </w:tc>
      </w:tr>
      <w:tr w:rsidR="00B23894" w:rsidRPr="00211BC0" w14:paraId="30CBCAE5"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51B5D92E" w14:textId="77777777" w:rsidR="00B23894" w:rsidRPr="00211BC0" w:rsidRDefault="00B23894" w:rsidP="00804934">
            <w:pPr>
              <w:pStyle w:val="TableNormalNoSpaceAfter"/>
              <w:rPr>
                <w:szCs w:val="24"/>
              </w:rPr>
            </w:pPr>
            <w:r w:rsidRPr="00870907">
              <w:t>NA or MA</w:t>
            </w:r>
          </w:p>
        </w:tc>
        <w:tc>
          <w:tcPr>
            <w:tcW w:w="5310" w:type="dxa"/>
          </w:tcPr>
          <w:p w14:paraId="48599C3E" w14:textId="77777777" w:rsidR="00B23894" w:rsidRPr="00211BC0" w:rsidRDefault="00B23894" w:rsidP="00804934">
            <w:pPr>
              <w:pStyle w:val="TableNormalNoSpaceAfter"/>
              <w:rPr>
                <w:szCs w:val="24"/>
              </w:rPr>
            </w:pPr>
            <w:r w:rsidRPr="00870907">
              <w:t>Nonattainment or Maintenance Area</w:t>
            </w:r>
          </w:p>
        </w:tc>
      </w:tr>
      <w:tr w:rsidR="00B23894" w:rsidRPr="00211BC0" w14:paraId="2CD5169E"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15337AE7" w14:textId="77777777" w:rsidR="00B23894" w:rsidRPr="00B531C6" w:rsidRDefault="00B23894" w:rsidP="00804934">
            <w:pPr>
              <w:pStyle w:val="TableNormalNoSpaceAfter"/>
              <w:rPr>
                <w:szCs w:val="24"/>
              </w:rPr>
            </w:pPr>
            <w:r w:rsidRPr="00B531C6">
              <w:t>NATA</w:t>
            </w:r>
          </w:p>
        </w:tc>
        <w:tc>
          <w:tcPr>
            <w:tcW w:w="5310" w:type="dxa"/>
          </w:tcPr>
          <w:p w14:paraId="72FE9CDF" w14:textId="77777777" w:rsidR="00B23894" w:rsidRPr="00B531C6" w:rsidRDefault="00B23894" w:rsidP="00804934">
            <w:pPr>
              <w:pStyle w:val="TableNormalNoSpaceAfter"/>
              <w:rPr>
                <w:szCs w:val="24"/>
              </w:rPr>
            </w:pPr>
            <w:r w:rsidRPr="00B531C6">
              <w:t>National Air Toxics Assessment</w:t>
            </w:r>
          </w:p>
        </w:tc>
      </w:tr>
      <w:tr w:rsidR="00B23894" w:rsidRPr="00211BC0" w14:paraId="3AB28FF2"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05D16BC4" w14:textId="77777777" w:rsidR="00B23894" w:rsidRPr="00211BC0" w:rsidRDefault="00B23894" w:rsidP="00804934">
            <w:pPr>
              <w:pStyle w:val="TableNormalNoSpaceAfter"/>
              <w:rPr>
                <w:szCs w:val="24"/>
              </w:rPr>
            </w:pPr>
            <w:r w:rsidRPr="00870907">
              <w:t>NEPA</w:t>
            </w:r>
          </w:p>
        </w:tc>
        <w:tc>
          <w:tcPr>
            <w:tcW w:w="5310" w:type="dxa"/>
          </w:tcPr>
          <w:p w14:paraId="4E1FF2CD" w14:textId="77777777" w:rsidR="00B23894" w:rsidRPr="00211BC0" w:rsidRDefault="00B23894" w:rsidP="00804934">
            <w:pPr>
              <w:pStyle w:val="TableNormalNoSpaceAfter"/>
              <w:rPr>
                <w:szCs w:val="24"/>
              </w:rPr>
            </w:pPr>
            <w:r w:rsidRPr="00870907">
              <w:t>National Environmental Policy Act of 1969</w:t>
            </w:r>
          </w:p>
        </w:tc>
      </w:tr>
      <w:tr w:rsidR="00B23894" w:rsidRPr="00211BC0" w14:paraId="02D23E5E"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6F48F8D9" w14:textId="77777777" w:rsidR="00B23894" w:rsidRPr="00211BC0" w:rsidRDefault="00B23894" w:rsidP="00804934">
            <w:pPr>
              <w:pStyle w:val="TableNormalNoSpaceAfter"/>
              <w:rPr>
                <w:szCs w:val="24"/>
              </w:rPr>
            </w:pPr>
            <w:r w:rsidRPr="00870907">
              <w:t>NO2</w:t>
            </w:r>
          </w:p>
        </w:tc>
        <w:tc>
          <w:tcPr>
            <w:tcW w:w="5310" w:type="dxa"/>
          </w:tcPr>
          <w:p w14:paraId="5D7F970A" w14:textId="77777777" w:rsidR="00B23894" w:rsidRPr="00211BC0" w:rsidRDefault="00B23894" w:rsidP="00804934">
            <w:pPr>
              <w:pStyle w:val="TableNormalNoSpaceAfter"/>
              <w:rPr>
                <w:szCs w:val="24"/>
              </w:rPr>
            </w:pPr>
            <w:r w:rsidRPr="00870907">
              <w:t>Nitrogen Dioxide</w:t>
            </w:r>
          </w:p>
        </w:tc>
      </w:tr>
      <w:tr w:rsidR="00B531C6" w:rsidRPr="00211BC0" w14:paraId="3BA04CC9"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09FE7F56" w14:textId="1B1E9BF0" w:rsidR="00B531C6" w:rsidRPr="00870907" w:rsidRDefault="00B531C6" w:rsidP="00804934">
            <w:pPr>
              <w:pStyle w:val="TableNormalNoSpaceAfter"/>
            </w:pPr>
            <w:r>
              <w:t>NOx</w:t>
            </w:r>
          </w:p>
        </w:tc>
        <w:tc>
          <w:tcPr>
            <w:tcW w:w="5310" w:type="dxa"/>
          </w:tcPr>
          <w:p w14:paraId="0367AE8F" w14:textId="1E6C989F" w:rsidR="00B531C6" w:rsidRPr="00870907" w:rsidRDefault="00B531C6" w:rsidP="00804934">
            <w:pPr>
              <w:pStyle w:val="TableNormalNoSpaceAfter"/>
            </w:pPr>
            <w:r>
              <w:t>Nitrogen Oxide</w:t>
            </w:r>
          </w:p>
        </w:tc>
      </w:tr>
      <w:tr w:rsidR="00B23894" w:rsidRPr="00211BC0" w14:paraId="3C5B3BBB"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56AF468F" w14:textId="77777777" w:rsidR="00B23894" w:rsidRPr="00211BC0" w:rsidRDefault="00B23894" w:rsidP="00804934">
            <w:pPr>
              <w:pStyle w:val="TableNormalNoSpaceAfter"/>
              <w:rPr>
                <w:szCs w:val="24"/>
              </w:rPr>
            </w:pPr>
            <w:r w:rsidRPr="00870907">
              <w:t>PM</w:t>
            </w:r>
          </w:p>
        </w:tc>
        <w:tc>
          <w:tcPr>
            <w:tcW w:w="5310" w:type="dxa"/>
          </w:tcPr>
          <w:p w14:paraId="1D32AE73" w14:textId="77777777" w:rsidR="00B23894" w:rsidRPr="00211BC0" w:rsidRDefault="00B23894" w:rsidP="00804934">
            <w:pPr>
              <w:pStyle w:val="TableNormalNoSpaceAfter"/>
              <w:rPr>
                <w:szCs w:val="24"/>
              </w:rPr>
            </w:pPr>
            <w:r w:rsidRPr="00870907">
              <w:t>Particulate Matter</w:t>
            </w:r>
          </w:p>
        </w:tc>
      </w:tr>
      <w:tr w:rsidR="000C0221" w:rsidRPr="00211BC0" w14:paraId="415DB8B2"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6A38DE11" w14:textId="247D07F0" w:rsidR="000C0221" w:rsidRPr="00870907" w:rsidRDefault="000C0221" w:rsidP="000C0221">
            <w:pPr>
              <w:pStyle w:val="TableNormalNoSpaceAfter"/>
            </w:pPr>
            <w:r>
              <w:t>ppm</w:t>
            </w:r>
          </w:p>
        </w:tc>
        <w:tc>
          <w:tcPr>
            <w:tcW w:w="5310" w:type="dxa"/>
          </w:tcPr>
          <w:p w14:paraId="22AC26EB" w14:textId="6BA63E34" w:rsidR="000C0221" w:rsidRPr="00870907" w:rsidRDefault="000C0221" w:rsidP="000C0221">
            <w:pPr>
              <w:pStyle w:val="TableNormalNoSpaceAfter"/>
            </w:pPr>
            <w:r>
              <w:t>Parts per million</w:t>
            </w:r>
          </w:p>
        </w:tc>
      </w:tr>
      <w:tr w:rsidR="00B531C6" w:rsidRPr="00211BC0" w14:paraId="3FB944B2"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4F64AA29" w14:textId="55318CFE" w:rsidR="00B531C6" w:rsidRPr="00ED41D0" w:rsidRDefault="00B531C6" w:rsidP="000C0221">
            <w:pPr>
              <w:pStyle w:val="TableNormalNoSpaceAfter"/>
            </w:pPr>
            <w:r>
              <w:t>SIP</w:t>
            </w:r>
          </w:p>
        </w:tc>
        <w:tc>
          <w:tcPr>
            <w:tcW w:w="5310" w:type="dxa"/>
          </w:tcPr>
          <w:p w14:paraId="63E0BCD6" w14:textId="77777777" w:rsidR="00B531C6" w:rsidRDefault="00B531C6" w:rsidP="000C0221">
            <w:pPr>
              <w:pStyle w:val="TableNormalNoSpaceAfter"/>
            </w:pPr>
          </w:p>
        </w:tc>
      </w:tr>
      <w:tr w:rsidR="000C0221" w:rsidRPr="00211BC0" w14:paraId="133FA7A9"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4A919518" w14:textId="2D36C571" w:rsidR="000C0221" w:rsidRPr="00ED41D0" w:rsidRDefault="000C0221" w:rsidP="000C0221">
            <w:pPr>
              <w:pStyle w:val="TableNormalNoSpaceAfter"/>
              <w:rPr>
                <w:highlight w:val="yellow"/>
              </w:rPr>
            </w:pPr>
            <w:r w:rsidRPr="00ED41D0">
              <w:t>SO2</w:t>
            </w:r>
          </w:p>
        </w:tc>
        <w:tc>
          <w:tcPr>
            <w:tcW w:w="5310" w:type="dxa"/>
          </w:tcPr>
          <w:p w14:paraId="4E1192F5" w14:textId="13530083" w:rsidR="000C0221" w:rsidRPr="00ED41D0" w:rsidRDefault="000C0221" w:rsidP="000C0221">
            <w:pPr>
              <w:pStyle w:val="TableNormalNoSpaceAfter"/>
              <w:rPr>
                <w:highlight w:val="yellow"/>
              </w:rPr>
            </w:pPr>
            <w:r>
              <w:t>S</w:t>
            </w:r>
            <w:r w:rsidRPr="00C65A8F">
              <w:t xml:space="preserve">ulfur </w:t>
            </w:r>
            <w:r>
              <w:t>D</w:t>
            </w:r>
            <w:r w:rsidRPr="00C65A8F">
              <w:t>ioxide</w:t>
            </w:r>
          </w:p>
        </w:tc>
      </w:tr>
      <w:tr w:rsidR="000C0221" w:rsidRPr="00211BC0" w14:paraId="0214A9EF"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37D74277" w14:textId="77777777" w:rsidR="000C0221" w:rsidRPr="00211BC0" w:rsidRDefault="000C0221" w:rsidP="000C0221">
            <w:pPr>
              <w:pStyle w:val="TableNormalNoSpaceAfter"/>
              <w:rPr>
                <w:szCs w:val="24"/>
              </w:rPr>
            </w:pPr>
            <w:r w:rsidRPr="00870907">
              <w:t>SOV</w:t>
            </w:r>
          </w:p>
        </w:tc>
        <w:tc>
          <w:tcPr>
            <w:tcW w:w="5310" w:type="dxa"/>
          </w:tcPr>
          <w:p w14:paraId="581D961D" w14:textId="77777777" w:rsidR="000C0221" w:rsidRPr="00211BC0" w:rsidRDefault="000C0221" w:rsidP="000C0221">
            <w:pPr>
              <w:pStyle w:val="TableNormalNoSpaceAfter"/>
              <w:rPr>
                <w:szCs w:val="24"/>
              </w:rPr>
            </w:pPr>
            <w:r w:rsidRPr="00870907">
              <w:t>Single Occupancy Vehicle</w:t>
            </w:r>
          </w:p>
        </w:tc>
      </w:tr>
      <w:tr w:rsidR="000C0221" w:rsidRPr="00211BC0" w14:paraId="4DDCD30A"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6DC7EFAB" w14:textId="77777777" w:rsidR="000C0221" w:rsidRPr="00211BC0" w:rsidRDefault="000C0221" w:rsidP="000C0221">
            <w:pPr>
              <w:pStyle w:val="TableNormalNoSpaceAfter"/>
              <w:rPr>
                <w:szCs w:val="24"/>
              </w:rPr>
            </w:pPr>
            <w:r w:rsidRPr="00870907">
              <w:t>TAC</w:t>
            </w:r>
          </w:p>
        </w:tc>
        <w:tc>
          <w:tcPr>
            <w:tcW w:w="5310" w:type="dxa"/>
          </w:tcPr>
          <w:p w14:paraId="2A4255A8" w14:textId="77777777" w:rsidR="000C0221" w:rsidRPr="00211BC0" w:rsidRDefault="000C0221" w:rsidP="000C0221">
            <w:pPr>
              <w:pStyle w:val="TableNormalNoSpaceAfter"/>
              <w:rPr>
                <w:szCs w:val="24"/>
              </w:rPr>
            </w:pPr>
            <w:r w:rsidRPr="00870907">
              <w:t>Texas Administrative Code</w:t>
            </w:r>
          </w:p>
        </w:tc>
      </w:tr>
      <w:tr w:rsidR="000C0221" w:rsidRPr="00211BC0" w14:paraId="6C91E296"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2B990BA3" w14:textId="77777777" w:rsidR="000C0221" w:rsidRPr="00211BC0" w:rsidRDefault="000C0221" w:rsidP="000C0221">
            <w:pPr>
              <w:pStyle w:val="TableNormalNoSpaceAfter"/>
              <w:rPr>
                <w:szCs w:val="24"/>
              </w:rPr>
            </w:pPr>
            <w:r w:rsidRPr="00B816E9">
              <w:t>TAQA</w:t>
            </w:r>
          </w:p>
        </w:tc>
        <w:tc>
          <w:tcPr>
            <w:tcW w:w="5310" w:type="dxa"/>
          </w:tcPr>
          <w:p w14:paraId="2960405C" w14:textId="77777777" w:rsidR="000C0221" w:rsidRPr="00211BC0" w:rsidRDefault="000C0221" w:rsidP="000C0221">
            <w:pPr>
              <w:pStyle w:val="TableNormalNoSpaceAfter"/>
              <w:rPr>
                <w:szCs w:val="24"/>
              </w:rPr>
            </w:pPr>
            <w:r w:rsidRPr="00B816E9">
              <w:t>Traffic Air Quality Analysis</w:t>
            </w:r>
          </w:p>
        </w:tc>
      </w:tr>
      <w:tr w:rsidR="000C0221" w:rsidRPr="00211BC0" w14:paraId="452011F4"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33AE742D" w14:textId="77777777" w:rsidR="000C0221" w:rsidRPr="00B531C6" w:rsidRDefault="000C0221" w:rsidP="000C0221">
            <w:pPr>
              <w:pStyle w:val="TableNormalNoSpaceAfter"/>
              <w:rPr>
                <w:szCs w:val="24"/>
              </w:rPr>
            </w:pPr>
            <w:r w:rsidRPr="00B531C6">
              <w:t>TCEQ</w:t>
            </w:r>
          </w:p>
        </w:tc>
        <w:tc>
          <w:tcPr>
            <w:tcW w:w="5310" w:type="dxa"/>
          </w:tcPr>
          <w:p w14:paraId="46ABBA8A" w14:textId="77777777" w:rsidR="000C0221" w:rsidRPr="00B531C6" w:rsidRDefault="000C0221" w:rsidP="000C0221">
            <w:pPr>
              <w:pStyle w:val="TableNormalNoSpaceAfter"/>
              <w:rPr>
                <w:szCs w:val="24"/>
              </w:rPr>
            </w:pPr>
            <w:r w:rsidRPr="00B531C6">
              <w:t>Texas Commission on Environmental Quality</w:t>
            </w:r>
          </w:p>
        </w:tc>
      </w:tr>
      <w:tr w:rsidR="000C0221" w:rsidRPr="00211BC0" w14:paraId="776DBFEA"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7A5DA4F7" w14:textId="77777777" w:rsidR="000C0221" w:rsidRPr="00B531C6" w:rsidRDefault="000C0221" w:rsidP="000C0221">
            <w:pPr>
              <w:pStyle w:val="TableNormalNoSpaceAfter"/>
              <w:rPr>
                <w:szCs w:val="24"/>
              </w:rPr>
            </w:pPr>
            <w:r w:rsidRPr="00B531C6">
              <w:t>TERP</w:t>
            </w:r>
          </w:p>
        </w:tc>
        <w:tc>
          <w:tcPr>
            <w:tcW w:w="5310" w:type="dxa"/>
          </w:tcPr>
          <w:p w14:paraId="758E8413" w14:textId="77777777" w:rsidR="000C0221" w:rsidRPr="00B531C6" w:rsidRDefault="000C0221" w:rsidP="000C0221">
            <w:pPr>
              <w:pStyle w:val="TableNormalNoSpaceAfter"/>
              <w:rPr>
                <w:szCs w:val="24"/>
              </w:rPr>
            </w:pPr>
            <w:r w:rsidRPr="00B531C6">
              <w:t>Texas Emissions Reduction Plan</w:t>
            </w:r>
          </w:p>
        </w:tc>
      </w:tr>
      <w:tr w:rsidR="000C0221" w:rsidRPr="00211BC0" w14:paraId="6EA27B33"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48686D51" w14:textId="77777777" w:rsidR="000C0221" w:rsidRPr="00211BC0" w:rsidRDefault="000C0221" w:rsidP="000C0221">
            <w:pPr>
              <w:pStyle w:val="TableNormalNoSpaceAfter"/>
              <w:rPr>
                <w:szCs w:val="24"/>
              </w:rPr>
            </w:pPr>
            <w:r w:rsidRPr="00B816E9">
              <w:t>TIP</w:t>
            </w:r>
          </w:p>
        </w:tc>
        <w:tc>
          <w:tcPr>
            <w:tcW w:w="5310" w:type="dxa"/>
          </w:tcPr>
          <w:p w14:paraId="69369942" w14:textId="77777777" w:rsidR="000C0221" w:rsidRPr="00211BC0" w:rsidRDefault="000C0221" w:rsidP="000C0221">
            <w:pPr>
              <w:pStyle w:val="TableNormalNoSpaceAfter"/>
              <w:rPr>
                <w:szCs w:val="24"/>
              </w:rPr>
            </w:pPr>
            <w:r w:rsidRPr="00B816E9">
              <w:t>Transportation Improvement Program</w:t>
            </w:r>
          </w:p>
        </w:tc>
      </w:tr>
      <w:tr w:rsidR="000C0221" w:rsidRPr="00211BC0" w14:paraId="1ADD596E"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7FB7E01A" w14:textId="77777777" w:rsidR="000C0221" w:rsidRPr="00211BC0" w:rsidRDefault="000C0221" w:rsidP="000C0221">
            <w:pPr>
              <w:pStyle w:val="TableNormalNoSpaceAfter"/>
              <w:rPr>
                <w:szCs w:val="24"/>
              </w:rPr>
            </w:pPr>
            <w:r w:rsidRPr="00B816E9">
              <w:lastRenderedPageBreak/>
              <w:t>TMA</w:t>
            </w:r>
          </w:p>
        </w:tc>
        <w:tc>
          <w:tcPr>
            <w:tcW w:w="5310" w:type="dxa"/>
          </w:tcPr>
          <w:p w14:paraId="4C1D4B44" w14:textId="77777777" w:rsidR="000C0221" w:rsidRPr="00211BC0" w:rsidRDefault="000C0221" w:rsidP="000C0221">
            <w:pPr>
              <w:pStyle w:val="TableNormalNoSpaceAfter"/>
              <w:rPr>
                <w:szCs w:val="24"/>
              </w:rPr>
            </w:pPr>
            <w:r w:rsidRPr="00B816E9">
              <w:t>Transportation Management Area</w:t>
            </w:r>
          </w:p>
        </w:tc>
      </w:tr>
      <w:tr w:rsidR="000C0221" w:rsidRPr="00211BC0" w14:paraId="1AB7AE4E"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38BC8FC0" w14:textId="77777777" w:rsidR="000C0221" w:rsidRPr="000C0221" w:rsidRDefault="000C0221" w:rsidP="000C0221">
            <w:pPr>
              <w:pStyle w:val="TableNormalNoSpaceAfter"/>
              <w:rPr>
                <w:szCs w:val="24"/>
              </w:rPr>
            </w:pPr>
            <w:r w:rsidRPr="000C0221">
              <w:t>TPP</w:t>
            </w:r>
          </w:p>
        </w:tc>
        <w:tc>
          <w:tcPr>
            <w:tcW w:w="5310" w:type="dxa"/>
          </w:tcPr>
          <w:p w14:paraId="34E39AD5" w14:textId="77777777" w:rsidR="000C0221" w:rsidRPr="000C0221" w:rsidRDefault="000C0221" w:rsidP="000C0221">
            <w:pPr>
              <w:pStyle w:val="TableNormalNoSpaceAfter"/>
              <w:rPr>
                <w:szCs w:val="24"/>
              </w:rPr>
            </w:pPr>
            <w:r w:rsidRPr="000C0221">
              <w:t>TxDOT Transportation Planning and Programming Division</w:t>
            </w:r>
          </w:p>
        </w:tc>
      </w:tr>
      <w:tr w:rsidR="000C0221" w:rsidRPr="00211BC0" w14:paraId="7D964790"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13A6A069" w14:textId="77777777" w:rsidR="000C0221" w:rsidRPr="00211BC0" w:rsidRDefault="000C0221" w:rsidP="000C0221">
            <w:pPr>
              <w:pStyle w:val="TableNormalNoSpaceAfter"/>
              <w:rPr>
                <w:szCs w:val="24"/>
              </w:rPr>
            </w:pPr>
            <w:r w:rsidRPr="00B816E9">
              <w:t>TxDOT</w:t>
            </w:r>
          </w:p>
        </w:tc>
        <w:tc>
          <w:tcPr>
            <w:tcW w:w="5310" w:type="dxa"/>
          </w:tcPr>
          <w:p w14:paraId="7A6486DA" w14:textId="77777777" w:rsidR="000C0221" w:rsidRPr="00211BC0" w:rsidRDefault="000C0221" w:rsidP="000C0221">
            <w:pPr>
              <w:pStyle w:val="TableNormalNoSpaceAfter"/>
              <w:rPr>
                <w:szCs w:val="24"/>
              </w:rPr>
            </w:pPr>
            <w:r w:rsidRPr="00B816E9">
              <w:t xml:space="preserve">Texas Department </w:t>
            </w:r>
            <w:proofErr w:type="gramStart"/>
            <w:r w:rsidRPr="00B816E9">
              <w:t>Of</w:t>
            </w:r>
            <w:proofErr w:type="gramEnd"/>
            <w:r w:rsidRPr="00B816E9">
              <w:t xml:space="preserve"> Transportation</w:t>
            </w:r>
          </w:p>
        </w:tc>
      </w:tr>
      <w:tr w:rsidR="000C0221" w:rsidRPr="00211BC0" w14:paraId="145D6419" w14:textId="77777777" w:rsidTr="00804934">
        <w:trPr>
          <w:cnfStyle w:val="000000010000" w:firstRow="0" w:lastRow="0" w:firstColumn="0" w:lastColumn="0" w:oddVBand="0" w:evenVBand="0" w:oddHBand="0" w:evenHBand="1" w:firstRowFirstColumn="0" w:firstRowLastColumn="0" w:lastRowFirstColumn="0" w:lastRowLastColumn="0"/>
          <w:cantSplit/>
        </w:trPr>
        <w:tc>
          <w:tcPr>
            <w:tcW w:w="3865" w:type="dxa"/>
          </w:tcPr>
          <w:p w14:paraId="09444E96" w14:textId="0C0E9089" w:rsidR="000C0221" w:rsidRPr="00211BC0" w:rsidRDefault="000C0221" w:rsidP="000C0221">
            <w:pPr>
              <w:pStyle w:val="TableNormalNoSpaceAfter"/>
              <w:rPr>
                <w:szCs w:val="24"/>
              </w:rPr>
            </w:pPr>
            <w:r>
              <w:t>USC</w:t>
            </w:r>
          </w:p>
        </w:tc>
        <w:tc>
          <w:tcPr>
            <w:tcW w:w="5310" w:type="dxa"/>
          </w:tcPr>
          <w:p w14:paraId="1C8779EE" w14:textId="25CB7ECF" w:rsidR="000C0221" w:rsidRPr="00211BC0" w:rsidRDefault="000C0221" w:rsidP="000C0221">
            <w:pPr>
              <w:pStyle w:val="TableNormalNoSpaceAfter"/>
              <w:rPr>
                <w:szCs w:val="24"/>
              </w:rPr>
            </w:pPr>
            <w:r w:rsidRPr="0048687E">
              <w:t>United States Code</w:t>
            </w:r>
          </w:p>
        </w:tc>
      </w:tr>
      <w:tr w:rsidR="000C0221" w:rsidRPr="00211BC0" w14:paraId="33DF18B9" w14:textId="77777777" w:rsidTr="00804934">
        <w:trPr>
          <w:cnfStyle w:val="000000100000" w:firstRow="0" w:lastRow="0" w:firstColumn="0" w:lastColumn="0" w:oddVBand="0" w:evenVBand="0" w:oddHBand="1" w:evenHBand="0" w:firstRowFirstColumn="0" w:firstRowLastColumn="0" w:lastRowFirstColumn="0" w:lastRowLastColumn="0"/>
          <w:cantSplit/>
        </w:trPr>
        <w:tc>
          <w:tcPr>
            <w:tcW w:w="3865" w:type="dxa"/>
          </w:tcPr>
          <w:p w14:paraId="5DD5D53E" w14:textId="039BAEE2" w:rsidR="000C0221" w:rsidRPr="00211BC0" w:rsidRDefault="000C0221" w:rsidP="000C0221">
            <w:pPr>
              <w:pStyle w:val="TableNormalNoSpaceAfter"/>
              <w:rPr>
                <w:szCs w:val="24"/>
              </w:rPr>
            </w:pPr>
            <w:r>
              <w:t>VMT</w:t>
            </w:r>
          </w:p>
        </w:tc>
        <w:tc>
          <w:tcPr>
            <w:tcW w:w="5310" w:type="dxa"/>
          </w:tcPr>
          <w:p w14:paraId="6F629445" w14:textId="79D9626B" w:rsidR="000C0221" w:rsidRPr="00211BC0" w:rsidRDefault="000C0221" w:rsidP="000C0221">
            <w:pPr>
              <w:pStyle w:val="TableNormalNoSpaceAfter"/>
              <w:rPr>
                <w:szCs w:val="24"/>
              </w:rPr>
            </w:pPr>
            <w:r w:rsidRPr="0048687E">
              <w:t>Vehicle-Miles Traveled</w:t>
            </w:r>
          </w:p>
        </w:tc>
      </w:tr>
    </w:tbl>
    <w:p w14:paraId="19865FAB" w14:textId="77777777" w:rsidR="00AB00CF" w:rsidRDefault="00AB00CF" w:rsidP="00B23894">
      <w:pPr>
        <w:spacing w:after="0" w:line="240" w:lineRule="auto"/>
        <w:rPr>
          <w:rFonts w:ascii="Verdana" w:eastAsia="MS Mincho" w:hAnsi="Verdana" w:cs="Times New Roman"/>
          <w:color w:val="000000"/>
          <w:kern w:val="0"/>
          <w:szCs w:val="22"/>
          <w14:ligatures w14:val="none"/>
        </w:rPr>
        <w:sectPr w:rsidR="00AB00CF" w:rsidSect="0005255C">
          <w:pgSz w:w="12240" w:h="15840"/>
          <w:pgMar w:top="900" w:right="1440" w:bottom="1170" w:left="1440" w:header="720" w:footer="576" w:gutter="0"/>
          <w:cols w:space="720"/>
          <w:docGrid w:linePitch="360"/>
        </w:sectPr>
      </w:pPr>
    </w:p>
    <w:p w14:paraId="1EBF07D6" w14:textId="77777777" w:rsidR="00B23894" w:rsidRPr="00A7505E" w:rsidRDefault="00B23894" w:rsidP="00B23894">
      <w:pPr>
        <w:pStyle w:val="Heading2"/>
      </w:pPr>
      <w:bookmarkStart w:id="15" w:name="_Toc237000205"/>
      <w:r w:rsidRPr="00A7505E">
        <w:lastRenderedPageBreak/>
        <w:t>Appendix A: Air Quality Statements for Environmental Review Documents</w:t>
      </w:r>
      <w:bookmarkEnd w:id="15"/>
    </w:p>
    <w:p w14:paraId="219C6726" w14:textId="6B7FC488" w:rsidR="00B23894" w:rsidRDefault="00B23894" w:rsidP="00B23894">
      <w:pPr>
        <w:rPr>
          <w:color w:val="000000" w:themeColor="text1"/>
          <w:szCs w:val="24"/>
        </w:rPr>
      </w:pPr>
      <w:r w:rsidRPr="00A7505E">
        <w:rPr>
          <w:color w:val="000000" w:themeColor="text1"/>
          <w:szCs w:val="24"/>
        </w:rPr>
        <w:t xml:space="preserve">Acronyms should be spelled out </w:t>
      </w:r>
      <w:r w:rsidR="0006452B">
        <w:rPr>
          <w:color w:val="000000" w:themeColor="text1"/>
          <w:szCs w:val="24"/>
        </w:rPr>
        <w:t xml:space="preserve">followed by </w:t>
      </w:r>
      <w:r w:rsidRPr="00A7505E">
        <w:rPr>
          <w:color w:val="000000" w:themeColor="text1"/>
          <w:szCs w:val="24"/>
        </w:rPr>
        <w:t>the acronym added in parenthesis the first time it is used in the document. Fields in grey need to have project specific data inserted as directed</w:t>
      </w:r>
      <w:r w:rsidR="0006452B">
        <w:rPr>
          <w:color w:val="000000" w:themeColor="text1"/>
          <w:szCs w:val="24"/>
        </w:rPr>
        <w:t xml:space="preserve"> and grey highlighting removed</w:t>
      </w:r>
      <w:r w:rsidRPr="00A7505E">
        <w:rPr>
          <w:color w:val="000000" w:themeColor="text1"/>
          <w:szCs w:val="24"/>
        </w:rPr>
        <w:t>.</w:t>
      </w:r>
      <w:r w:rsidR="0062190E">
        <w:rPr>
          <w:color w:val="000000" w:themeColor="text1"/>
          <w:szCs w:val="24"/>
        </w:rPr>
        <w:t xml:space="preserve"> </w:t>
      </w:r>
      <w:r w:rsidR="0006452B" w:rsidRPr="0006452B">
        <w:rPr>
          <w:color w:val="000000" w:themeColor="text1"/>
          <w:szCs w:val="24"/>
        </w:rPr>
        <w:t>Tables</w:t>
      </w:r>
      <w:r w:rsidR="006949C5">
        <w:rPr>
          <w:color w:val="000000" w:themeColor="text1"/>
          <w:szCs w:val="24"/>
        </w:rPr>
        <w:t xml:space="preserve"> and footnotes</w:t>
      </w:r>
      <w:r w:rsidR="0006452B" w:rsidRPr="0006452B">
        <w:rPr>
          <w:color w:val="000000" w:themeColor="text1"/>
          <w:szCs w:val="24"/>
        </w:rPr>
        <w:t xml:space="preserve"> must be renumbered sequentially based on their order of appearance in the native document.</w:t>
      </w:r>
    </w:p>
    <w:p w14:paraId="082DDE72" w14:textId="77777777" w:rsidR="00B23894" w:rsidRPr="00A7505E" w:rsidRDefault="00B23894" w:rsidP="00B23894">
      <w:pPr>
        <w:pStyle w:val="Heading3"/>
        <w:rPr>
          <w:rFonts w:hint="eastAsia"/>
        </w:rPr>
      </w:pPr>
      <w:bookmarkStart w:id="16" w:name="_Ref236135150"/>
      <w:bookmarkStart w:id="17" w:name="_Toc237000206"/>
      <w:r>
        <w:t>Statement 1</w:t>
      </w:r>
      <w:bookmarkEnd w:id="16"/>
      <w:bookmarkEnd w:id="17"/>
    </w:p>
    <w:p w14:paraId="62BB7362" w14:textId="77777777" w:rsidR="00B23894" w:rsidRPr="00E94A93" w:rsidRDefault="00B23894" w:rsidP="00B23894">
      <w:pPr>
        <w:pStyle w:val="ListNumber"/>
        <w:spacing w:after="120"/>
        <w:contextualSpacing w:val="0"/>
        <w:rPr>
          <w:color w:val="000000" w:themeColor="text1"/>
          <w:szCs w:val="24"/>
        </w:rPr>
      </w:pPr>
      <w:bookmarkStart w:id="18" w:name="_Ref227307923"/>
      <w:r w:rsidRPr="00212EB9">
        <w:t xml:space="preserve">The project </w:t>
      </w:r>
      <w:proofErr w:type="gramStart"/>
      <w:r w:rsidRPr="00212EB9">
        <w:t>is located in</w:t>
      </w:r>
      <w:proofErr w:type="gramEnd"/>
      <w:r w:rsidRPr="00212EB9">
        <w:t xml:space="preserve"> an area in attainment or unclassifiable for all national ambient air quality standards (NAAQS); therefore, the transportation conformity rules do not apply.</w:t>
      </w:r>
      <w:bookmarkEnd w:id="18"/>
    </w:p>
    <w:p w14:paraId="4C466ABD" w14:textId="77777777" w:rsidR="00B23894" w:rsidRPr="00A7505E" w:rsidRDefault="00B23894" w:rsidP="00B23894">
      <w:pPr>
        <w:pStyle w:val="Heading3"/>
        <w:rPr>
          <w:rFonts w:hint="eastAsia"/>
        </w:rPr>
      </w:pPr>
      <w:bookmarkStart w:id="19" w:name="_Ref236135284"/>
      <w:bookmarkStart w:id="20" w:name="_Ref227308463"/>
      <w:bookmarkStart w:id="21" w:name="_Toc237000207"/>
      <w:r>
        <w:t>Statement 2</w:t>
      </w:r>
      <w:bookmarkEnd w:id="19"/>
      <w:bookmarkEnd w:id="21"/>
    </w:p>
    <w:p w14:paraId="4479C354" w14:textId="77777777" w:rsidR="00B23894" w:rsidRPr="00C86AF4" w:rsidRDefault="00B23894" w:rsidP="00B23894">
      <w:pPr>
        <w:pStyle w:val="ListNumber"/>
        <w:spacing w:after="120"/>
        <w:contextualSpacing w:val="0"/>
        <w:rPr>
          <w:color w:val="000000" w:themeColor="text1"/>
          <w:szCs w:val="24"/>
        </w:rPr>
      </w:pPr>
      <w:r w:rsidRPr="00E94A93">
        <w:t xml:space="preserve">This project is located within an area that has been designated by Environmental Protection Agency (EPA) as a </w:t>
      </w:r>
      <w:r w:rsidRPr="008D4B69">
        <w:rPr>
          <w:highlight w:val="lightGray"/>
        </w:rPr>
        <w:t>[insert area’s classification</w:t>
      </w:r>
      <w:r w:rsidRPr="008D4B69">
        <w:rPr>
          <w:color w:val="000000" w:themeColor="text1"/>
          <w:szCs w:val="24"/>
          <w:highlight w:val="lightGray"/>
        </w:rPr>
        <w:t xml:space="preserve"> </w:t>
      </w:r>
      <w:r w:rsidRPr="00E94A93">
        <w:rPr>
          <w:color w:val="000000" w:themeColor="text1"/>
          <w:szCs w:val="24"/>
          <w:highlight w:val="lightGray"/>
        </w:rPr>
        <w:t>level: (for example, marginal, moderate, serious or severe)]</w:t>
      </w:r>
      <w:r w:rsidRPr="00C86AF4">
        <w:rPr>
          <w:color w:val="000000" w:themeColor="text1"/>
          <w:szCs w:val="24"/>
        </w:rPr>
        <w:t xml:space="preserve"> </w:t>
      </w:r>
      <w:r w:rsidRPr="00E94A93">
        <w:rPr>
          <w:color w:val="000000" w:themeColor="text1"/>
          <w:szCs w:val="24"/>
          <w:highlight w:val="lightGray"/>
        </w:rPr>
        <w:t>[insert nonattainment or attainment-maintenance]</w:t>
      </w:r>
      <w:r w:rsidRPr="00C86AF4">
        <w:rPr>
          <w:color w:val="000000" w:themeColor="text1"/>
          <w:szCs w:val="24"/>
        </w:rPr>
        <w:t xml:space="preserve"> area for </w:t>
      </w:r>
      <w:r w:rsidRPr="00E94A93">
        <w:rPr>
          <w:color w:val="000000" w:themeColor="text1"/>
          <w:szCs w:val="24"/>
          <w:highlight w:val="lightGray"/>
        </w:rPr>
        <w:t>[insert the applicable one of the following: the 2008 ozone NAAQS, carbon monoxide (CO), nitrogen dioxide (NO2), particulate matter (PM) 2.5, or PM10]</w:t>
      </w:r>
      <w:r w:rsidRPr="00C86AF4">
        <w:rPr>
          <w:color w:val="000000" w:themeColor="text1"/>
          <w:szCs w:val="24"/>
        </w:rPr>
        <w:t>; however, in accordance with 40 Code of Federal Regulations (CFR) 93.102(a)(2), the transportation conformity rules do not apply because the project has no federal funding, is not regionally significant, and requires no United States Department of Transportation decision.</w:t>
      </w:r>
      <w:bookmarkEnd w:id="20"/>
    </w:p>
    <w:p w14:paraId="0E475239" w14:textId="77777777" w:rsidR="00B23894" w:rsidRPr="00A7505E" w:rsidRDefault="00B23894" w:rsidP="00B23894">
      <w:pPr>
        <w:pStyle w:val="Heading3"/>
        <w:rPr>
          <w:rFonts w:hint="eastAsia"/>
        </w:rPr>
      </w:pPr>
      <w:bookmarkStart w:id="22" w:name="_Ref236136820"/>
      <w:bookmarkStart w:id="23" w:name="_Ref227309184"/>
      <w:bookmarkStart w:id="24" w:name="_Toc237000208"/>
      <w:r>
        <w:t>Statement 3</w:t>
      </w:r>
      <w:bookmarkEnd w:id="22"/>
      <w:bookmarkEnd w:id="24"/>
    </w:p>
    <w:p w14:paraId="612A0CFA" w14:textId="3B20A318" w:rsidR="00B23894" w:rsidRPr="00C86AF4" w:rsidRDefault="00B23894" w:rsidP="00B23894">
      <w:pPr>
        <w:pStyle w:val="ListParagraph"/>
        <w:spacing w:after="120"/>
        <w:ind w:left="0"/>
        <w:contextualSpacing w:val="0"/>
      </w:pPr>
      <w:r w:rsidRPr="00C86AF4">
        <w:t xml:space="preserve">This project is located within an area that has been designated by EPA as a </w:t>
      </w:r>
      <w:r w:rsidRPr="00C86AF4">
        <w:rPr>
          <w:highlight w:val="lightGray"/>
        </w:rPr>
        <w:t>[insert area’s classification level: (for example, marginal, moderate, serious or severe)]</w:t>
      </w:r>
      <w:r w:rsidRPr="00C86AF4">
        <w:t xml:space="preserve"> </w:t>
      </w:r>
      <w:r w:rsidRPr="00C86AF4">
        <w:rPr>
          <w:highlight w:val="lightGray"/>
        </w:rPr>
        <w:t>[insert nonattainment or attainment maintenance]</w:t>
      </w:r>
      <w:r w:rsidRPr="00C86AF4">
        <w:t xml:space="preserve"> area for </w:t>
      </w:r>
      <w:r w:rsidRPr="00C86AF4">
        <w:rPr>
          <w:highlight w:val="lightGray"/>
        </w:rPr>
        <w:t xml:space="preserve">[insert the applicable one of the following: the 2008 ozone NAAQS, CO, NO2, </w:t>
      </w:r>
      <w:r w:rsidRPr="00C86AF4">
        <w:rPr>
          <w:highlight w:val="lightGray"/>
        </w:rPr>
        <w:lastRenderedPageBreak/>
        <w:t>PM2.5, or PM10]</w:t>
      </w:r>
      <w:r w:rsidRPr="00C86AF4">
        <w:t>; therefore, transportation conformity rules apply</w:t>
      </w:r>
      <w:r w:rsidRPr="00A7505E">
        <w:rPr>
          <w:vertAlign w:val="superscript"/>
        </w:rPr>
        <w:footnoteReference w:id="14"/>
      </w:r>
      <w:r w:rsidRPr="00C86AF4">
        <w:t xml:space="preserve">. </w:t>
      </w:r>
      <w:r w:rsidRPr="00C86AF4">
        <w:rPr>
          <w:highlight w:val="lightGray"/>
        </w:rPr>
        <w:t>[If it is a Houston-Galveston-Brazoria or Dallas-Fort Worth project that is in</w:t>
      </w:r>
      <w:r w:rsidRPr="00B03E6E">
        <w:rPr>
          <w:highlight w:val="lightGray"/>
        </w:rPr>
        <w:t xml:space="preserve"> both </w:t>
      </w:r>
      <w:r w:rsidRPr="00C86AF4">
        <w:rPr>
          <w:highlight w:val="lightGray"/>
        </w:rPr>
        <w:t>a 2008 and 2015 ozone nonattainment county, then add the following statement: Conformity for older standards is satisfied by conformity to the more stringent 2008 and 2015 ozone NAAQS.]</w:t>
      </w:r>
      <w:r w:rsidRPr="00C86AF4">
        <w:t xml:space="preserve"> </w:t>
      </w:r>
      <w:r w:rsidRPr="00B03E6E">
        <w:rPr>
          <w:highlight w:val="lightGray"/>
        </w:rPr>
        <w:t>[If it is a Houston-Galveston-Brazoria or Dallas-Fort Worth project that is only in a 2008 ozone nonattainment county, then add the following statement: Conformity for older standards is satisfied by conformity to the more stringent 2008 ozone NAAQS.]</w:t>
      </w:r>
      <w:bookmarkEnd w:id="23"/>
    </w:p>
    <w:p w14:paraId="5C9A9877" w14:textId="77777777" w:rsidR="008E44B9" w:rsidRDefault="008E44B9" w:rsidP="00B23894">
      <w:pPr>
        <w:pStyle w:val="Heading3"/>
        <w:rPr>
          <w:rFonts w:hint="eastAsia"/>
        </w:rPr>
        <w:sectPr w:rsidR="008E44B9" w:rsidSect="0005255C">
          <w:pgSz w:w="12240" w:h="15840"/>
          <w:pgMar w:top="900" w:right="1440" w:bottom="1170" w:left="1440" w:header="720" w:footer="576" w:gutter="0"/>
          <w:cols w:space="720"/>
          <w:docGrid w:linePitch="360"/>
        </w:sectPr>
      </w:pPr>
      <w:bookmarkStart w:id="25" w:name="_Ref236136838"/>
      <w:bookmarkStart w:id="26" w:name="_Ref227309379"/>
      <w:bookmarkStart w:id="27" w:name="_Toc237000209"/>
    </w:p>
    <w:p w14:paraId="2540BC79" w14:textId="77777777" w:rsidR="00B23894" w:rsidRPr="00A7505E" w:rsidRDefault="00B23894" w:rsidP="00B23894">
      <w:pPr>
        <w:pStyle w:val="Heading3"/>
        <w:rPr>
          <w:rFonts w:hint="eastAsia"/>
        </w:rPr>
      </w:pPr>
      <w:r>
        <w:lastRenderedPageBreak/>
        <w:t>Statement 4</w:t>
      </w:r>
      <w:bookmarkEnd w:id="25"/>
      <w:bookmarkEnd w:id="27"/>
    </w:p>
    <w:p w14:paraId="3F8B25C7" w14:textId="77777777" w:rsidR="00B23894" w:rsidRPr="00C86AF4" w:rsidRDefault="00B23894" w:rsidP="00B23894">
      <w:pPr>
        <w:pStyle w:val="ListParagraph"/>
        <w:spacing w:after="120"/>
        <w:ind w:left="0"/>
        <w:contextualSpacing w:val="0"/>
      </w:pPr>
      <w:r w:rsidRPr="00C86AF4">
        <w:t xml:space="preserve">However, in accordance with federal guidelines in Section 93.126 and 93.128, of Title 40 CFR, the proposed project, </w:t>
      </w:r>
      <w:r w:rsidRPr="00C86AF4">
        <w:rPr>
          <w:highlight w:val="lightGray"/>
        </w:rPr>
        <w:t>[identify the type of exempt project]</w:t>
      </w:r>
      <w:r w:rsidRPr="00C86AF4">
        <w:t>, is exempt from a conformity determination.</w:t>
      </w:r>
      <w:bookmarkEnd w:id="26"/>
    </w:p>
    <w:p w14:paraId="5835297E" w14:textId="77777777" w:rsidR="00B23894" w:rsidRPr="00A7505E" w:rsidRDefault="00B23894" w:rsidP="00B23894">
      <w:pPr>
        <w:pStyle w:val="Heading3"/>
        <w:rPr>
          <w:rFonts w:hint="eastAsia"/>
        </w:rPr>
      </w:pPr>
      <w:bookmarkStart w:id="28" w:name="_Ref236136862"/>
      <w:bookmarkStart w:id="29" w:name="_Ref227309618"/>
      <w:bookmarkStart w:id="30" w:name="_Toc237000210"/>
      <w:r>
        <w:t>Statement 5</w:t>
      </w:r>
      <w:bookmarkEnd w:id="28"/>
      <w:bookmarkEnd w:id="30"/>
    </w:p>
    <w:p w14:paraId="0A85BDB0" w14:textId="77777777" w:rsidR="00B23894" w:rsidRPr="00C86AF4" w:rsidRDefault="00B23894" w:rsidP="00B23894">
      <w:pPr>
        <w:pStyle w:val="ListParagraph"/>
        <w:spacing w:after="120"/>
        <w:ind w:left="0"/>
        <w:contextualSpacing w:val="0"/>
      </w:pPr>
      <w:r w:rsidRPr="00C86AF4">
        <w:t xml:space="preserve">However, in accordance with federal guidelines in Section 93.127, of Title 40 CFR, the proposed project, </w:t>
      </w:r>
      <w:r w:rsidRPr="00C86AF4">
        <w:rPr>
          <w:highlight w:val="lightGray"/>
        </w:rPr>
        <w:t>[identify the type of exempt project]</w:t>
      </w:r>
      <w:r w:rsidRPr="00C86AF4">
        <w:t>, is exempt from the project level conformity requirement to be included in the regional emissions analysis.</w:t>
      </w:r>
      <w:bookmarkEnd w:id="29"/>
    </w:p>
    <w:p w14:paraId="47CAC687" w14:textId="77777777" w:rsidR="00B23894" w:rsidRPr="00A7505E" w:rsidRDefault="00B23894" w:rsidP="00B23894">
      <w:pPr>
        <w:pStyle w:val="Heading3"/>
        <w:rPr>
          <w:rFonts w:hint="eastAsia"/>
        </w:rPr>
      </w:pPr>
      <w:bookmarkStart w:id="31" w:name="_Ref236136883"/>
      <w:bookmarkStart w:id="32" w:name="_Ref227309833"/>
      <w:bookmarkStart w:id="33" w:name="_Toc237000211"/>
      <w:r>
        <w:t>Statement 6</w:t>
      </w:r>
      <w:bookmarkEnd w:id="31"/>
      <w:bookmarkEnd w:id="33"/>
    </w:p>
    <w:p w14:paraId="492F0EB8" w14:textId="77777777" w:rsidR="00B23894" w:rsidRPr="00C86AF4" w:rsidRDefault="00B23894" w:rsidP="00B23894">
      <w:pPr>
        <w:pStyle w:val="ListParagraph"/>
        <w:spacing w:after="120"/>
        <w:ind w:left="0"/>
        <w:contextualSpacing w:val="0"/>
      </w:pPr>
      <w:r w:rsidRPr="00C86AF4">
        <w:t xml:space="preserve">The proposed action is consistent with the </w:t>
      </w:r>
      <w:r w:rsidRPr="00C86AF4">
        <w:rPr>
          <w:highlight w:val="lightGray"/>
        </w:rPr>
        <w:t>[insert local Metropolitan Planning Organization (MPO) name]</w:t>
      </w:r>
      <w:r w:rsidRPr="00C86AF4">
        <w:t xml:space="preserve"> financially constrained </w:t>
      </w:r>
      <w:r w:rsidRPr="00C86AF4">
        <w:rPr>
          <w:highlight w:val="lightGray"/>
        </w:rPr>
        <w:t>[insert Metropolitan Transportation Plan (MTP) title and date identifier]</w:t>
      </w:r>
      <w:r w:rsidRPr="00C86AF4">
        <w:t xml:space="preserve"> and the </w:t>
      </w:r>
      <w:r w:rsidRPr="00C86AF4">
        <w:rPr>
          <w:highlight w:val="lightGray"/>
        </w:rPr>
        <w:t>[insert Transportation Improvement Plan (TIP) date identifier]</w:t>
      </w:r>
      <w:r w:rsidRPr="00C86AF4">
        <w:t xml:space="preserve"> TIP, as amended, which were initially found to conform to the Texas Commission on Environmental Quality (TCEQ) State Implementation Plan (SIP) by Federal Highways Administration (FHWA) and Federal Transit Administration (FTA) on </w:t>
      </w:r>
      <w:r w:rsidRPr="00C86AF4">
        <w:rPr>
          <w:highlight w:val="lightGray"/>
        </w:rPr>
        <w:t xml:space="preserve">[insert date MTP conformity was determined] </w:t>
      </w:r>
      <w:r w:rsidRPr="00C86AF4">
        <w:t xml:space="preserve">and </w:t>
      </w:r>
      <w:r w:rsidRPr="00C86AF4">
        <w:rPr>
          <w:highlight w:val="lightGray"/>
        </w:rPr>
        <w:t>[insert date TIP conformity was determined]</w:t>
      </w:r>
      <w:r w:rsidRPr="00C86AF4">
        <w:t xml:space="preserve">, respectively. Copies of the MTP and TIP pages are included in Appendix </w:t>
      </w:r>
      <w:r w:rsidRPr="00C86AF4">
        <w:rPr>
          <w:highlight w:val="lightGray"/>
        </w:rPr>
        <w:t>[insert Appendix number or identifier]</w:t>
      </w:r>
      <w:r w:rsidRPr="00C86AF4">
        <w:t xml:space="preserve">. All projects in the </w:t>
      </w:r>
      <w:r w:rsidRPr="00C86AF4">
        <w:rPr>
          <w:highlight w:val="lightGray"/>
        </w:rPr>
        <w:t>[insert name of MPO]</w:t>
      </w:r>
      <w:r w:rsidRPr="00C86AF4">
        <w:t xml:space="preserve"> TIP that are proposed for federal or state funds were initiated in a manner consistent with federal guidelines in Section 450, of Title 23 CFR and Section 613.200, Subpart B, of Title 49 CFR.</w:t>
      </w:r>
      <w:bookmarkEnd w:id="32"/>
    </w:p>
    <w:p w14:paraId="2D549557" w14:textId="77777777" w:rsidR="00B23894" w:rsidRPr="00A7505E" w:rsidRDefault="00B23894" w:rsidP="00B23894">
      <w:pPr>
        <w:pStyle w:val="Heading3"/>
        <w:rPr>
          <w:rFonts w:hint="eastAsia"/>
        </w:rPr>
      </w:pPr>
      <w:bookmarkStart w:id="34" w:name="_Ref236136901"/>
      <w:bookmarkStart w:id="35" w:name="_Ref227312717"/>
      <w:bookmarkStart w:id="36" w:name="_Toc237000212"/>
      <w:r>
        <w:t>Statement 7</w:t>
      </w:r>
      <w:bookmarkEnd w:id="34"/>
      <w:bookmarkEnd w:id="36"/>
    </w:p>
    <w:p w14:paraId="20F2050C" w14:textId="77777777" w:rsidR="00B23894" w:rsidRPr="00C86AF4" w:rsidRDefault="00B23894" w:rsidP="00B23894">
      <w:pPr>
        <w:pStyle w:val="ListParagraph"/>
        <w:spacing w:after="120"/>
        <w:ind w:left="0"/>
        <w:contextualSpacing w:val="0"/>
      </w:pPr>
      <w:r w:rsidRPr="00C86AF4">
        <w:t xml:space="preserve">Both the MTP and the TIP </w:t>
      </w:r>
      <w:r w:rsidRPr="00B03E6E">
        <w:t>were initially f</w:t>
      </w:r>
      <w:r w:rsidRPr="00C86AF4">
        <w:t xml:space="preserve">ound to conform to the TCEQ State Implementation Plan (SIP) by FHWA and FTA on </w:t>
      </w:r>
      <w:r w:rsidRPr="00C86AF4">
        <w:rPr>
          <w:highlight w:val="lightGray"/>
        </w:rPr>
        <w:t>[insert date MTP conformity was determined]</w:t>
      </w:r>
      <w:r w:rsidRPr="00C86AF4">
        <w:t xml:space="preserve"> and </w:t>
      </w:r>
      <w:r w:rsidRPr="00C86AF4">
        <w:rPr>
          <w:highlight w:val="lightGray"/>
        </w:rPr>
        <w:t>[insert date TIP conformity was determined]</w:t>
      </w:r>
      <w:r w:rsidRPr="00C86AF4">
        <w:t xml:space="preserve">, respectively. TxDOT will not take final action on this environmental </w:t>
      </w:r>
      <w:r w:rsidRPr="00C86AF4">
        <w:lastRenderedPageBreak/>
        <w:t xml:space="preserve">document until the proposed </w:t>
      </w:r>
      <w:r w:rsidRPr="00B03E6E">
        <w:t>project is consistent with a currently conforming MTP and TIP.</w:t>
      </w:r>
      <w:bookmarkEnd w:id="35"/>
    </w:p>
    <w:p w14:paraId="7FB85A0C" w14:textId="77777777" w:rsidR="00B23894" w:rsidRPr="00A7505E" w:rsidRDefault="00B23894" w:rsidP="00B23894">
      <w:pPr>
        <w:pStyle w:val="Heading3"/>
        <w:rPr>
          <w:rFonts w:hint="eastAsia"/>
        </w:rPr>
      </w:pPr>
      <w:bookmarkStart w:id="37" w:name="_Ref236136918"/>
      <w:bookmarkStart w:id="38" w:name="_Ref227309980"/>
      <w:bookmarkStart w:id="39" w:name="_Toc237000213"/>
      <w:r>
        <w:t>Statement 8</w:t>
      </w:r>
      <w:bookmarkEnd w:id="37"/>
      <w:bookmarkEnd w:id="39"/>
    </w:p>
    <w:p w14:paraId="5E638381" w14:textId="77777777" w:rsidR="00B23894" w:rsidRPr="00C86AF4" w:rsidRDefault="00B23894" w:rsidP="00B23894">
      <w:pPr>
        <w:pStyle w:val="ListParagraph"/>
        <w:spacing w:after="120"/>
        <w:ind w:left="0"/>
        <w:contextualSpacing w:val="0"/>
      </w:pPr>
      <w:r w:rsidRPr="00C86AF4">
        <w:t xml:space="preserve">This project is located within the portion of Collin County that has been designated by EPA as a maintenance area for the 2008 Lead National Ambient Air Quality Standard (NAAQS), effective September 27, 2017. Transportation conformity is required under Clean Air Act (CAA) Section 176(c) (42 United States Code (U.S.C.) 7506(c)) to ensure that federally supported highway and transit project activities are consistent with the purpose of the SIP for transportation-related criteria pollutants. However, </w:t>
      </w:r>
      <w:proofErr w:type="gramStart"/>
      <w:r w:rsidRPr="00C86AF4">
        <w:t>in light of</w:t>
      </w:r>
      <w:proofErr w:type="gramEnd"/>
      <w:r w:rsidRPr="00C86AF4">
        <w:t xml:space="preserve"> the elimination of lead additives from gasoline, transportation conformity does not apply to the Lead NAAQS (2008 Final Lead NAAQS Rule, preamble page (73 Federal Register (FR) 67043), November 12, 2008).</w:t>
      </w:r>
      <w:bookmarkEnd w:id="38"/>
    </w:p>
    <w:p w14:paraId="2AB8E386" w14:textId="77777777" w:rsidR="00B23894" w:rsidRPr="00A7505E" w:rsidRDefault="00B23894" w:rsidP="00B23894">
      <w:pPr>
        <w:pStyle w:val="Heading3"/>
        <w:rPr>
          <w:rFonts w:hint="eastAsia"/>
        </w:rPr>
      </w:pPr>
      <w:bookmarkStart w:id="40" w:name="_Toc237000214"/>
      <w:r>
        <w:t>Statement 9</w:t>
      </w:r>
      <w:bookmarkEnd w:id="40"/>
    </w:p>
    <w:p w14:paraId="11FD6898" w14:textId="77777777" w:rsidR="00B23894" w:rsidRPr="00C86AF4" w:rsidRDefault="00B23894" w:rsidP="00B23894">
      <w:pPr>
        <w:pStyle w:val="ListParagraph"/>
        <w:spacing w:after="120"/>
        <w:ind w:left="0"/>
        <w:contextualSpacing w:val="0"/>
      </w:pPr>
      <w:r w:rsidRPr="00C86AF4">
        <w:rPr>
          <w:highlight w:val="lightGray"/>
        </w:rPr>
        <w:t>[</w:t>
      </w:r>
      <w:r w:rsidRPr="00B54B4A">
        <w:rPr>
          <w:highlight w:val="lightGray"/>
        </w:rPr>
        <w:t>Intentionally left blank]</w:t>
      </w:r>
    </w:p>
    <w:p w14:paraId="41A24BB0" w14:textId="77777777" w:rsidR="00B23894" w:rsidRPr="00A7505E" w:rsidRDefault="00B23894" w:rsidP="00B23894">
      <w:pPr>
        <w:pStyle w:val="Heading3"/>
        <w:rPr>
          <w:rFonts w:hint="eastAsia"/>
        </w:rPr>
      </w:pPr>
      <w:bookmarkStart w:id="41" w:name="_Ref236136981"/>
      <w:bookmarkStart w:id="42" w:name="_Ref227310631"/>
      <w:bookmarkStart w:id="43" w:name="_Toc237000215"/>
      <w:r>
        <w:t>Statement 10</w:t>
      </w:r>
      <w:bookmarkEnd w:id="41"/>
      <w:bookmarkEnd w:id="43"/>
    </w:p>
    <w:p w14:paraId="0A3E68D2" w14:textId="77777777" w:rsidR="00B23894" w:rsidRPr="00C86AF4" w:rsidRDefault="00B23894" w:rsidP="00B23894">
      <w:pPr>
        <w:pStyle w:val="ListParagraph"/>
        <w:spacing w:after="120"/>
        <w:ind w:left="0"/>
        <w:contextualSpacing w:val="0"/>
      </w:pPr>
      <w:r w:rsidRPr="00C86AF4">
        <w:t>Sections 93.104(d), 93.116 and 93.117 of Title 40 CFR indicate that project level conformity analyses (</w:t>
      </w:r>
      <w:r w:rsidRPr="006949C5">
        <w:t>in other words, ho</w:t>
      </w:r>
      <w:r w:rsidRPr="00C86AF4">
        <w:t>t-spot analyses) only apply to FHWA or FTA projects. The proposed project has no federal funding and requires no United States Department of Transportation decision; therefore, a project level hot-spot analysis is not required.</w:t>
      </w:r>
      <w:bookmarkEnd w:id="42"/>
    </w:p>
    <w:p w14:paraId="1747F784" w14:textId="77777777" w:rsidR="00B23894" w:rsidRPr="00A7505E" w:rsidRDefault="00B23894" w:rsidP="00B23894">
      <w:pPr>
        <w:pStyle w:val="Heading3"/>
        <w:rPr>
          <w:rFonts w:hint="eastAsia"/>
        </w:rPr>
      </w:pPr>
      <w:bookmarkStart w:id="44" w:name="_Ref236137013"/>
      <w:bookmarkStart w:id="45" w:name="_Ref227310840"/>
      <w:bookmarkStart w:id="46" w:name="_Toc237000216"/>
      <w:r>
        <w:t>Statement 11</w:t>
      </w:r>
      <w:bookmarkEnd w:id="44"/>
      <w:bookmarkEnd w:id="46"/>
    </w:p>
    <w:p w14:paraId="3EEF3169" w14:textId="77777777" w:rsidR="00B23894" w:rsidRPr="00C86AF4" w:rsidRDefault="00B23894" w:rsidP="00B23894">
      <w:pPr>
        <w:pStyle w:val="ListParagraph"/>
        <w:spacing w:after="120"/>
        <w:ind w:left="0"/>
        <w:contextualSpacing w:val="0"/>
      </w:pPr>
      <w:r w:rsidRPr="00C86AF4">
        <w:t xml:space="preserve">The project is located within a </w:t>
      </w:r>
      <w:r w:rsidRPr="00C86AF4">
        <w:rPr>
          <w:highlight w:val="lightGray"/>
        </w:rPr>
        <w:t>[insert CO maintenance area or PM10 nonattainment area, as appropriate]</w:t>
      </w:r>
      <w:r w:rsidRPr="00C86AF4">
        <w:t xml:space="preserve">; however, in accordance with federal guidelines in Sections 93.126 and 93.128 of Title 40 CFR, the proposed project, </w:t>
      </w:r>
      <w:r w:rsidRPr="00C86AF4">
        <w:rPr>
          <w:highlight w:val="lightGray"/>
        </w:rPr>
        <w:t>[identify the type of exempt project]</w:t>
      </w:r>
      <w:r w:rsidRPr="00C86AF4">
        <w:t>, is exempt from a conformity determination and project level hot-spot analysis.</w:t>
      </w:r>
      <w:bookmarkEnd w:id="45"/>
    </w:p>
    <w:p w14:paraId="7947544B" w14:textId="77777777" w:rsidR="00B23894" w:rsidRPr="00A7505E" w:rsidRDefault="00B23894" w:rsidP="00B23894">
      <w:pPr>
        <w:pStyle w:val="Heading3"/>
        <w:rPr>
          <w:rFonts w:hint="eastAsia"/>
        </w:rPr>
      </w:pPr>
      <w:bookmarkStart w:id="47" w:name="_Ref236137031"/>
      <w:bookmarkStart w:id="48" w:name="_Ref227310936"/>
      <w:bookmarkStart w:id="49" w:name="_Toc237000217"/>
      <w:r>
        <w:lastRenderedPageBreak/>
        <w:t>Statement 12</w:t>
      </w:r>
      <w:bookmarkEnd w:id="47"/>
      <w:bookmarkEnd w:id="49"/>
    </w:p>
    <w:p w14:paraId="4079C891" w14:textId="77777777" w:rsidR="00B23894" w:rsidRPr="00C86AF4" w:rsidRDefault="00B23894" w:rsidP="00B23894">
      <w:pPr>
        <w:pStyle w:val="ListParagraph"/>
        <w:spacing w:after="120"/>
        <w:ind w:left="0"/>
        <w:contextualSpacing w:val="0"/>
      </w:pPr>
      <w:r w:rsidRPr="00C86AF4">
        <w:t xml:space="preserve">The project is located within an </w:t>
      </w:r>
      <w:r w:rsidRPr="00CF6855">
        <w:rPr>
          <w:highlight w:val="lightGray"/>
        </w:rPr>
        <w:t>[i</w:t>
      </w:r>
      <w:r w:rsidRPr="00C86AF4">
        <w:rPr>
          <w:highlight w:val="lightGray"/>
        </w:rPr>
        <w:t>nsert CO maintenance area or PM10 nonattainment area, as appropriate]</w:t>
      </w:r>
      <w:r w:rsidRPr="00C86AF4">
        <w:t xml:space="preserve"> and the conformity consultation process was initiated. On </w:t>
      </w:r>
      <w:r w:rsidRPr="00C86AF4">
        <w:rPr>
          <w:highlight w:val="lightGray"/>
        </w:rPr>
        <w:t>[insert date of consultation partner decision]</w:t>
      </w:r>
      <w:r w:rsidRPr="00C86AF4">
        <w:t xml:space="preserve">, the conformity Consultation Partners made the determination that this is not a project of air quality concern as defined in 40 CFR 93.123 because </w:t>
      </w:r>
      <w:r w:rsidRPr="00C86AF4">
        <w:rPr>
          <w:highlight w:val="lightGray"/>
        </w:rPr>
        <w:t>[describe the Consultation Partners’ rationale for this decision]</w:t>
      </w:r>
      <w:r w:rsidRPr="00C86AF4">
        <w:t xml:space="preserve">. Therefore, this project does not require a project level hot-spot analysis. Documentation of the Consultation Partners’ decision can be found at </w:t>
      </w:r>
      <w:r w:rsidRPr="00C86AF4">
        <w:rPr>
          <w:highlight w:val="lightGray"/>
        </w:rPr>
        <w:t>[insert link or include as an Appendix the documentation of the Consultation Partners’ decision]</w:t>
      </w:r>
      <w:r w:rsidRPr="00C86AF4">
        <w:t>.</w:t>
      </w:r>
      <w:bookmarkEnd w:id="48"/>
    </w:p>
    <w:p w14:paraId="1B103E51" w14:textId="77777777" w:rsidR="00B23894" w:rsidRPr="00A7505E" w:rsidRDefault="00B23894" w:rsidP="00B23894">
      <w:pPr>
        <w:pStyle w:val="Heading3"/>
        <w:rPr>
          <w:rFonts w:hint="eastAsia"/>
        </w:rPr>
      </w:pPr>
      <w:bookmarkStart w:id="50" w:name="_Ref236137077"/>
      <w:bookmarkStart w:id="51" w:name="_Ref227316806"/>
      <w:bookmarkStart w:id="52" w:name="_Toc237000218"/>
      <w:r>
        <w:t>Statement 13</w:t>
      </w:r>
      <w:bookmarkEnd w:id="50"/>
      <w:bookmarkEnd w:id="52"/>
    </w:p>
    <w:p w14:paraId="59336285" w14:textId="77777777" w:rsidR="00B23894" w:rsidRPr="00C86AF4" w:rsidRDefault="00B23894" w:rsidP="00B23894">
      <w:pPr>
        <w:pStyle w:val="ListParagraph"/>
        <w:spacing w:after="120"/>
        <w:ind w:left="0"/>
        <w:contextualSpacing w:val="0"/>
      </w:pPr>
      <w:r w:rsidRPr="00C86AF4">
        <w:t xml:space="preserve">The project is located within an </w:t>
      </w:r>
      <w:r w:rsidRPr="00CF6855">
        <w:rPr>
          <w:highlight w:val="lightGray"/>
        </w:rPr>
        <w:t>[</w:t>
      </w:r>
      <w:r w:rsidRPr="00C86AF4">
        <w:rPr>
          <w:highlight w:val="lightGray"/>
        </w:rPr>
        <w:t>insert CO maintenance area or PM10 nonattainment area, as appropriate]</w:t>
      </w:r>
      <w:r w:rsidRPr="00C86AF4">
        <w:t xml:space="preserve"> and the conformity consultation process was initiated. On </w:t>
      </w:r>
      <w:r w:rsidRPr="00C86AF4">
        <w:rPr>
          <w:highlight w:val="lightGray"/>
        </w:rPr>
        <w:t>[insert date of consultation partner decision]</w:t>
      </w:r>
      <w:r w:rsidRPr="00C86AF4">
        <w:t xml:space="preserve">, the conformity Consultation Partners made the determination that this is a project of air quality concern as defined in 40 CFR 93.123 because </w:t>
      </w:r>
      <w:r w:rsidRPr="00C86AF4">
        <w:rPr>
          <w:highlight w:val="lightGray"/>
        </w:rPr>
        <w:t>[describe the Consultation Partners’ rationale for this decision]</w:t>
      </w:r>
      <w:r w:rsidRPr="00C86AF4">
        <w:t xml:space="preserve">. Therefore, this project does require a project level hot-spot analysis. Documentation of the Consultation Partners’ decision can be found at </w:t>
      </w:r>
      <w:r w:rsidRPr="00C86AF4">
        <w:rPr>
          <w:highlight w:val="lightGray"/>
        </w:rPr>
        <w:t>[insert link or include as an Appendix the documentation of the Consultation Partners’ decision]</w:t>
      </w:r>
      <w:r w:rsidRPr="00C86AF4">
        <w:t>.</w:t>
      </w:r>
      <w:bookmarkEnd w:id="51"/>
    </w:p>
    <w:p w14:paraId="235771E4" w14:textId="4309D191" w:rsidR="00B23894" w:rsidRPr="00C86AF4" w:rsidRDefault="00B23894" w:rsidP="00006D35">
      <w:pPr>
        <w:rPr>
          <w:highlight w:val="lightGray"/>
        </w:rPr>
      </w:pPr>
      <w:r w:rsidRPr="00C86AF4">
        <w:rPr>
          <w:highlight w:val="lightGray"/>
        </w:rPr>
        <w:t>[</w:t>
      </w:r>
      <w:r>
        <w:rPr>
          <w:highlight w:val="lightGray"/>
        </w:rPr>
        <w:t>i</w:t>
      </w:r>
      <w:r w:rsidRPr="00C86AF4">
        <w:rPr>
          <w:highlight w:val="lightGray"/>
        </w:rPr>
        <w:t>nsert CO, PM2.5, or PM10, as appropriate]</w:t>
      </w:r>
      <w:r w:rsidRPr="00C86AF4">
        <w:t xml:space="preserve"> concentrations for the proposed action were modeled using </w:t>
      </w:r>
      <w:r w:rsidRPr="00C86AF4">
        <w:rPr>
          <w:highlight w:val="lightGray"/>
        </w:rPr>
        <w:t>[insert dispersion model used (</w:t>
      </w:r>
      <w:r w:rsidRPr="006949C5">
        <w:rPr>
          <w:highlight w:val="lightGray"/>
        </w:rPr>
        <w:t xml:space="preserve">in other words, CAL3QHCR or </w:t>
      </w:r>
      <w:r w:rsidR="00006D35" w:rsidRPr="006949C5">
        <w:rPr>
          <w:highlight w:val="lightGray"/>
        </w:rPr>
        <w:t>American Meteorological Society (AMS)-EPA Regulat</w:t>
      </w:r>
      <w:r w:rsidR="00006D35" w:rsidRPr="00006D35">
        <w:rPr>
          <w:highlight w:val="lightGray"/>
        </w:rPr>
        <w:t>ory Model</w:t>
      </w:r>
      <w:r w:rsidRPr="00006D35">
        <w:rPr>
          <w:highlight w:val="lightGray"/>
        </w:rPr>
        <w:t xml:space="preserve"> (AERMOD)</w:t>
      </w:r>
      <w:r w:rsidRPr="00C86AF4">
        <w:rPr>
          <w:highlight w:val="lightGray"/>
        </w:rPr>
        <w:t>]</w:t>
      </w:r>
      <w:r w:rsidRPr="00C86AF4">
        <w:t xml:space="preserve"> and </w:t>
      </w:r>
      <w:r w:rsidRPr="00C86AF4">
        <w:rPr>
          <w:highlight w:val="lightGray"/>
        </w:rPr>
        <w:t>[insert emissions model used (for example, MOVES2014a)]</w:t>
      </w:r>
      <w:r w:rsidRPr="00C86AF4">
        <w:t xml:space="preserve"> and factoring in background concentrations and other potential sources of constituent emissions. Local concentrations of </w:t>
      </w:r>
      <w:r w:rsidRPr="00C86AF4">
        <w:rPr>
          <w:highlight w:val="lightGray"/>
        </w:rPr>
        <w:t>[insert CO, PM2.5, or PM10, as appropriate]</w:t>
      </w:r>
      <w:r w:rsidRPr="00C86AF4">
        <w:t xml:space="preserve"> are not expected to exceed national standards at any time. </w:t>
      </w:r>
      <w:r w:rsidRPr="00C86AF4">
        <w:rPr>
          <w:highlight w:val="lightGray"/>
        </w:rPr>
        <w:t>[If mitigation was needed to meet these thresholds, include a couple of sentences here stating that the analysis incorporates mitigation reductions and what that mitigation is.]</w:t>
      </w:r>
    </w:p>
    <w:p w14:paraId="6CB90F0B" w14:textId="7F985D5D" w:rsidR="00B23894" w:rsidRPr="00A7505E" w:rsidRDefault="00B23894" w:rsidP="00B23894">
      <w:pPr>
        <w:keepNext/>
        <w:spacing w:line="240" w:lineRule="auto"/>
        <w:rPr>
          <w:b/>
          <w:bCs/>
          <w:iCs/>
          <w:color w:val="000000" w:themeColor="text2"/>
          <w:szCs w:val="18"/>
        </w:rPr>
      </w:pPr>
      <w:bookmarkStart w:id="53" w:name="_Toc237000234"/>
      <w:r w:rsidRPr="00A7505E">
        <w:rPr>
          <w:b/>
          <w:bCs/>
          <w:iCs/>
          <w:color w:val="000000" w:themeColor="text2"/>
          <w:szCs w:val="18"/>
        </w:rPr>
        <w:lastRenderedPageBreak/>
        <w:t xml:space="preserve">Table </w:t>
      </w:r>
      <w:r w:rsidR="00152945">
        <w:rPr>
          <w:b/>
          <w:bCs/>
          <w:iCs/>
          <w:color w:val="000000" w:themeColor="text2"/>
          <w:szCs w:val="18"/>
        </w:rPr>
        <w:fldChar w:fldCharType="begin"/>
      </w:r>
      <w:r w:rsidR="00152945">
        <w:rPr>
          <w:b/>
          <w:bCs/>
          <w:iCs/>
          <w:color w:val="000000" w:themeColor="text2"/>
          <w:szCs w:val="18"/>
        </w:rPr>
        <w:instrText xml:space="preserve"> SEQ Table \* ARABIC </w:instrText>
      </w:r>
      <w:r w:rsidR="00152945">
        <w:rPr>
          <w:b/>
          <w:bCs/>
          <w:iCs/>
          <w:color w:val="000000" w:themeColor="text2"/>
          <w:szCs w:val="18"/>
        </w:rPr>
        <w:fldChar w:fldCharType="separate"/>
      </w:r>
      <w:r w:rsidR="00F6336C">
        <w:rPr>
          <w:b/>
          <w:bCs/>
          <w:iCs/>
          <w:noProof/>
          <w:color w:val="000000" w:themeColor="text2"/>
          <w:szCs w:val="18"/>
        </w:rPr>
        <w:t>2</w:t>
      </w:r>
      <w:r w:rsidR="00152945">
        <w:rPr>
          <w:b/>
          <w:bCs/>
          <w:iCs/>
          <w:color w:val="000000" w:themeColor="text2"/>
          <w:szCs w:val="18"/>
        </w:rPr>
        <w:fldChar w:fldCharType="end"/>
      </w:r>
      <w:r w:rsidRPr="00A7505E">
        <w:rPr>
          <w:b/>
          <w:bCs/>
          <w:iCs/>
          <w:color w:val="000000" w:themeColor="text2"/>
          <w:szCs w:val="18"/>
        </w:rPr>
        <w:t>. Project Hot Spot Concentrations</w:t>
      </w:r>
      <w:bookmarkEnd w:id="53"/>
    </w:p>
    <w:tbl>
      <w:tblPr>
        <w:tblStyle w:val="ATFTxDOTTable1"/>
        <w:tblW w:w="5000" w:type="pct"/>
        <w:tblInd w:w="0" w:type="dxa"/>
        <w:tblLook w:val="0420" w:firstRow="1" w:lastRow="0" w:firstColumn="0" w:lastColumn="0" w:noHBand="0" w:noVBand="1"/>
        <w:tblCaption w:val="Project Hot Spot Concentrations"/>
        <w:tblDescription w:val="This table summarizes project hot spot concentrations"/>
      </w:tblPr>
      <w:tblGrid>
        <w:gridCol w:w="1829"/>
        <w:gridCol w:w="3396"/>
        <w:gridCol w:w="1926"/>
        <w:gridCol w:w="2199"/>
      </w:tblGrid>
      <w:tr w:rsidR="00B23894" w:rsidRPr="00A7505E" w14:paraId="78360ECA" w14:textId="77777777" w:rsidTr="00B33383">
        <w:trPr>
          <w:cnfStyle w:val="100000000000" w:firstRow="1" w:lastRow="0" w:firstColumn="0" w:lastColumn="0" w:oddVBand="0" w:evenVBand="0" w:oddHBand="0" w:evenHBand="0" w:firstRowFirstColumn="0" w:firstRowLastColumn="0" w:lastRowFirstColumn="0" w:lastRowLastColumn="0"/>
          <w:cantSplit/>
          <w:tblHeader/>
        </w:trPr>
        <w:tc>
          <w:tcPr>
            <w:tcW w:w="978" w:type="pct"/>
            <w:hideMark/>
          </w:tcPr>
          <w:p w14:paraId="12830353" w14:textId="77777777" w:rsidR="00B23894" w:rsidRPr="00A7505E" w:rsidRDefault="00B23894" w:rsidP="00B33383">
            <w:pPr>
              <w:spacing w:after="0" w:line="240" w:lineRule="auto"/>
              <w:rPr>
                <w:szCs w:val="24"/>
              </w:rPr>
            </w:pPr>
            <w:r w:rsidRPr="00A7505E">
              <w:rPr>
                <w:szCs w:val="24"/>
              </w:rPr>
              <w:t>Years Modeled</w:t>
            </w:r>
          </w:p>
        </w:tc>
        <w:tc>
          <w:tcPr>
            <w:tcW w:w="1816" w:type="pct"/>
            <w:hideMark/>
          </w:tcPr>
          <w:p w14:paraId="4723310A" w14:textId="77777777" w:rsidR="00B23894" w:rsidRPr="00A7505E" w:rsidRDefault="00B23894" w:rsidP="00B33383">
            <w:pPr>
              <w:spacing w:after="0" w:line="240" w:lineRule="auto"/>
              <w:rPr>
                <w:bCs/>
                <w:szCs w:val="24"/>
              </w:rPr>
            </w:pPr>
            <w:r w:rsidRPr="00A7505E">
              <w:rPr>
                <w:bCs/>
                <w:szCs w:val="24"/>
              </w:rPr>
              <w:t>Concentration</w:t>
            </w:r>
            <w:r w:rsidRPr="00A7505E">
              <w:rPr>
                <w:bCs/>
                <w:szCs w:val="24"/>
                <w:vertAlign w:val="superscript"/>
              </w:rPr>
              <w:footnoteReference w:id="15"/>
            </w:r>
          </w:p>
        </w:tc>
        <w:tc>
          <w:tcPr>
            <w:tcW w:w="1030" w:type="pct"/>
            <w:hideMark/>
          </w:tcPr>
          <w:p w14:paraId="2C1D14B7" w14:textId="77777777" w:rsidR="00B23894" w:rsidRPr="00A7505E" w:rsidRDefault="00B23894" w:rsidP="00B33383">
            <w:pPr>
              <w:spacing w:after="0" w:line="240" w:lineRule="auto"/>
              <w:rPr>
                <w:szCs w:val="24"/>
              </w:rPr>
            </w:pPr>
            <w:r w:rsidRPr="00A7505E">
              <w:rPr>
                <w:szCs w:val="24"/>
              </w:rPr>
              <w:t>Primary</w:t>
            </w:r>
            <w:r>
              <w:rPr>
                <w:szCs w:val="24"/>
              </w:rPr>
              <w:t xml:space="preserve"> </w:t>
            </w:r>
            <w:r w:rsidRPr="00870907">
              <w:t>National Ambient Air Quality Standards</w:t>
            </w:r>
            <w:r w:rsidRPr="00A7505E">
              <w:rPr>
                <w:szCs w:val="24"/>
              </w:rPr>
              <w:t xml:space="preserve"> </w:t>
            </w:r>
            <w:r>
              <w:rPr>
                <w:szCs w:val="24"/>
              </w:rPr>
              <w:t>(</w:t>
            </w:r>
            <w:r w:rsidRPr="00A7505E">
              <w:rPr>
                <w:szCs w:val="24"/>
              </w:rPr>
              <w:t>NAAQS</w:t>
            </w:r>
            <w:r>
              <w:rPr>
                <w:szCs w:val="24"/>
              </w:rPr>
              <w:t>) Percentage</w:t>
            </w:r>
          </w:p>
        </w:tc>
        <w:tc>
          <w:tcPr>
            <w:tcW w:w="1176" w:type="pct"/>
            <w:hideMark/>
          </w:tcPr>
          <w:p w14:paraId="72B08047" w14:textId="77777777" w:rsidR="00B23894" w:rsidRPr="00A7505E" w:rsidRDefault="00B23894" w:rsidP="00B33383">
            <w:pPr>
              <w:spacing w:after="0" w:line="240" w:lineRule="auto"/>
              <w:rPr>
                <w:szCs w:val="24"/>
              </w:rPr>
            </w:pPr>
            <w:r w:rsidRPr="00A7505E">
              <w:rPr>
                <w:szCs w:val="24"/>
              </w:rPr>
              <w:t>Secondary NAAQS</w:t>
            </w:r>
            <w:r>
              <w:rPr>
                <w:szCs w:val="24"/>
              </w:rPr>
              <w:t xml:space="preserve"> percentage</w:t>
            </w:r>
          </w:p>
        </w:tc>
      </w:tr>
      <w:tr w:rsidR="00B23894" w:rsidRPr="00A7505E" w14:paraId="1A7CE5D6" w14:textId="77777777" w:rsidTr="00B33383">
        <w:trPr>
          <w:cnfStyle w:val="000000100000" w:firstRow="0" w:lastRow="0" w:firstColumn="0" w:lastColumn="0" w:oddVBand="0" w:evenVBand="0" w:oddHBand="1" w:evenHBand="0" w:firstRowFirstColumn="0" w:firstRowLastColumn="0" w:lastRowFirstColumn="0" w:lastRowLastColumn="0"/>
          <w:cantSplit/>
          <w:trHeight w:val="25"/>
        </w:trPr>
        <w:tc>
          <w:tcPr>
            <w:tcW w:w="978" w:type="pct"/>
            <w:vAlign w:val="top"/>
            <w:hideMark/>
          </w:tcPr>
          <w:p w14:paraId="4CE243E8" w14:textId="77777777" w:rsidR="00B23894" w:rsidRPr="00A7505E" w:rsidRDefault="00B23894" w:rsidP="00B33383">
            <w:pPr>
              <w:spacing w:after="0"/>
              <w:rPr>
                <w:szCs w:val="24"/>
              </w:rPr>
            </w:pPr>
            <w:r w:rsidRPr="00A7505E">
              <w:rPr>
                <w:color w:val="000000" w:themeColor="text1"/>
                <w:szCs w:val="24"/>
                <w:highlight w:val="lightGray"/>
              </w:rPr>
              <w:t xml:space="preserve">[insert </w:t>
            </w:r>
            <w:r>
              <w:rPr>
                <w:color w:val="000000" w:themeColor="text1"/>
                <w:szCs w:val="24"/>
                <w:highlight w:val="lightGray"/>
              </w:rPr>
              <w:t>y</w:t>
            </w:r>
            <w:r w:rsidRPr="00A7505E">
              <w:rPr>
                <w:color w:val="000000" w:themeColor="text1"/>
                <w:szCs w:val="24"/>
                <w:highlight w:val="lightGray"/>
              </w:rPr>
              <w:t xml:space="preserve">ears </w:t>
            </w:r>
            <w:r>
              <w:rPr>
                <w:color w:val="000000" w:themeColor="text1"/>
                <w:szCs w:val="24"/>
                <w:highlight w:val="lightGray"/>
              </w:rPr>
              <w:t>m</w:t>
            </w:r>
            <w:r w:rsidRPr="00A7505E">
              <w:rPr>
                <w:color w:val="000000" w:themeColor="text1"/>
                <w:szCs w:val="24"/>
                <w:highlight w:val="lightGray"/>
              </w:rPr>
              <w:t>odeled]</w:t>
            </w:r>
          </w:p>
        </w:tc>
        <w:tc>
          <w:tcPr>
            <w:tcW w:w="1816" w:type="pct"/>
            <w:vAlign w:val="top"/>
            <w:hideMark/>
          </w:tcPr>
          <w:p w14:paraId="1F54041C" w14:textId="77777777" w:rsidR="00B23894" w:rsidRPr="00A7505E" w:rsidRDefault="00B23894" w:rsidP="00B33383">
            <w:pPr>
              <w:spacing w:after="0"/>
              <w:rPr>
                <w:szCs w:val="24"/>
              </w:rPr>
            </w:pPr>
            <w:r w:rsidRPr="00A7505E">
              <w:rPr>
                <w:color w:val="000000" w:themeColor="text1"/>
                <w:szCs w:val="24"/>
                <w:highlight w:val="lightGray"/>
              </w:rPr>
              <w:t>[insert CO, PM2.5 or PM10, as appropriate]</w:t>
            </w:r>
          </w:p>
        </w:tc>
        <w:tc>
          <w:tcPr>
            <w:tcW w:w="1030" w:type="pct"/>
            <w:vAlign w:val="top"/>
            <w:hideMark/>
          </w:tcPr>
          <w:p w14:paraId="752E5E11" w14:textId="77777777" w:rsidR="00B23894" w:rsidRPr="00A7505E" w:rsidRDefault="00B23894" w:rsidP="00B33383">
            <w:pPr>
              <w:spacing w:after="0"/>
              <w:rPr>
                <w:szCs w:val="24"/>
              </w:rPr>
            </w:pPr>
            <w:r w:rsidRPr="00A7505E">
              <w:rPr>
                <w:color w:val="000000" w:themeColor="text1"/>
                <w:szCs w:val="24"/>
                <w:highlight w:val="lightGray"/>
              </w:rPr>
              <w:t>[insert NAAQS</w:t>
            </w:r>
            <w:r>
              <w:rPr>
                <w:color w:val="000000" w:themeColor="text1"/>
                <w:szCs w:val="24"/>
                <w:highlight w:val="lightGray"/>
              </w:rPr>
              <w:t xml:space="preserve"> percentage</w:t>
            </w:r>
            <w:r w:rsidRPr="00A7505E">
              <w:rPr>
                <w:color w:val="000000" w:themeColor="text1"/>
                <w:szCs w:val="24"/>
                <w:highlight w:val="lightGray"/>
              </w:rPr>
              <w:t>]</w:t>
            </w:r>
          </w:p>
        </w:tc>
        <w:tc>
          <w:tcPr>
            <w:tcW w:w="1176" w:type="pct"/>
            <w:vAlign w:val="top"/>
            <w:hideMark/>
          </w:tcPr>
          <w:p w14:paraId="0EDB9F5A" w14:textId="77777777" w:rsidR="00B23894" w:rsidRPr="00A7505E" w:rsidRDefault="00B23894" w:rsidP="00152945">
            <w:pPr>
              <w:keepNext/>
              <w:spacing w:after="0"/>
              <w:rPr>
                <w:szCs w:val="24"/>
              </w:rPr>
            </w:pPr>
            <w:r w:rsidRPr="00A7505E">
              <w:rPr>
                <w:color w:val="000000" w:themeColor="text1"/>
                <w:szCs w:val="24"/>
                <w:highlight w:val="lightGray"/>
              </w:rPr>
              <w:t xml:space="preserve">[insert </w:t>
            </w:r>
            <w:r>
              <w:rPr>
                <w:color w:val="000000" w:themeColor="text1"/>
                <w:szCs w:val="24"/>
                <w:highlight w:val="lightGray"/>
              </w:rPr>
              <w:t>s</w:t>
            </w:r>
            <w:r w:rsidRPr="00A7505E">
              <w:rPr>
                <w:color w:val="000000" w:themeColor="text1"/>
                <w:szCs w:val="24"/>
                <w:highlight w:val="lightGray"/>
              </w:rPr>
              <w:t>econdary NAAQS</w:t>
            </w:r>
            <w:r>
              <w:rPr>
                <w:color w:val="000000" w:themeColor="text1"/>
                <w:szCs w:val="24"/>
                <w:highlight w:val="lightGray"/>
              </w:rPr>
              <w:t xml:space="preserve"> percentage</w:t>
            </w:r>
            <w:r w:rsidRPr="00A7505E">
              <w:rPr>
                <w:color w:val="000000" w:themeColor="text1"/>
                <w:szCs w:val="24"/>
                <w:highlight w:val="lightGray"/>
              </w:rPr>
              <w:t>]</w:t>
            </w:r>
          </w:p>
        </w:tc>
      </w:tr>
    </w:tbl>
    <w:p w14:paraId="699C43A4" w14:textId="77777777" w:rsidR="00152945" w:rsidRDefault="00152945" w:rsidP="00152945">
      <w:pPr>
        <w:pStyle w:val="Caption"/>
        <w:rPr>
          <w:b w:val="0"/>
          <w:bCs w:val="0"/>
        </w:rPr>
      </w:pPr>
      <w:bookmarkStart w:id="54" w:name="_Ref236137059"/>
      <w:bookmarkStart w:id="55" w:name="_Ref227314806"/>
      <w:r w:rsidRPr="00152945">
        <w:rPr>
          <w:b w:val="0"/>
          <w:bCs w:val="0"/>
          <w:vertAlign w:val="superscript"/>
        </w:rPr>
        <w:t>15</w:t>
      </w:r>
      <w:r w:rsidRPr="00152945">
        <w:rPr>
          <w:b w:val="0"/>
          <w:bCs w:val="0"/>
        </w:rPr>
        <w:t xml:space="preserve">Analysis includes a background concentration of </w:t>
      </w:r>
      <w:r w:rsidRPr="00152945">
        <w:rPr>
          <w:b w:val="0"/>
          <w:bCs w:val="0"/>
          <w:highlight w:val="lightGray"/>
        </w:rPr>
        <w:t>[insert background concentration]</w:t>
      </w:r>
      <w:r w:rsidRPr="00152945">
        <w:rPr>
          <w:b w:val="0"/>
          <w:bCs w:val="0"/>
        </w:rPr>
        <w:t xml:space="preserve"> ppm.</w:t>
      </w:r>
    </w:p>
    <w:p w14:paraId="448A07AD" w14:textId="1B9CCE1F" w:rsidR="00B23894" w:rsidRPr="00A7505E" w:rsidRDefault="00B23894" w:rsidP="00152945">
      <w:pPr>
        <w:pStyle w:val="Heading3"/>
        <w:rPr>
          <w:rFonts w:hint="eastAsia"/>
        </w:rPr>
      </w:pPr>
      <w:bookmarkStart w:id="56" w:name="_Toc237000219"/>
      <w:r>
        <w:t>Statement 14</w:t>
      </w:r>
      <w:bookmarkEnd w:id="54"/>
      <w:bookmarkEnd w:id="56"/>
    </w:p>
    <w:p w14:paraId="7E5555E1" w14:textId="4ABDEA14" w:rsidR="00B23894" w:rsidRPr="00A7505E" w:rsidRDefault="00B23894" w:rsidP="00B23894">
      <w:pPr>
        <w:pStyle w:val="ListParagraph"/>
        <w:spacing w:before="240"/>
        <w:ind w:left="0"/>
      </w:pPr>
      <w:r w:rsidRPr="00A7505E">
        <w:t xml:space="preserve">The project is located within an </w:t>
      </w:r>
      <w:r w:rsidRPr="008C7048">
        <w:rPr>
          <w:highlight w:val="lightGray"/>
        </w:rPr>
        <w:t>[insert CO maintenance area</w:t>
      </w:r>
      <w:r w:rsidR="00725DE3">
        <w:rPr>
          <w:highlight w:val="lightGray"/>
        </w:rPr>
        <w:t xml:space="preserve"> and</w:t>
      </w:r>
      <w:r w:rsidRPr="008C7048">
        <w:rPr>
          <w:highlight w:val="lightGray"/>
        </w:rPr>
        <w:t xml:space="preserve"> or PM10 nonattainment area, as appropriate]</w:t>
      </w:r>
      <w:r w:rsidRPr="00A7505E">
        <w:t xml:space="preserve"> and the conformity consultation process was initiated. On </w:t>
      </w:r>
      <w:r w:rsidRPr="008C7048">
        <w:rPr>
          <w:highlight w:val="lightGray"/>
        </w:rPr>
        <w:t>[insert date of consultation partner decision]</w:t>
      </w:r>
      <w:r w:rsidRPr="00A7505E">
        <w:t xml:space="preserve">, the conformity Consultation Partners made the determination that this is a project of air quality concern as defined in 40 CFR 93.123 because </w:t>
      </w:r>
      <w:r w:rsidRPr="008C7048">
        <w:rPr>
          <w:highlight w:val="lightGray"/>
        </w:rPr>
        <w:t>[describe the Consultation Partners’ rationale for this decision]</w:t>
      </w:r>
      <w:r w:rsidRPr="00A7505E">
        <w:t xml:space="preserve">. Therefore, this project does require a project level hot-spot analysis. Documentation of the Consultation Partners’ decision can be found at </w:t>
      </w:r>
      <w:r w:rsidRPr="008C7048">
        <w:rPr>
          <w:highlight w:val="lightGray"/>
        </w:rPr>
        <w:t>[insert link or include as an Appendix the documentation of the Consultation Partners’ decision]</w:t>
      </w:r>
      <w:r w:rsidRPr="00A7505E">
        <w:t>.</w:t>
      </w:r>
      <w:bookmarkEnd w:id="55"/>
    </w:p>
    <w:p w14:paraId="2ACC975E" w14:textId="61C5FC66" w:rsidR="00B23894" w:rsidRPr="00A7505E" w:rsidRDefault="00B23894" w:rsidP="00B23894">
      <w:pPr>
        <w:rPr>
          <w:color w:val="000000" w:themeColor="text1"/>
          <w:szCs w:val="24"/>
        </w:rPr>
      </w:pPr>
      <w:r w:rsidRPr="00A7505E">
        <w:rPr>
          <w:color w:val="000000" w:themeColor="text1"/>
          <w:szCs w:val="24"/>
          <w:highlight w:val="lightGray"/>
        </w:rPr>
        <w:t xml:space="preserve">[Insert CO, PM2.5, </w:t>
      </w:r>
      <w:r w:rsidR="00725DE3">
        <w:rPr>
          <w:color w:val="000000" w:themeColor="text1"/>
          <w:szCs w:val="24"/>
          <w:highlight w:val="lightGray"/>
        </w:rPr>
        <w:t xml:space="preserve">and </w:t>
      </w:r>
      <w:r w:rsidRPr="00A7505E">
        <w:rPr>
          <w:color w:val="000000" w:themeColor="text1"/>
          <w:szCs w:val="24"/>
          <w:highlight w:val="lightGray"/>
        </w:rPr>
        <w:t>or PM10, as appropriate]</w:t>
      </w:r>
      <w:r w:rsidRPr="00A7505E">
        <w:rPr>
          <w:color w:val="000000" w:themeColor="text1"/>
          <w:szCs w:val="24"/>
        </w:rPr>
        <w:t xml:space="preserve"> concentrations for the proposed action were modeled using </w:t>
      </w:r>
      <w:r w:rsidRPr="00A7505E">
        <w:rPr>
          <w:color w:val="000000" w:themeColor="text1"/>
          <w:szCs w:val="24"/>
          <w:highlight w:val="lightGray"/>
        </w:rPr>
        <w:t>[insert dispersion model used (</w:t>
      </w:r>
      <w:r>
        <w:rPr>
          <w:color w:val="000000" w:themeColor="text1"/>
          <w:szCs w:val="24"/>
          <w:highlight w:val="lightGray"/>
        </w:rPr>
        <w:t>such as</w:t>
      </w:r>
      <w:r w:rsidRPr="00A7505E">
        <w:rPr>
          <w:color w:val="000000" w:themeColor="text1"/>
          <w:szCs w:val="24"/>
          <w:highlight w:val="lightGray"/>
        </w:rPr>
        <w:t xml:space="preserve">, </w:t>
      </w:r>
      <w:r w:rsidRPr="006949C5">
        <w:rPr>
          <w:color w:val="000000" w:themeColor="text1"/>
          <w:szCs w:val="24"/>
          <w:highlight w:val="lightGray"/>
        </w:rPr>
        <w:t>CAL3QHCR or AERMOD)]</w:t>
      </w:r>
      <w:r w:rsidRPr="00CF6855">
        <w:rPr>
          <w:color w:val="000000" w:themeColor="text1"/>
          <w:szCs w:val="24"/>
        </w:rPr>
        <w:t xml:space="preserve"> </w:t>
      </w:r>
      <w:r w:rsidRPr="00A7505E">
        <w:rPr>
          <w:color w:val="000000" w:themeColor="text1"/>
          <w:szCs w:val="24"/>
        </w:rPr>
        <w:t xml:space="preserve">and </w:t>
      </w:r>
      <w:r w:rsidRPr="00A7505E">
        <w:rPr>
          <w:color w:val="000000" w:themeColor="text1"/>
          <w:szCs w:val="24"/>
          <w:highlight w:val="lightGray"/>
        </w:rPr>
        <w:t>[insert emissions model used (for example, MOVES2014)]</w:t>
      </w:r>
      <w:r w:rsidRPr="00A7505E">
        <w:rPr>
          <w:color w:val="000000" w:themeColor="text1"/>
          <w:szCs w:val="24"/>
        </w:rPr>
        <w:t xml:space="preserve"> and factoring in background concentrations and other potential sources of constituent emissions. Local concentrations of </w:t>
      </w:r>
      <w:r w:rsidRPr="00A7505E">
        <w:rPr>
          <w:color w:val="000000" w:themeColor="text1"/>
          <w:szCs w:val="24"/>
          <w:highlight w:val="lightGray"/>
        </w:rPr>
        <w:t xml:space="preserve">[insert CO, PM2.5, </w:t>
      </w:r>
      <w:r w:rsidR="00725DE3">
        <w:rPr>
          <w:color w:val="000000" w:themeColor="text1"/>
          <w:szCs w:val="24"/>
          <w:highlight w:val="lightGray"/>
        </w:rPr>
        <w:t xml:space="preserve">and </w:t>
      </w:r>
      <w:r w:rsidRPr="00A7505E">
        <w:rPr>
          <w:color w:val="000000" w:themeColor="text1"/>
          <w:szCs w:val="24"/>
          <w:highlight w:val="lightGray"/>
        </w:rPr>
        <w:t>or PM10, as appropriate]</w:t>
      </w:r>
      <w:r w:rsidRPr="00A7505E">
        <w:rPr>
          <w:color w:val="000000" w:themeColor="text1"/>
          <w:szCs w:val="24"/>
        </w:rPr>
        <w:t xml:space="preserve"> for the Build Alternative are not </w:t>
      </w:r>
      <w:r w:rsidRPr="00A7505E">
        <w:rPr>
          <w:color w:val="000000" w:themeColor="text1"/>
          <w:szCs w:val="24"/>
        </w:rPr>
        <w:lastRenderedPageBreak/>
        <w:t xml:space="preserve">expected to exceed the respective concentration for the No Build Alternative. </w:t>
      </w:r>
      <w:r w:rsidRPr="00A7505E">
        <w:rPr>
          <w:color w:val="000000" w:themeColor="text1"/>
          <w:szCs w:val="24"/>
          <w:highlight w:val="lightGray"/>
        </w:rPr>
        <w:t>[If mitigation was needed to meet these thresholds, include a couple of sentences here stating that the analysis incorporates mitigation reductions and what that mitigation is.]</w:t>
      </w:r>
    </w:p>
    <w:p w14:paraId="05D7CA18" w14:textId="42A21CAF" w:rsidR="00B23894" w:rsidRPr="00A7505E" w:rsidRDefault="00B23894" w:rsidP="00B23894">
      <w:pPr>
        <w:keepNext/>
        <w:spacing w:line="240" w:lineRule="auto"/>
        <w:rPr>
          <w:b/>
          <w:bCs/>
          <w:iCs/>
          <w:color w:val="000000" w:themeColor="text2"/>
          <w:szCs w:val="18"/>
        </w:rPr>
      </w:pPr>
      <w:bookmarkStart w:id="57" w:name="_Toc237000235"/>
      <w:r w:rsidRPr="00A7505E">
        <w:rPr>
          <w:b/>
          <w:bCs/>
          <w:iCs/>
          <w:color w:val="000000" w:themeColor="text2"/>
          <w:szCs w:val="18"/>
        </w:rPr>
        <w:t xml:space="preserve">Table </w:t>
      </w:r>
      <w:r w:rsidR="00152945">
        <w:rPr>
          <w:b/>
          <w:bCs/>
          <w:iCs/>
          <w:color w:val="000000" w:themeColor="text2"/>
          <w:szCs w:val="18"/>
        </w:rPr>
        <w:fldChar w:fldCharType="begin"/>
      </w:r>
      <w:r w:rsidR="00152945">
        <w:rPr>
          <w:b/>
          <w:bCs/>
          <w:iCs/>
          <w:color w:val="000000" w:themeColor="text2"/>
          <w:szCs w:val="18"/>
        </w:rPr>
        <w:instrText xml:space="preserve"> SEQ Table \* ARABIC </w:instrText>
      </w:r>
      <w:r w:rsidR="00152945">
        <w:rPr>
          <w:b/>
          <w:bCs/>
          <w:iCs/>
          <w:color w:val="000000" w:themeColor="text2"/>
          <w:szCs w:val="18"/>
        </w:rPr>
        <w:fldChar w:fldCharType="separate"/>
      </w:r>
      <w:r w:rsidR="00F6336C">
        <w:rPr>
          <w:b/>
          <w:bCs/>
          <w:iCs/>
          <w:noProof/>
          <w:color w:val="000000" w:themeColor="text2"/>
          <w:szCs w:val="18"/>
        </w:rPr>
        <w:t>3</w:t>
      </w:r>
      <w:r w:rsidR="00152945">
        <w:rPr>
          <w:b/>
          <w:bCs/>
          <w:iCs/>
          <w:color w:val="000000" w:themeColor="text2"/>
          <w:szCs w:val="18"/>
        </w:rPr>
        <w:fldChar w:fldCharType="end"/>
      </w:r>
      <w:r w:rsidRPr="00A7505E">
        <w:rPr>
          <w:b/>
          <w:bCs/>
          <w:iCs/>
          <w:color w:val="000000" w:themeColor="text2"/>
          <w:szCs w:val="18"/>
        </w:rPr>
        <w:t>. Project Hot Spot Concentrations</w:t>
      </w:r>
      <w:r>
        <w:rPr>
          <w:b/>
          <w:bCs/>
          <w:iCs/>
          <w:color w:val="000000" w:themeColor="text2"/>
          <w:szCs w:val="18"/>
        </w:rPr>
        <w:t xml:space="preserve"> (Build and No Build Alternatives)</w:t>
      </w:r>
      <w:bookmarkEnd w:id="57"/>
    </w:p>
    <w:tbl>
      <w:tblPr>
        <w:tblStyle w:val="ATFTxDOTTable1"/>
        <w:tblW w:w="0" w:type="auto"/>
        <w:tblInd w:w="-5" w:type="dxa"/>
        <w:tblLook w:val="0420" w:firstRow="1" w:lastRow="0" w:firstColumn="0" w:lastColumn="0" w:noHBand="0" w:noVBand="1"/>
        <w:tblCaption w:val="Project Hot Spot Concentrations (Build and No Build Alternatives)"/>
        <w:tblDescription w:val="This table summarized project hot spot concentrations for build and no build alternatives"/>
      </w:tblPr>
      <w:tblGrid>
        <w:gridCol w:w="1779"/>
        <w:gridCol w:w="3803"/>
        <w:gridCol w:w="3773"/>
      </w:tblGrid>
      <w:tr w:rsidR="00B23894" w:rsidRPr="00A7505E" w14:paraId="7EC2B9D1" w14:textId="77777777" w:rsidTr="00B33383">
        <w:trPr>
          <w:cnfStyle w:val="100000000000" w:firstRow="1" w:lastRow="0" w:firstColumn="0" w:lastColumn="0" w:oddVBand="0" w:evenVBand="0" w:oddHBand="0" w:evenHBand="0" w:firstRowFirstColumn="0" w:firstRowLastColumn="0" w:lastRowFirstColumn="0" w:lastRowLastColumn="0"/>
          <w:cantSplit/>
          <w:tblHeader/>
        </w:trPr>
        <w:tc>
          <w:tcPr>
            <w:tcW w:w="1779" w:type="dxa"/>
            <w:hideMark/>
          </w:tcPr>
          <w:p w14:paraId="42709F22" w14:textId="77777777" w:rsidR="00B23894" w:rsidRPr="00A7505E" w:rsidRDefault="00B23894" w:rsidP="00B33383">
            <w:pPr>
              <w:spacing w:after="0" w:line="240" w:lineRule="auto"/>
              <w:rPr>
                <w:szCs w:val="24"/>
              </w:rPr>
            </w:pPr>
            <w:r w:rsidRPr="00A7505E">
              <w:rPr>
                <w:szCs w:val="24"/>
              </w:rPr>
              <w:t>Years Modeled</w:t>
            </w:r>
          </w:p>
        </w:tc>
        <w:tc>
          <w:tcPr>
            <w:tcW w:w="3803" w:type="dxa"/>
            <w:hideMark/>
          </w:tcPr>
          <w:p w14:paraId="7595BFD4" w14:textId="77777777" w:rsidR="00B23894" w:rsidRPr="00A7505E" w:rsidRDefault="00B23894" w:rsidP="00B33383">
            <w:pPr>
              <w:spacing w:after="0" w:line="240" w:lineRule="auto"/>
              <w:rPr>
                <w:szCs w:val="24"/>
              </w:rPr>
            </w:pPr>
            <w:r w:rsidRPr="00A7505E">
              <w:rPr>
                <w:szCs w:val="24"/>
              </w:rPr>
              <w:t>Build Alternative Concentration</w:t>
            </w:r>
            <w:r w:rsidRPr="00A7505E">
              <w:rPr>
                <w:szCs w:val="24"/>
                <w:vertAlign w:val="superscript"/>
              </w:rPr>
              <w:footnoteReference w:id="16"/>
            </w:r>
          </w:p>
        </w:tc>
        <w:tc>
          <w:tcPr>
            <w:tcW w:w="3773" w:type="dxa"/>
            <w:hideMark/>
          </w:tcPr>
          <w:p w14:paraId="0CED181D" w14:textId="77777777" w:rsidR="00B23894" w:rsidRPr="00A7505E" w:rsidRDefault="00B23894" w:rsidP="00B33383">
            <w:pPr>
              <w:spacing w:after="0" w:line="240" w:lineRule="auto"/>
              <w:rPr>
                <w:szCs w:val="24"/>
              </w:rPr>
            </w:pPr>
            <w:proofErr w:type="gramStart"/>
            <w:r w:rsidRPr="00A7505E">
              <w:rPr>
                <w:szCs w:val="24"/>
              </w:rPr>
              <w:t>No Build</w:t>
            </w:r>
            <w:proofErr w:type="gramEnd"/>
            <w:r w:rsidRPr="00A7505E">
              <w:rPr>
                <w:szCs w:val="24"/>
              </w:rPr>
              <w:t xml:space="preserve"> Alternative Concentrations</w:t>
            </w:r>
          </w:p>
        </w:tc>
      </w:tr>
      <w:tr w:rsidR="00B23894" w:rsidRPr="00A7505E" w14:paraId="1B2DF3BF" w14:textId="77777777" w:rsidTr="00B33383">
        <w:trPr>
          <w:cnfStyle w:val="000000100000" w:firstRow="0" w:lastRow="0" w:firstColumn="0" w:lastColumn="0" w:oddVBand="0" w:evenVBand="0" w:oddHBand="1" w:evenHBand="0" w:firstRowFirstColumn="0" w:firstRowLastColumn="0" w:lastRowFirstColumn="0" w:lastRowLastColumn="0"/>
          <w:cantSplit/>
          <w:trHeight w:val="25"/>
        </w:trPr>
        <w:tc>
          <w:tcPr>
            <w:tcW w:w="1779" w:type="dxa"/>
            <w:vAlign w:val="top"/>
            <w:hideMark/>
          </w:tcPr>
          <w:p w14:paraId="0F5F8A5A" w14:textId="77777777" w:rsidR="00B23894" w:rsidRPr="00A7505E" w:rsidRDefault="00B23894" w:rsidP="00B33383">
            <w:pPr>
              <w:spacing w:after="0"/>
              <w:rPr>
                <w:color w:val="000000" w:themeColor="text1"/>
                <w:szCs w:val="24"/>
                <w:highlight w:val="lightGray"/>
              </w:rPr>
            </w:pPr>
            <w:r w:rsidRPr="00A7505E">
              <w:rPr>
                <w:color w:val="000000" w:themeColor="text1"/>
                <w:szCs w:val="24"/>
                <w:highlight w:val="lightGray"/>
              </w:rPr>
              <w:t>[</w:t>
            </w:r>
            <w:r w:rsidRPr="001E4744">
              <w:rPr>
                <w:color w:val="000000" w:themeColor="text1"/>
                <w:szCs w:val="24"/>
                <w:highlight w:val="lightGray"/>
              </w:rPr>
              <w:t>insert year</w:t>
            </w:r>
            <w:r>
              <w:rPr>
                <w:color w:val="000000" w:themeColor="text1"/>
                <w:szCs w:val="24"/>
                <w:highlight w:val="lightGray"/>
              </w:rPr>
              <w:t>s</w:t>
            </w:r>
            <w:r w:rsidRPr="001E4744">
              <w:rPr>
                <w:color w:val="000000" w:themeColor="text1"/>
                <w:szCs w:val="24"/>
                <w:highlight w:val="lightGray"/>
              </w:rPr>
              <w:t xml:space="preserve"> modeled</w:t>
            </w:r>
            <w:r w:rsidRPr="00A7505E">
              <w:rPr>
                <w:color w:val="000000" w:themeColor="text1"/>
                <w:szCs w:val="24"/>
                <w:highlight w:val="lightGray"/>
              </w:rPr>
              <w:t>]</w:t>
            </w:r>
          </w:p>
        </w:tc>
        <w:tc>
          <w:tcPr>
            <w:tcW w:w="3803" w:type="dxa"/>
            <w:vAlign w:val="top"/>
            <w:hideMark/>
          </w:tcPr>
          <w:p w14:paraId="5F4B693F" w14:textId="55E378DE" w:rsidR="00B23894" w:rsidRPr="00A7505E" w:rsidRDefault="00B23894" w:rsidP="00B33383">
            <w:pPr>
              <w:spacing w:after="0"/>
              <w:rPr>
                <w:color w:val="000000" w:themeColor="text1"/>
                <w:szCs w:val="24"/>
                <w:highlight w:val="lightGray"/>
              </w:rPr>
            </w:pPr>
            <w:r w:rsidRPr="00A7505E">
              <w:rPr>
                <w:color w:val="000000" w:themeColor="text1"/>
                <w:szCs w:val="24"/>
                <w:highlight w:val="lightGray"/>
              </w:rPr>
              <w:t>[</w:t>
            </w:r>
            <w:r w:rsidRPr="001E4744">
              <w:rPr>
                <w:color w:val="000000" w:themeColor="text1"/>
                <w:szCs w:val="24"/>
                <w:highlight w:val="lightGray"/>
              </w:rPr>
              <w:t xml:space="preserve">insert CO, PM2.5 </w:t>
            </w:r>
            <w:r w:rsidR="00725DE3">
              <w:rPr>
                <w:color w:val="000000" w:themeColor="text1"/>
                <w:szCs w:val="24"/>
                <w:highlight w:val="lightGray"/>
              </w:rPr>
              <w:t xml:space="preserve">and </w:t>
            </w:r>
            <w:r w:rsidRPr="001E4744">
              <w:rPr>
                <w:color w:val="000000" w:themeColor="text1"/>
                <w:szCs w:val="24"/>
                <w:highlight w:val="lightGray"/>
              </w:rPr>
              <w:t>or PM10, as appropriate</w:t>
            </w:r>
            <w:r w:rsidRPr="00A7505E">
              <w:rPr>
                <w:color w:val="000000" w:themeColor="text1"/>
                <w:szCs w:val="24"/>
                <w:highlight w:val="lightGray"/>
              </w:rPr>
              <w:t>]</w:t>
            </w:r>
          </w:p>
        </w:tc>
        <w:tc>
          <w:tcPr>
            <w:tcW w:w="3773" w:type="dxa"/>
            <w:vAlign w:val="top"/>
            <w:hideMark/>
          </w:tcPr>
          <w:p w14:paraId="6B118BD2" w14:textId="575168B9" w:rsidR="00B23894" w:rsidRPr="00A7505E" w:rsidRDefault="00B23894" w:rsidP="00152945">
            <w:pPr>
              <w:keepNext/>
              <w:spacing w:after="0"/>
              <w:rPr>
                <w:color w:val="000000" w:themeColor="text1"/>
                <w:szCs w:val="24"/>
                <w:highlight w:val="lightGray"/>
              </w:rPr>
            </w:pPr>
            <w:r w:rsidRPr="001E4744">
              <w:rPr>
                <w:color w:val="000000" w:themeColor="text1"/>
                <w:szCs w:val="24"/>
                <w:highlight w:val="lightGray"/>
              </w:rPr>
              <w:t xml:space="preserve">[insert CO, PM2.5, </w:t>
            </w:r>
            <w:r w:rsidR="00725DE3">
              <w:rPr>
                <w:color w:val="000000" w:themeColor="text1"/>
                <w:szCs w:val="24"/>
                <w:highlight w:val="lightGray"/>
              </w:rPr>
              <w:t xml:space="preserve">and </w:t>
            </w:r>
            <w:r w:rsidRPr="001E4744">
              <w:rPr>
                <w:color w:val="000000" w:themeColor="text1"/>
                <w:szCs w:val="24"/>
                <w:highlight w:val="lightGray"/>
              </w:rPr>
              <w:t>or PM10, as appropriate]</w:t>
            </w:r>
          </w:p>
        </w:tc>
      </w:tr>
    </w:tbl>
    <w:p w14:paraId="64B24AE1" w14:textId="3E2472E5" w:rsidR="00152945" w:rsidRDefault="00152945" w:rsidP="00152945">
      <w:pPr>
        <w:pStyle w:val="FootnoteText"/>
        <w:spacing w:line="360" w:lineRule="auto"/>
      </w:pPr>
      <w:bookmarkStart w:id="58" w:name="_Ref236137106"/>
      <w:bookmarkStart w:id="59" w:name="_Ref227316908"/>
      <w:r w:rsidRPr="00152945">
        <w:rPr>
          <w:sz w:val="24"/>
          <w:szCs w:val="24"/>
          <w:vertAlign w:val="superscript"/>
        </w:rPr>
        <w:t>16</w:t>
      </w:r>
      <w:r>
        <w:rPr>
          <w:sz w:val="24"/>
          <w:szCs w:val="24"/>
        </w:rPr>
        <w:t xml:space="preserve"> </w:t>
      </w:r>
      <w:r w:rsidRPr="00333904">
        <w:rPr>
          <w:sz w:val="24"/>
          <w:szCs w:val="24"/>
        </w:rPr>
        <w:t xml:space="preserve">Analysis includes </w:t>
      </w:r>
      <w:proofErr w:type="gramStart"/>
      <w:r w:rsidRPr="00333904">
        <w:rPr>
          <w:sz w:val="24"/>
          <w:szCs w:val="24"/>
        </w:rPr>
        <w:t>a background</w:t>
      </w:r>
      <w:proofErr w:type="gramEnd"/>
      <w:r w:rsidRPr="00333904">
        <w:rPr>
          <w:sz w:val="24"/>
          <w:szCs w:val="24"/>
        </w:rPr>
        <w:t xml:space="preserve"> concentration of </w:t>
      </w:r>
      <w:r w:rsidRPr="00D3104D">
        <w:rPr>
          <w:sz w:val="24"/>
          <w:szCs w:val="24"/>
          <w:highlight w:val="lightGray"/>
        </w:rPr>
        <w:t>[insert background concentration]</w:t>
      </w:r>
      <w:r w:rsidRPr="00333904">
        <w:rPr>
          <w:sz w:val="24"/>
          <w:szCs w:val="24"/>
        </w:rPr>
        <w:t xml:space="preserve"> ppm.</w:t>
      </w:r>
    </w:p>
    <w:p w14:paraId="4CECB4FC" w14:textId="7D528683" w:rsidR="00B23894" w:rsidRPr="009671B0" w:rsidRDefault="00B23894" w:rsidP="00B23894">
      <w:pPr>
        <w:pStyle w:val="Heading3"/>
        <w:rPr>
          <w:rFonts w:hint="eastAsia"/>
          <w:b w:val="0"/>
          <w:bCs/>
          <w:color w:val="000000" w:themeColor="text1"/>
          <w:szCs w:val="24"/>
        </w:rPr>
      </w:pPr>
      <w:bookmarkStart w:id="60" w:name="_Toc237000220"/>
      <w:r>
        <w:t>Statement 15</w:t>
      </w:r>
      <w:bookmarkEnd w:id="58"/>
      <w:bookmarkEnd w:id="60"/>
    </w:p>
    <w:p w14:paraId="2FE81624" w14:textId="77777777" w:rsidR="00B23894" w:rsidRPr="006502CF" w:rsidRDefault="00B23894" w:rsidP="00B23894">
      <w:pPr>
        <w:pStyle w:val="ListNumber"/>
        <w:tabs>
          <w:tab w:val="num" w:pos="360"/>
        </w:tabs>
        <w:spacing w:before="200"/>
        <w:rPr>
          <w:color w:val="000000" w:themeColor="text1"/>
          <w:szCs w:val="24"/>
        </w:rPr>
      </w:pPr>
      <w:r w:rsidRPr="006502CF">
        <w:rPr>
          <w:color w:val="000000" w:themeColor="text1"/>
          <w:szCs w:val="24"/>
        </w:rPr>
        <w:t>Generally, projects such as the proposed action are considered exempt from a transportation air quality analysis (TAQA) because they are intended to enhance traffic safety and improve traffic flow. The proposed action would not add capacity to an existing facility. Current and future emissions should continue to follow existing trends not being affected by this project. Due to the nature of this project, further carbon monoxide analysis was not required.</w:t>
      </w:r>
      <w:bookmarkEnd w:id="59"/>
    </w:p>
    <w:p w14:paraId="75A640CF" w14:textId="77777777" w:rsidR="00B23894" w:rsidRPr="00A7505E" w:rsidRDefault="00B23894" w:rsidP="00B23894">
      <w:pPr>
        <w:pStyle w:val="Heading3"/>
        <w:rPr>
          <w:rFonts w:hint="eastAsia"/>
        </w:rPr>
      </w:pPr>
      <w:bookmarkStart w:id="61" w:name="_Ref236137132"/>
      <w:bookmarkStart w:id="62" w:name="_Ref227316980"/>
      <w:bookmarkStart w:id="63" w:name="_Toc237000221"/>
      <w:r>
        <w:t>Statement 16</w:t>
      </w:r>
      <w:bookmarkEnd w:id="61"/>
      <w:bookmarkEnd w:id="63"/>
    </w:p>
    <w:p w14:paraId="06114E52" w14:textId="77777777" w:rsidR="00B23894" w:rsidRPr="007F5C89" w:rsidRDefault="00B23894" w:rsidP="00B23894">
      <w:pPr>
        <w:pStyle w:val="ListNumber"/>
        <w:spacing w:after="120"/>
        <w:contextualSpacing w:val="0"/>
        <w:rPr>
          <w:color w:val="000000" w:themeColor="text1"/>
          <w:szCs w:val="24"/>
        </w:rPr>
      </w:pPr>
      <w:r w:rsidRPr="007F5C89">
        <w:rPr>
          <w:color w:val="000000" w:themeColor="text1"/>
          <w:szCs w:val="24"/>
        </w:rPr>
        <w:t xml:space="preserve">Traffic data for the estimated time of completion (ETC) year </w:t>
      </w:r>
      <w:r w:rsidRPr="007F5C89">
        <w:rPr>
          <w:color w:val="000000" w:themeColor="text1"/>
          <w:szCs w:val="24"/>
          <w:highlight w:val="lightGray"/>
        </w:rPr>
        <w:t>[insert year]</w:t>
      </w:r>
      <w:r w:rsidRPr="007F5C89">
        <w:rPr>
          <w:color w:val="000000" w:themeColor="text1"/>
          <w:szCs w:val="24"/>
        </w:rPr>
        <w:t xml:space="preserve"> and design year </w:t>
      </w:r>
      <w:r w:rsidRPr="007F5C89">
        <w:rPr>
          <w:color w:val="000000" w:themeColor="text1"/>
          <w:szCs w:val="24"/>
          <w:highlight w:val="lightGray"/>
        </w:rPr>
        <w:t>[insert year]</w:t>
      </w:r>
      <w:r w:rsidRPr="007F5C89">
        <w:rPr>
          <w:color w:val="000000" w:themeColor="text1"/>
          <w:szCs w:val="24"/>
        </w:rPr>
        <w:t xml:space="preserve"> is </w:t>
      </w:r>
      <w:r w:rsidRPr="007F5C89">
        <w:rPr>
          <w:color w:val="000000" w:themeColor="text1"/>
          <w:szCs w:val="24"/>
          <w:highlight w:val="lightGray"/>
        </w:rPr>
        <w:t>[insert estimated ETC year average annual daily traffic (AADT)]</w:t>
      </w:r>
      <w:r w:rsidRPr="007F5C89">
        <w:rPr>
          <w:color w:val="000000" w:themeColor="text1"/>
          <w:szCs w:val="24"/>
        </w:rPr>
        <w:t xml:space="preserve"> vehicles per day and </w:t>
      </w:r>
      <w:r w:rsidRPr="007F5C89">
        <w:rPr>
          <w:color w:val="000000" w:themeColor="text1"/>
          <w:szCs w:val="24"/>
          <w:highlight w:val="lightGray"/>
        </w:rPr>
        <w:t>[insert estimated design year AADT]</w:t>
      </w:r>
      <w:r w:rsidRPr="007F5C89">
        <w:rPr>
          <w:color w:val="000000" w:themeColor="text1"/>
          <w:szCs w:val="24"/>
        </w:rPr>
        <w:t xml:space="preserve"> vehicles per day, respectively. A prior TxDOT modeling study and previous analyses of similar projects demonstrated that it is unlikely that the carbon monoxide standard would ever be exceeded </w:t>
      </w:r>
      <w:proofErr w:type="gramStart"/>
      <w:r w:rsidRPr="007F5C89">
        <w:rPr>
          <w:color w:val="000000" w:themeColor="text1"/>
          <w:szCs w:val="24"/>
        </w:rPr>
        <w:t>as a result of</w:t>
      </w:r>
      <w:proofErr w:type="gramEnd"/>
      <w:r w:rsidRPr="007F5C89">
        <w:rPr>
          <w:color w:val="000000" w:themeColor="text1"/>
          <w:szCs w:val="24"/>
        </w:rPr>
        <w:t xml:space="preserve"> any project with an average annual daily traffic (AADT) below 140,000. The AADT </w:t>
      </w:r>
      <w:r w:rsidRPr="007F5C89">
        <w:rPr>
          <w:color w:val="000000" w:themeColor="text1"/>
          <w:szCs w:val="24"/>
        </w:rPr>
        <w:lastRenderedPageBreak/>
        <w:t>projections for the project do not exceed 140,000 vehicles per day; therefore, a Traffic Air Quality Analysis was not required.</w:t>
      </w:r>
      <w:bookmarkEnd w:id="62"/>
    </w:p>
    <w:p w14:paraId="60F662D9" w14:textId="77777777" w:rsidR="00B23894" w:rsidRPr="00A7505E" w:rsidRDefault="00B23894" w:rsidP="00B23894">
      <w:pPr>
        <w:pStyle w:val="Heading3"/>
        <w:rPr>
          <w:rFonts w:hint="eastAsia"/>
        </w:rPr>
      </w:pPr>
      <w:bookmarkStart w:id="64" w:name="_Ref236137151"/>
      <w:bookmarkStart w:id="65" w:name="_Ref227317049"/>
      <w:bookmarkStart w:id="66" w:name="_Toc237000222"/>
      <w:r>
        <w:t>Statement 17</w:t>
      </w:r>
      <w:bookmarkEnd w:id="64"/>
      <w:bookmarkEnd w:id="66"/>
    </w:p>
    <w:p w14:paraId="673B0E79" w14:textId="77777777" w:rsidR="00B23894" w:rsidRPr="007F5C89" w:rsidRDefault="00B23894" w:rsidP="00B23894">
      <w:pPr>
        <w:pStyle w:val="ListNumber"/>
        <w:tabs>
          <w:tab w:val="num" w:pos="360"/>
        </w:tabs>
        <w:spacing w:after="120"/>
        <w:contextualSpacing w:val="0"/>
        <w:rPr>
          <w:color w:val="000000" w:themeColor="text1"/>
          <w:szCs w:val="24"/>
        </w:rPr>
      </w:pPr>
      <w:r w:rsidRPr="007F5C89">
        <w:rPr>
          <w:color w:val="000000" w:themeColor="text1"/>
          <w:szCs w:val="24"/>
        </w:rPr>
        <w:t>Traffic for the estimated completion year (</w:t>
      </w:r>
      <w:r w:rsidRPr="007F5C89">
        <w:rPr>
          <w:color w:val="000000" w:themeColor="text1"/>
          <w:szCs w:val="24"/>
          <w:highlight w:val="lightGray"/>
        </w:rPr>
        <w:t>[insert Completion Year]</w:t>
      </w:r>
      <w:r w:rsidRPr="007F5C89">
        <w:rPr>
          <w:color w:val="000000" w:themeColor="text1"/>
          <w:szCs w:val="24"/>
        </w:rPr>
        <w:t>) and design year (</w:t>
      </w:r>
      <w:r w:rsidRPr="007F5C89">
        <w:rPr>
          <w:color w:val="000000" w:themeColor="text1"/>
          <w:szCs w:val="24"/>
          <w:highlight w:val="lightGray"/>
        </w:rPr>
        <w:t>[insert Design Year</w:t>
      </w:r>
      <w:proofErr w:type="gramStart"/>
      <w:r w:rsidRPr="007F5C89">
        <w:rPr>
          <w:color w:val="000000" w:themeColor="text1"/>
          <w:szCs w:val="24"/>
          <w:highlight w:val="lightGray"/>
        </w:rPr>
        <w:t>]</w:t>
      </w:r>
      <w:r w:rsidRPr="007F5C89">
        <w:rPr>
          <w:color w:val="000000" w:themeColor="text1"/>
          <w:szCs w:val="24"/>
        </w:rPr>
        <w:t>)is</w:t>
      </w:r>
      <w:proofErr w:type="gramEnd"/>
      <w:r w:rsidRPr="007F5C89">
        <w:rPr>
          <w:color w:val="000000" w:themeColor="text1"/>
          <w:szCs w:val="24"/>
        </w:rPr>
        <w:t xml:space="preserve"> estimated to be </w:t>
      </w:r>
      <w:r w:rsidRPr="007F5C89">
        <w:rPr>
          <w:color w:val="000000" w:themeColor="text1"/>
          <w:szCs w:val="24"/>
          <w:highlight w:val="lightGray"/>
        </w:rPr>
        <w:t xml:space="preserve">[insert </w:t>
      </w:r>
      <w:proofErr w:type="gramStart"/>
      <w:r w:rsidRPr="007F5C89">
        <w:rPr>
          <w:color w:val="000000" w:themeColor="text1"/>
          <w:szCs w:val="24"/>
          <w:highlight w:val="lightGray"/>
        </w:rPr>
        <w:t>Completion year AADT]</w:t>
      </w:r>
      <w:r w:rsidRPr="007F5C89">
        <w:rPr>
          <w:color w:val="000000" w:themeColor="text1"/>
          <w:szCs w:val="24"/>
        </w:rPr>
        <w:t xml:space="preserve"> vehicles per day and </w:t>
      </w:r>
      <w:r w:rsidRPr="007F5C89">
        <w:rPr>
          <w:color w:val="000000" w:themeColor="text1"/>
          <w:szCs w:val="24"/>
          <w:highlight w:val="lightGray"/>
        </w:rPr>
        <w:t>[insert Design</w:t>
      </w:r>
      <w:proofErr w:type="gramEnd"/>
      <w:r w:rsidRPr="007F5C89">
        <w:rPr>
          <w:color w:val="000000" w:themeColor="text1"/>
          <w:szCs w:val="24"/>
          <w:highlight w:val="lightGray"/>
        </w:rPr>
        <w:t xml:space="preserve"> year AADT]</w:t>
      </w:r>
      <w:r w:rsidRPr="007F5C89">
        <w:rPr>
          <w:color w:val="000000" w:themeColor="text1"/>
          <w:szCs w:val="24"/>
        </w:rPr>
        <w:t xml:space="preserve"> vehicles per day, respectively; therefore, triggering the need for a traffic air quality analysis. </w:t>
      </w:r>
      <w:r w:rsidRPr="007F5C89">
        <w:rPr>
          <w:color w:val="000000" w:themeColor="text1"/>
          <w:szCs w:val="24"/>
          <w:highlight w:val="lightGray"/>
        </w:rPr>
        <w:t>[insert a sentence describing whether topography and meteorology would seriously restrict dispersion of the air pollutants]</w:t>
      </w:r>
      <w:r>
        <w:rPr>
          <w:color w:val="000000" w:themeColor="text1"/>
          <w:szCs w:val="24"/>
        </w:rPr>
        <w:t>.</w:t>
      </w:r>
      <w:r w:rsidRPr="007F5C89">
        <w:rPr>
          <w:color w:val="000000" w:themeColor="text1"/>
          <w:szCs w:val="24"/>
        </w:rPr>
        <w:t xml:space="preserve"> The traffic data used in the analysis was obtained from the </w:t>
      </w:r>
      <w:r w:rsidRPr="007F5C89">
        <w:rPr>
          <w:color w:val="000000" w:themeColor="text1"/>
          <w:szCs w:val="24"/>
          <w:highlight w:val="lightGray"/>
        </w:rPr>
        <w:t>[identify source of traffic data (for example, TxDOT Transportation Planning and Programming (TPP), Travel Demand Model, etcetera]</w:t>
      </w:r>
      <w:r w:rsidRPr="007F5C89">
        <w:rPr>
          <w:color w:val="000000" w:themeColor="text1"/>
          <w:szCs w:val="24"/>
        </w:rPr>
        <w:t>.</w:t>
      </w:r>
      <w:bookmarkEnd w:id="65"/>
    </w:p>
    <w:p w14:paraId="5FA72A85" w14:textId="77777777" w:rsidR="00B23894" w:rsidRPr="00A7505E" w:rsidRDefault="00B23894" w:rsidP="00B23894">
      <w:pPr>
        <w:rPr>
          <w:color w:val="000000" w:themeColor="text1"/>
          <w:szCs w:val="24"/>
        </w:rPr>
      </w:pPr>
      <w:r w:rsidRPr="00A7505E">
        <w:rPr>
          <w:color w:val="000000" w:themeColor="text1"/>
          <w:szCs w:val="24"/>
        </w:rPr>
        <w:t xml:space="preserve">Carbon monoxide concentrations for the proposed action were modeled using </w:t>
      </w:r>
      <w:r w:rsidRPr="00A7505E">
        <w:rPr>
          <w:color w:val="000000" w:themeColor="text1"/>
          <w:szCs w:val="24"/>
          <w:highlight w:val="lightGray"/>
        </w:rPr>
        <w:t>[insert dispersion model used (for example, CAL3QHC)]</w:t>
      </w:r>
      <w:r w:rsidRPr="00A7505E">
        <w:rPr>
          <w:color w:val="000000" w:themeColor="text1"/>
          <w:szCs w:val="24"/>
        </w:rPr>
        <w:t xml:space="preserve"> and </w:t>
      </w:r>
      <w:r w:rsidRPr="00A7505E">
        <w:rPr>
          <w:color w:val="000000" w:themeColor="text1"/>
          <w:szCs w:val="24"/>
          <w:highlight w:val="lightGray"/>
        </w:rPr>
        <w:t>[insert emissions model used (for example, MOVES2014a)]</w:t>
      </w:r>
      <w:r w:rsidRPr="00A7505E">
        <w:rPr>
          <w:color w:val="000000" w:themeColor="text1"/>
          <w:szCs w:val="24"/>
        </w:rPr>
        <w:t xml:space="preserve"> and factoring in adverse meteorological conditions and sensitive receptors at the right-of-way line. Local concentrations of carbon monoxide are not expected to exceed national standards at any time.</w:t>
      </w:r>
    </w:p>
    <w:p w14:paraId="2B17261B" w14:textId="77777777" w:rsidR="00B23894" w:rsidRPr="00A7505E" w:rsidRDefault="00B23894" w:rsidP="00B23894">
      <w:pPr>
        <w:keepNext/>
        <w:spacing w:line="240" w:lineRule="auto"/>
        <w:rPr>
          <w:b/>
          <w:bCs/>
          <w:iCs/>
          <w:color w:val="000000" w:themeColor="text2"/>
          <w:szCs w:val="18"/>
        </w:rPr>
      </w:pPr>
      <w:r w:rsidRPr="00A7505E">
        <w:rPr>
          <w:b/>
          <w:bCs/>
          <w:iCs/>
          <w:color w:val="000000" w:themeColor="text2"/>
          <w:szCs w:val="18"/>
        </w:rPr>
        <w:t xml:space="preserve">Table 3. Project Carbon Monoxide </w:t>
      </w:r>
      <w:r>
        <w:rPr>
          <w:b/>
          <w:bCs/>
          <w:iCs/>
          <w:color w:val="000000" w:themeColor="text2"/>
          <w:szCs w:val="18"/>
        </w:rPr>
        <w:t xml:space="preserve">(CO) </w:t>
      </w:r>
      <w:r w:rsidRPr="00A7505E">
        <w:rPr>
          <w:b/>
          <w:bCs/>
          <w:iCs/>
          <w:color w:val="000000" w:themeColor="text2"/>
          <w:szCs w:val="18"/>
        </w:rPr>
        <w:t>Concentrations</w:t>
      </w:r>
    </w:p>
    <w:tbl>
      <w:tblPr>
        <w:tblStyle w:val="ATFTxDOTTable1"/>
        <w:tblW w:w="0" w:type="auto"/>
        <w:tblInd w:w="-5" w:type="dxa"/>
        <w:tblLook w:val="0420" w:firstRow="1" w:lastRow="0" w:firstColumn="0" w:lastColumn="0" w:noHBand="0" w:noVBand="1"/>
        <w:tblCaption w:val="Project Carbon Monoxide (CO) Concentrations"/>
        <w:tblDescription w:val="This table summarizes project carbon monoxide concentrations"/>
      </w:tblPr>
      <w:tblGrid>
        <w:gridCol w:w="1347"/>
        <w:gridCol w:w="2325"/>
        <w:gridCol w:w="1631"/>
        <w:gridCol w:w="2102"/>
        <w:gridCol w:w="1950"/>
      </w:tblGrid>
      <w:tr w:rsidR="00B23894" w:rsidRPr="00A7505E" w14:paraId="15577FC4" w14:textId="77777777" w:rsidTr="00B33383">
        <w:trPr>
          <w:cnfStyle w:val="100000000000" w:firstRow="1" w:lastRow="0" w:firstColumn="0" w:lastColumn="0" w:oddVBand="0" w:evenVBand="0" w:oddHBand="0" w:evenHBand="0" w:firstRowFirstColumn="0" w:firstRowLastColumn="0" w:lastRowFirstColumn="0" w:lastRowLastColumn="0"/>
          <w:cantSplit/>
          <w:tblHeader/>
        </w:trPr>
        <w:tc>
          <w:tcPr>
            <w:tcW w:w="1347" w:type="dxa"/>
            <w:vAlign w:val="top"/>
            <w:hideMark/>
          </w:tcPr>
          <w:p w14:paraId="321DA1F7" w14:textId="77777777" w:rsidR="00B23894" w:rsidRPr="00A7505E" w:rsidRDefault="00B23894" w:rsidP="00B33383">
            <w:pPr>
              <w:spacing w:after="0" w:line="240" w:lineRule="auto"/>
              <w:rPr>
                <w:szCs w:val="24"/>
              </w:rPr>
            </w:pPr>
            <w:r w:rsidRPr="00A7505E">
              <w:rPr>
                <w:szCs w:val="24"/>
              </w:rPr>
              <w:t xml:space="preserve">Year </w:t>
            </w:r>
          </w:p>
        </w:tc>
        <w:tc>
          <w:tcPr>
            <w:tcW w:w="2325" w:type="dxa"/>
            <w:vAlign w:val="top"/>
            <w:hideMark/>
          </w:tcPr>
          <w:p w14:paraId="35DB5780" w14:textId="77777777" w:rsidR="00B23894" w:rsidRPr="00A7505E" w:rsidRDefault="00B23894" w:rsidP="00B33383">
            <w:pPr>
              <w:spacing w:after="0" w:line="240" w:lineRule="auto"/>
              <w:rPr>
                <w:szCs w:val="24"/>
              </w:rPr>
            </w:pPr>
            <w:r w:rsidRPr="00A7505E">
              <w:rPr>
                <w:szCs w:val="24"/>
              </w:rPr>
              <w:t>1-Hour CO Concentration</w:t>
            </w:r>
            <w:r w:rsidRPr="00A7505E">
              <w:rPr>
                <w:szCs w:val="24"/>
                <w:vertAlign w:val="superscript"/>
              </w:rPr>
              <w:footnoteReference w:id="17"/>
            </w:r>
          </w:p>
        </w:tc>
        <w:tc>
          <w:tcPr>
            <w:tcW w:w="1631" w:type="dxa"/>
            <w:vAlign w:val="top"/>
            <w:hideMark/>
          </w:tcPr>
          <w:p w14:paraId="3AB88A04" w14:textId="77777777" w:rsidR="00B23894" w:rsidRPr="00A7505E" w:rsidRDefault="00B23894" w:rsidP="00B33383">
            <w:pPr>
              <w:spacing w:after="0" w:line="240" w:lineRule="auto"/>
              <w:rPr>
                <w:szCs w:val="24"/>
              </w:rPr>
            </w:pPr>
            <w:r w:rsidRPr="00A7505E">
              <w:rPr>
                <w:szCs w:val="24"/>
              </w:rPr>
              <w:t xml:space="preserve">1-Hour </w:t>
            </w:r>
            <w:r>
              <w:rPr>
                <w:szCs w:val="24"/>
              </w:rPr>
              <w:t>percentage</w:t>
            </w:r>
            <w:r w:rsidRPr="00A7505E">
              <w:rPr>
                <w:szCs w:val="24"/>
              </w:rPr>
              <w:t xml:space="preserve"> </w:t>
            </w:r>
          </w:p>
        </w:tc>
        <w:tc>
          <w:tcPr>
            <w:tcW w:w="2102" w:type="dxa"/>
            <w:vAlign w:val="top"/>
          </w:tcPr>
          <w:p w14:paraId="54937DFD" w14:textId="77777777" w:rsidR="00B23894" w:rsidRPr="00A7505E" w:rsidRDefault="00B23894" w:rsidP="00B33383">
            <w:pPr>
              <w:spacing w:after="0" w:line="240" w:lineRule="auto"/>
              <w:rPr>
                <w:szCs w:val="24"/>
              </w:rPr>
            </w:pPr>
            <w:r w:rsidRPr="00A7505E">
              <w:rPr>
                <w:szCs w:val="24"/>
              </w:rPr>
              <w:t>8-Hour CO Concentration</w:t>
            </w:r>
          </w:p>
        </w:tc>
        <w:tc>
          <w:tcPr>
            <w:tcW w:w="1950" w:type="dxa"/>
            <w:vAlign w:val="top"/>
          </w:tcPr>
          <w:p w14:paraId="39553824" w14:textId="77777777" w:rsidR="00B23894" w:rsidRPr="00A7505E" w:rsidRDefault="00B23894" w:rsidP="00B33383">
            <w:pPr>
              <w:spacing w:after="0" w:line="240" w:lineRule="auto"/>
              <w:rPr>
                <w:szCs w:val="24"/>
              </w:rPr>
            </w:pPr>
            <w:r w:rsidRPr="00A7505E">
              <w:rPr>
                <w:szCs w:val="24"/>
              </w:rPr>
              <w:t xml:space="preserve">8-Hour </w:t>
            </w:r>
            <w:r w:rsidRPr="004064BC">
              <w:rPr>
                <w:szCs w:val="24"/>
              </w:rPr>
              <w:t xml:space="preserve">National Ambient Air Quality Standards </w:t>
            </w:r>
            <w:r>
              <w:rPr>
                <w:szCs w:val="24"/>
              </w:rPr>
              <w:t>(</w:t>
            </w:r>
            <w:r w:rsidRPr="00A7505E">
              <w:rPr>
                <w:szCs w:val="24"/>
              </w:rPr>
              <w:t>NAAQS</w:t>
            </w:r>
            <w:r>
              <w:rPr>
                <w:szCs w:val="24"/>
              </w:rPr>
              <w:t>) percentage</w:t>
            </w:r>
          </w:p>
        </w:tc>
      </w:tr>
      <w:tr w:rsidR="00B23894" w:rsidRPr="00A7505E" w14:paraId="080AC579" w14:textId="77777777" w:rsidTr="00B33383">
        <w:trPr>
          <w:cnfStyle w:val="000000100000" w:firstRow="0" w:lastRow="0" w:firstColumn="0" w:lastColumn="0" w:oddVBand="0" w:evenVBand="0" w:oddHBand="1" w:evenHBand="0" w:firstRowFirstColumn="0" w:firstRowLastColumn="0" w:lastRowFirstColumn="0" w:lastRowLastColumn="0"/>
          <w:cantSplit/>
          <w:trHeight w:val="25"/>
        </w:trPr>
        <w:tc>
          <w:tcPr>
            <w:tcW w:w="1347" w:type="dxa"/>
            <w:vAlign w:val="top"/>
            <w:hideMark/>
          </w:tcPr>
          <w:p w14:paraId="58CD4F01" w14:textId="77777777" w:rsidR="00B23894" w:rsidRPr="00A7505E" w:rsidRDefault="00B23894" w:rsidP="00B33383">
            <w:pPr>
              <w:spacing w:after="0"/>
              <w:rPr>
                <w:color w:val="000000" w:themeColor="text1"/>
                <w:szCs w:val="24"/>
                <w:highlight w:val="lightGray"/>
              </w:rPr>
            </w:pPr>
            <w:r w:rsidRPr="00A7505E">
              <w:rPr>
                <w:color w:val="000000" w:themeColor="text1"/>
                <w:szCs w:val="24"/>
                <w:highlight w:val="lightGray"/>
              </w:rPr>
              <w:t>[</w:t>
            </w:r>
            <w:r>
              <w:rPr>
                <w:color w:val="000000" w:themeColor="text1"/>
                <w:szCs w:val="24"/>
                <w:highlight w:val="lightGray"/>
              </w:rPr>
              <w:t>insert year</w:t>
            </w:r>
            <w:r w:rsidRPr="00A7505E">
              <w:rPr>
                <w:color w:val="000000" w:themeColor="text1"/>
                <w:szCs w:val="24"/>
                <w:highlight w:val="lightGray"/>
              </w:rPr>
              <w:t>]</w:t>
            </w:r>
          </w:p>
        </w:tc>
        <w:tc>
          <w:tcPr>
            <w:tcW w:w="2325" w:type="dxa"/>
            <w:vAlign w:val="top"/>
            <w:hideMark/>
          </w:tcPr>
          <w:p w14:paraId="575CBA2B" w14:textId="77777777" w:rsidR="00B23894" w:rsidRPr="00A7505E" w:rsidRDefault="00B23894" w:rsidP="00B33383">
            <w:pPr>
              <w:spacing w:after="0"/>
              <w:rPr>
                <w:color w:val="000000" w:themeColor="text1"/>
                <w:szCs w:val="24"/>
                <w:highlight w:val="lightGray"/>
              </w:rPr>
            </w:pPr>
            <w:r w:rsidRPr="00A7505E">
              <w:rPr>
                <w:color w:val="000000" w:themeColor="text1"/>
                <w:szCs w:val="24"/>
                <w:highlight w:val="lightGray"/>
              </w:rPr>
              <w:t>[</w:t>
            </w:r>
            <w:r>
              <w:rPr>
                <w:color w:val="000000" w:themeColor="text1"/>
                <w:szCs w:val="24"/>
                <w:highlight w:val="lightGray"/>
              </w:rPr>
              <w:t>insert 1-hour CO concentration</w:t>
            </w:r>
            <w:r w:rsidRPr="00A7505E">
              <w:rPr>
                <w:color w:val="000000" w:themeColor="text1"/>
                <w:szCs w:val="24"/>
                <w:highlight w:val="lightGray"/>
              </w:rPr>
              <w:t>]</w:t>
            </w:r>
          </w:p>
        </w:tc>
        <w:tc>
          <w:tcPr>
            <w:tcW w:w="1631" w:type="dxa"/>
            <w:vAlign w:val="top"/>
            <w:hideMark/>
          </w:tcPr>
          <w:p w14:paraId="1B5EF78A" w14:textId="77777777" w:rsidR="00B23894" w:rsidRPr="00A7505E" w:rsidRDefault="00B23894" w:rsidP="00B33383">
            <w:pPr>
              <w:spacing w:after="0"/>
              <w:rPr>
                <w:color w:val="000000" w:themeColor="text1"/>
                <w:szCs w:val="24"/>
                <w:highlight w:val="lightGray"/>
              </w:rPr>
            </w:pPr>
            <w:r w:rsidRPr="00A7505E">
              <w:rPr>
                <w:color w:val="000000" w:themeColor="text1"/>
                <w:szCs w:val="24"/>
                <w:highlight w:val="lightGray"/>
              </w:rPr>
              <w:t>[</w:t>
            </w:r>
            <w:r>
              <w:rPr>
                <w:color w:val="000000" w:themeColor="text1"/>
                <w:szCs w:val="24"/>
                <w:highlight w:val="lightGray"/>
              </w:rPr>
              <w:t>insert 1-hour percentage</w:t>
            </w:r>
            <w:r w:rsidRPr="00A7505E">
              <w:rPr>
                <w:color w:val="000000" w:themeColor="text1"/>
                <w:szCs w:val="24"/>
                <w:highlight w:val="lightGray"/>
              </w:rPr>
              <w:t>]</w:t>
            </w:r>
          </w:p>
        </w:tc>
        <w:tc>
          <w:tcPr>
            <w:tcW w:w="2102" w:type="dxa"/>
            <w:vAlign w:val="top"/>
          </w:tcPr>
          <w:p w14:paraId="254B1C89" w14:textId="77777777" w:rsidR="00B23894" w:rsidRPr="00A7505E" w:rsidRDefault="00B23894" w:rsidP="00B33383">
            <w:pPr>
              <w:spacing w:after="0"/>
              <w:rPr>
                <w:color w:val="000000" w:themeColor="text1"/>
                <w:szCs w:val="24"/>
                <w:highlight w:val="lightGray"/>
              </w:rPr>
            </w:pPr>
            <w:r>
              <w:rPr>
                <w:color w:val="000000" w:themeColor="text1"/>
                <w:szCs w:val="24"/>
                <w:highlight w:val="lightGray"/>
              </w:rPr>
              <w:t>Insert 8-hour CO concentration</w:t>
            </w:r>
            <w:r w:rsidRPr="00A7505E">
              <w:rPr>
                <w:color w:val="000000" w:themeColor="text1"/>
                <w:szCs w:val="24"/>
                <w:highlight w:val="lightGray"/>
              </w:rPr>
              <w:t>]</w:t>
            </w:r>
          </w:p>
        </w:tc>
        <w:tc>
          <w:tcPr>
            <w:tcW w:w="1950" w:type="dxa"/>
            <w:vAlign w:val="top"/>
          </w:tcPr>
          <w:p w14:paraId="4D927E79" w14:textId="77777777" w:rsidR="00B23894" w:rsidRPr="00A7505E" w:rsidRDefault="00B23894" w:rsidP="00B33383">
            <w:pPr>
              <w:spacing w:after="0"/>
              <w:rPr>
                <w:color w:val="000000" w:themeColor="text1"/>
                <w:szCs w:val="24"/>
                <w:highlight w:val="lightGray"/>
              </w:rPr>
            </w:pPr>
            <w:r w:rsidRPr="00A7505E">
              <w:rPr>
                <w:color w:val="000000" w:themeColor="text1"/>
                <w:szCs w:val="24"/>
                <w:highlight w:val="lightGray"/>
              </w:rPr>
              <w:t>[</w:t>
            </w:r>
            <w:r>
              <w:rPr>
                <w:color w:val="000000" w:themeColor="text1"/>
                <w:szCs w:val="24"/>
                <w:highlight w:val="lightGray"/>
              </w:rPr>
              <w:t xml:space="preserve">insert 8-hour NAAQS percentage] </w:t>
            </w:r>
          </w:p>
        </w:tc>
      </w:tr>
      <w:tr w:rsidR="00B23894" w:rsidRPr="00A7505E" w14:paraId="004A7CBD" w14:textId="77777777" w:rsidTr="00B33383">
        <w:trPr>
          <w:cnfStyle w:val="000000010000" w:firstRow="0" w:lastRow="0" w:firstColumn="0" w:lastColumn="0" w:oddVBand="0" w:evenVBand="0" w:oddHBand="0" w:evenHBand="1" w:firstRowFirstColumn="0" w:firstRowLastColumn="0" w:lastRowFirstColumn="0" w:lastRowLastColumn="0"/>
          <w:cantSplit/>
          <w:trHeight w:val="25"/>
        </w:trPr>
        <w:tc>
          <w:tcPr>
            <w:tcW w:w="1347" w:type="dxa"/>
            <w:vAlign w:val="top"/>
          </w:tcPr>
          <w:p w14:paraId="20465A72" w14:textId="77777777" w:rsidR="00B23894" w:rsidRPr="00C227EF" w:rsidRDefault="00B23894" w:rsidP="00B33383">
            <w:pPr>
              <w:spacing w:after="0"/>
              <w:rPr>
                <w:color w:val="DDDDDD"/>
                <w:szCs w:val="24"/>
              </w:rPr>
            </w:pPr>
            <w:r w:rsidRPr="00A7505E">
              <w:rPr>
                <w:color w:val="000000" w:themeColor="text1"/>
                <w:szCs w:val="24"/>
                <w:highlight w:val="lightGray"/>
              </w:rPr>
              <w:lastRenderedPageBreak/>
              <w:t>[</w:t>
            </w:r>
            <w:r>
              <w:rPr>
                <w:color w:val="000000" w:themeColor="text1"/>
                <w:szCs w:val="24"/>
                <w:highlight w:val="lightGray"/>
              </w:rPr>
              <w:t>insert year</w:t>
            </w:r>
            <w:r w:rsidRPr="00A7505E">
              <w:rPr>
                <w:color w:val="000000" w:themeColor="text1"/>
                <w:szCs w:val="24"/>
                <w:highlight w:val="lightGray"/>
              </w:rPr>
              <w:t>]</w:t>
            </w:r>
          </w:p>
        </w:tc>
        <w:tc>
          <w:tcPr>
            <w:tcW w:w="2325" w:type="dxa"/>
            <w:vAlign w:val="top"/>
          </w:tcPr>
          <w:p w14:paraId="460896B0" w14:textId="77777777" w:rsidR="00B23894" w:rsidRPr="00C227EF" w:rsidRDefault="00B23894" w:rsidP="00B33383">
            <w:pPr>
              <w:spacing w:after="0"/>
              <w:rPr>
                <w:color w:val="DDDDDD"/>
                <w:szCs w:val="24"/>
              </w:rPr>
            </w:pPr>
            <w:r w:rsidRPr="00A7505E">
              <w:rPr>
                <w:color w:val="000000" w:themeColor="text1"/>
                <w:szCs w:val="24"/>
                <w:highlight w:val="lightGray"/>
              </w:rPr>
              <w:t>[</w:t>
            </w:r>
            <w:r>
              <w:rPr>
                <w:color w:val="000000" w:themeColor="text1"/>
                <w:szCs w:val="24"/>
                <w:highlight w:val="lightGray"/>
              </w:rPr>
              <w:t>insert 1-hour CO concentration</w:t>
            </w:r>
            <w:r w:rsidRPr="00A7505E">
              <w:rPr>
                <w:color w:val="000000" w:themeColor="text1"/>
                <w:szCs w:val="24"/>
                <w:highlight w:val="lightGray"/>
              </w:rPr>
              <w:t>]</w:t>
            </w:r>
          </w:p>
        </w:tc>
        <w:tc>
          <w:tcPr>
            <w:tcW w:w="1631" w:type="dxa"/>
            <w:vAlign w:val="top"/>
          </w:tcPr>
          <w:p w14:paraId="5289BE85" w14:textId="77777777" w:rsidR="00B23894" w:rsidRPr="00C227EF" w:rsidRDefault="00B23894" w:rsidP="00B33383">
            <w:pPr>
              <w:spacing w:after="0"/>
              <w:rPr>
                <w:color w:val="DDDDDD"/>
                <w:szCs w:val="24"/>
              </w:rPr>
            </w:pPr>
            <w:r w:rsidRPr="00A7505E">
              <w:rPr>
                <w:color w:val="000000" w:themeColor="text1"/>
                <w:szCs w:val="24"/>
                <w:highlight w:val="lightGray"/>
              </w:rPr>
              <w:t>[</w:t>
            </w:r>
            <w:r>
              <w:rPr>
                <w:color w:val="000000" w:themeColor="text1"/>
                <w:szCs w:val="24"/>
                <w:highlight w:val="lightGray"/>
              </w:rPr>
              <w:t>insert 1-hour percentage</w:t>
            </w:r>
            <w:r w:rsidRPr="00A7505E">
              <w:rPr>
                <w:color w:val="000000" w:themeColor="text1"/>
                <w:szCs w:val="24"/>
                <w:highlight w:val="lightGray"/>
              </w:rPr>
              <w:t>]</w:t>
            </w:r>
          </w:p>
        </w:tc>
        <w:tc>
          <w:tcPr>
            <w:tcW w:w="2102" w:type="dxa"/>
            <w:vAlign w:val="top"/>
          </w:tcPr>
          <w:p w14:paraId="095ED354" w14:textId="77777777" w:rsidR="00B23894" w:rsidRPr="00C227EF" w:rsidRDefault="00B23894" w:rsidP="00B33383">
            <w:pPr>
              <w:spacing w:after="0"/>
              <w:rPr>
                <w:color w:val="DDDDDD"/>
                <w:szCs w:val="24"/>
              </w:rPr>
            </w:pPr>
            <w:r>
              <w:rPr>
                <w:color w:val="000000" w:themeColor="text1"/>
                <w:szCs w:val="24"/>
                <w:highlight w:val="lightGray"/>
              </w:rPr>
              <w:t>Insert 8-hour CO concentration</w:t>
            </w:r>
            <w:r w:rsidRPr="00A7505E">
              <w:rPr>
                <w:color w:val="000000" w:themeColor="text1"/>
                <w:szCs w:val="24"/>
                <w:highlight w:val="lightGray"/>
              </w:rPr>
              <w:t>]</w:t>
            </w:r>
          </w:p>
        </w:tc>
        <w:tc>
          <w:tcPr>
            <w:tcW w:w="1950" w:type="dxa"/>
            <w:vAlign w:val="top"/>
          </w:tcPr>
          <w:p w14:paraId="15DDFD48" w14:textId="77777777" w:rsidR="00B23894" w:rsidRPr="00C227EF" w:rsidRDefault="00B23894" w:rsidP="00152945">
            <w:pPr>
              <w:keepNext/>
              <w:spacing w:after="0"/>
              <w:rPr>
                <w:color w:val="DDDDDD"/>
                <w:szCs w:val="24"/>
              </w:rPr>
            </w:pPr>
            <w:r w:rsidRPr="00A7505E">
              <w:rPr>
                <w:color w:val="000000" w:themeColor="text1"/>
                <w:szCs w:val="24"/>
                <w:highlight w:val="lightGray"/>
              </w:rPr>
              <w:t>[</w:t>
            </w:r>
            <w:r>
              <w:rPr>
                <w:color w:val="000000" w:themeColor="text1"/>
                <w:szCs w:val="24"/>
                <w:highlight w:val="lightGray"/>
              </w:rPr>
              <w:t xml:space="preserve">insert 8-hour NAAQS percentage] </w:t>
            </w:r>
          </w:p>
        </w:tc>
      </w:tr>
    </w:tbl>
    <w:p w14:paraId="7ABDA3F9" w14:textId="613361A1" w:rsidR="00152945" w:rsidRDefault="00152945" w:rsidP="00152945">
      <w:pPr>
        <w:pStyle w:val="FootnoteText"/>
        <w:spacing w:after="240" w:line="360" w:lineRule="auto"/>
      </w:pPr>
      <w:bookmarkStart w:id="67" w:name="_Ref236137178"/>
      <w:bookmarkStart w:id="68" w:name="_Ref227317470"/>
      <w:r w:rsidRPr="00152945">
        <w:rPr>
          <w:color w:val="000000" w:themeColor="text1"/>
          <w:sz w:val="24"/>
          <w:szCs w:val="24"/>
          <w:vertAlign w:val="superscript"/>
        </w:rPr>
        <w:t>17</w:t>
      </w:r>
      <w:r>
        <w:rPr>
          <w:color w:val="000000" w:themeColor="text1"/>
          <w:sz w:val="24"/>
          <w:szCs w:val="24"/>
        </w:rPr>
        <w:t xml:space="preserve"> </w:t>
      </w:r>
      <w:r w:rsidRPr="00D3104D">
        <w:rPr>
          <w:color w:val="000000" w:themeColor="text1"/>
          <w:sz w:val="24"/>
          <w:szCs w:val="24"/>
        </w:rPr>
        <w:t xml:space="preserve">The National Ambient Air Quality Standard (NAAQS) for CO is 35 parts per million (ppm) for 1-hour and 9 ppm for 8-hours. Analysis includes a one-hour background concentration of </w:t>
      </w:r>
      <w:r w:rsidRPr="00D3104D">
        <w:rPr>
          <w:rFonts w:ascii="Verdana" w:hAnsi="Verdana"/>
          <w:color w:val="000000"/>
          <w:sz w:val="24"/>
          <w:szCs w:val="24"/>
          <w:highlight w:val="lightGray"/>
        </w:rPr>
        <w:t>[insert background concentration]</w:t>
      </w:r>
      <w:r w:rsidRPr="00D3104D">
        <w:rPr>
          <w:color w:val="000000" w:themeColor="text1"/>
          <w:sz w:val="24"/>
          <w:szCs w:val="24"/>
        </w:rPr>
        <w:t xml:space="preserve"> ppm and an 8-hour background concentration </w:t>
      </w:r>
      <w:r w:rsidRPr="00D3104D">
        <w:rPr>
          <w:rFonts w:ascii="Verdana" w:hAnsi="Verdana"/>
          <w:color w:val="000000"/>
          <w:sz w:val="24"/>
          <w:szCs w:val="24"/>
          <w:highlight w:val="lightGray"/>
        </w:rPr>
        <w:t>[insert background concentration]</w:t>
      </w:r>
      <w:r w:rsidRPr="00D3104D">
        <w:rPr>
          <w:color w:val="000000" w:themeColor="text1"/>
          <w:sz w:val="24"/>
          <w:szCs w:val="24"/>
        </w:rPr>
        <w:t xml:space="preserve"> ppm.</w:t>
      </w:r>
    </w:p>
    <w:p w14:paraId="44A0205F" w14:textId="39062588" w:rsidR="00B23894" w:rsidRPr="00A7505E" w:rsidRDefault="00B23894" w:rsidP="00725DE3">
      <w:pPr>
        <w:pStyle w:val="Heading3"/>
        <w:spacing w:before="200"/>
        <w:rPr>
          <w:rFonts w:hint="eastAsia"/>
        </w:rPr>
      </w:pPr>
      <w:bookmarkStart w:id="69" w:name="_Toc237000223"/>
      <w:r>
        <w:t>Statement 18</w:t>
      </w:r>
      <w:bookmarkEnd w:id="67"/>
      <w:bookmarkEnd w:id="69"/>
    </w:p>
    <w:p w14:paraId="4E06C1D1" w14:textId="77777777" w:rsidR="00B23894" w:rsidRPr="00A7505E" w:rsidRDefault="00B23894" w:rsidP="00B23894">
      <w:pPr>
        <w:pStyle w:val="ListNumber"/>
        <w:spacing w:before="200"/>
      </w:pPr>
      <w:r w:rsidRPr="00A7505E">
        <w:t xml:space="preserve">The purpose of this project is to </w:t>
      </w:r>
      <w:r w:rsidRPr="00A7505E">
        <w:rPr>
          <w:highlight w:val="lightGray"/>
        </w:rPr>
        <w:t>[insert major deficiency that the project is meant to address]</w:t>
      </w:r>
      <w:r w:rsidRPr="00A7505E">
        <w:t xml:space="preserve"> by constructing </w:t>
      </w:r>
      <w:r w:rsidRPr="00A7505E">
        <w:rPr>
          <w:highlight w:val="lightGray"/>
        </w:rPr>
        <w:t>[insert major elements of the project]</w:t>
      </w:r>
      <w:r w:rsidRPr="00A7505E">
        <w:t>. This project has been determined to generate minimal air quality impacts for Clean Air Act criteria pollutants and has not been linked with any special mobile source air toxic (MSAT) concerns. As such, this project will not result in changes in traffic volumes, vehicle mix, basic project location, or any other factor that would cause a meaningful increase in MSAT impacts of the project from that of the no-</w:t>
      </w:r>
      <w:proofErr w:type="gramStart"/>
      <w:r w:rsidRPr="00A7505E">
        <w:t>build</w:t>
      </w:r>
      <w:proofErr w:type="gramEnd"/>
      <w:r w:rsidRPr="00A7505E">
        <w:t xml:space="preserve"> alternative.</w:t>
      </w:r>
      <w:bookmarkEnd w:id="68"/>
    </w:p>
    <w:p w14:paraId="744646F7" w14:textId="77777777" w:rsidR="00B23894" w:rsidRPr="00A7505E" w:rsidRDefault="00B23894" w:rsidP="00B23894">
      <w:pPr>
        <w:keepNext/>
        <w:keepLines/>
        <w:tabs>
          <w:tab w:val="left" w:pos="0"/>
        </w:tabs>
        <w:spacing w:before="240" w:after="0"/>
        <w:rPr>
          <w:color w:val="000000" w:themeColor="text1"/>
          <w:szCs w:val="24"/>
        </w:rPr>
      </w:pPr>
      <w:r w:rsidRPr="00A7505E">
        <w:rPr>
          <w:color w:val="000000" w:themeColor="text1"/>
          <w:szCs w:val="24"/>
        </w:rPr>
        <w:lastRenderedPageBreak/>
        <w:t>Moreover, Environmental Protection Agency (EPA) regulations for vehicle engines and fuels will cause overall MSAT emissions to decline significantly over the next several decades. Based on regulations now in effect, an analysis of national trends with EPA’s MOVES3 model forecasts a combined reduction of over 76 percent in the total annual emissions rate for the priority MSAT from 2020 to 2060 while vehicle-miles of travel are projected to increase by over 31 percent</w:t>
      </w:r>
      <w:r>
        <w:rPr>
          <w:color w:val="000000" w:themeColor="text1"/>
          <w:szCs w:val="24"/>
        </w:rPr>
        <w:t xml:space="preserve"> </w:t>
      </w:r>
      <w:r w:rsidRPr="007E51BB">
        <w:rPr>
          <w:color w:val="000000" w:themeColor="text1"/>
          <w:szCs w:val="24"/>
          <w:vertAlign w:val="superscript"/>
        </w:rPr>
        <w:footnoteReference w:id="18"/>
      </w:r>
      <w:r w:rsidRPr="00A7505E">
        <w:rPr>
          <w:color w:val="000000" w:themeColor="text1"/>
          <w:szCs w:val="24"/>
        </w:rPr>
        <w:t xml:space="preserve"> This will both reduce the background level of MSAT as well as the possibility of even minor MSAT emissions from this project.</w:t>
      </w:r>
    </w:p>
    <w:p w14:paraId="471D5BFB" w14:textId="77777777" w:rsidR="00B23894" w:rsidRPr="00A7505E" w:rsidRDefault="00B23894" w:rsidP="00B23894">
      <w:pPr>
        <w:pStyle w:val="Heading3"/>
        <w:rPr>
          <w:rFonts w:hint="eastAsia"/>
        </w:rPr>
      </w:pPr>
      <w:bookmarkStart w:id="70" w:name="_Ref236137354"/>
      <w:bookmarkStart w:id="71" w:name="_Ref227317754"/>
      <w:bookmarkStart w:id="72" w:name="_Toc237000224"/>
      <w:r>
        <w:t>Statement 19</w:t>
      </w:r>
      <w:bookmarkEnd w:id="70"/>
      <w:bookmarkEnd w:id="72"/>
    </w:p>
    <w:p w14:paraId="4C5E758A" w14:textId="77777777" w:rsidR="00B23894" w:rsidRPr="009671B0" w:rsidRDefault="00B23894" w:rsidP="00B23894">
      <w:pPr>
        <w:pStyle w:val="ListNumber"/>
        <w:spacing w:after="0"/>
        <w:rPr>
          <w:b/>
          <w:bCs/>
        </w:rPr>
      </w:pPr>
      <w:bookmarkStart w:id="73" w:name="_Ref227335615"/>
      <w:r w:rsidRPr="009671B0">
        <w:rPr>
          <w:b/>
          <w:bCs/>
        </w:rPr>
        <w:t>Background</w:t>
      </w:r>
      <w:bookmarkEnd w:id="71"/>
      <w:bookmarkEnd w:id="73"/>
    </w:p>
    <w:p w14:paraId="5ED0024D" w14:textId="77777777" w:rsidR="00B23894" w:rsidRPr="00A7505E" w:rsidRDefault="00B23894" w:rsidP="00B23894">
      <w:pPr>
        <w:spacing w:before="120" w:after="0"/>
        <w:rPr>
          <w:color w:val="000000" w:themeColor="text1"/>
          <w:szCs w:val="24"/>
        </w:rPr>
      </w:pPr>
      <w:r w:rsidRPr="00A7505E">
        <w:rPr>
          <w:color w:val="000000" w:themeColor="text1"/>
          <w:szCs w:val="24"/>
        </w:rPr>
        <w:t>Controlling air toxic emissions became a national priority with the passage of the Clean Air Act Amendments (CAAA) of 1990, whereby Congress mandated that the U.S. Environmental Protection Agency (EPA) regulate 188 air toxics, also known as hazardous air pollutants. The EPA has assessed this expansive list in their latest rule on the Control of Hazardous Air Pollutants from Mobile Sources (Federal Register, Vol</w:t>
      </w:r>
      <w:r>
        <w:rPr>
          <w:color w:val="000000" w:themeColor="text1"/>
          <w:szCs w:val="24"/>
        </w:rPr>
        <w:t>ume (Vol.)</w:t>
      </w:r>
      <w:r w:rsidRPr="00A7505E">
        <w:rPr>
          <w:color w:val="000000" w:themeColor="text1"/>
          <w:szCs w:val="24"/>
        </w:rPr>
        <w:t xml:space="preserve"> 72, </w:t>
      </w:r>
      <w:r>
        <w:rPr>
          <w:color w:val="000000" w:themeColor="text1"/>
          <w:szCs w:val="24"/>
        </w:rPr>
        <w:t>number (No.)</w:t>
      </w:r>
      <w:r w:rsidRPr="00A7505E">
        <w:rPr>
          <w:color w:val="000000" w:themeColor="text1"/>
          <w:szCs w:val="24"/>
        </w:rPr>
        <w:t xml:space="preserve"> 37, page 8430, February 26, 2007</w:t>
      </w:r>
      <w:proofErr w:type="gramStart"/>
      <w:r w:rsidRPr="00A7505E">
        <w:rPr>
          <w:color w:val="000000" w:themeColor="text1"/>
          <w:szCs w:val="24"/>
        </w:rPr>
        <w:t>), and</w:t>
      </w:r>
      <w:proofErr w:type="gramEnd"/>
      <w:r w:rsidRPr="00A7505E">
        <w:rPr>
          <w:color w:val="000000" w:themeColor="text1"/>
          <w:szCs w:val="24"/>
        </w:rPr>
        <w:t xml:space="preserve"> identified a group of 93 compounds emitted from mobile sources that are listed in their Integrated Risk Information System (IRIS)</w:t>
      </w:r>
      <w:r w:rsidRPr="00A7505E">
        <w:rPr>
          <w:color w:val="000000" w:themeColor="text1"/>
          <w:szCs w:val="24"/>
          <w:vertAlign w:val="superscript"/>
        </w:rPr>
        <w:footnoteReference w:id="19"/>
      </w:r>
      <w:r w:rsidRPr="00A7505E">
        <w:rPr>
          <w:color w:val="000000" w:themeColor="text1"/>
          <w:szCs w:val="24"/>
        </w:rPr>
        <w:t>. In addition, EPA identified nine compounds with significant contributions from mobile sources that are among the national and regional-scale cancer risk drivers or contributors and non-cancer hazard contributors from the 2011 National Air Toxics Assessment (NATA)</w:t>
      </w:r>
      <w:r w:rsidRPr="00A7505E">
        <w:rPr>
          <w:color w:val="000000" w:themeColor="text1"/>
          <w:szCs w:val="24"/>
          <w:vertAlign w:val="superscript"/>
        </w:rPr>
        <w:footnoteReference w:id="20"/>
      </w:r>
      <w:r w:rsidRPr="00A7505E">
        <w:rPr>
          <w:color w:val="000000" w:themeColor="text1"/>
          <w:szCs w:val="24"/>
        </w:rPr>
        <w:t xml:space="preserve">. These are 1,3-butadiene, acetaldehyde, acrolein, benzene, diesel particulate matter (diesel PM), ethylbenzene, formaldehyde, naphthalene, </w:t>
      </w:r>
      <w:r w:rsidRPr="00A7505E">
        <w:rPr>
          <w:color w:val="000000" w:themeColor="text1"/>
          <w:szCs w:val="24"/>
        </w:rPr>
        <w:lastRenderedPageBreak/>
        <w:t>and polycyclic organic matter. While FHWA considers these the priority mobile source air toxics, the list is subject to change and may be adjusted in consideration of future EPA rules.</w:t>
      </w:r>
    </w:p>
    <w:p w14:paraId="6CF535A3" w14:textId="77777777" w:rsidR="00B23894" w:rsidRPr="00725DE3" w:rsidRDefault="00B23894" w:rsidP="00B23894">
      <w:pPr>
        <w:spacing w:before="120" w:after="0"/>
        <w:rPr>
          <w:b/>
          <w:bCs/>
          <w:i/>
          <w:iCs/>
        </w:rPr>
      </w:pPr>
      <w:r w:rsidRPr="00725DE3">
        <w:rPr>
          <w:b/>
          <w:bCs/>
          <w:i/>
          <w:iCs/>
        </w:rPr>
        <w:t>Motor Vehicle Emissions Simulator (MOVES)</w:t>
      </w:r>
    </w:p>
    <w:p w14:paraId="16179D1D" w14:textId="77777777" w:rsidR="00B23894" w:rsidRPr="00A7505E" w:rsidRDefault="00B23894" w:rsidP="00B23894">
      <w:pPr>
        <w:spacing w:after="0"/>
        <w:rPr>
          <w:color w:val="000000" w:themeColor="text1"/>
          <w:szCs w:val="24"/>
        </w:rPr>
      </w:pPr>
      <w:r w:rsidRPr="00A7505E">
        <w:rPr>
          <w:color w:val="000000" w:themeColor="text1"/>
          <w:szCs w:val="24"/>
        </w:rPr>
        <w:t xml:space="preserve">According to EPA, MOVES3 is a major revision to MOVES2014 and improves upon it in many respects. MOVES3 includes new data, new emissions standards, and new functional improvements and features. It incorporates substantial new data for emissions, fleet, and activity developed since the release of MOVES2014. These new emissions data are for light- and heavy-duty vehicles, exhaust and evaporative emissions, and fuel effects. MOVES3 also adds updated vehicle sales, population, age distribution, and vehicle miles travelled (VMT) data. In </w:t>
      </w:r>
      <w:proofErr w:type="gramStart"/>
      <w:r w:rsidRPr="00A7505E">
        <w:rPr>
          <w:color w:val="000000" w:themeColor="text1"/>
          <w:szCs w:val="24"/>
        </w:rPr>
        <w:t>the November</w:t>
      </w:r>
      <w:proofErr w:type="gramEnd"/>
      <w:r w:rsidRPr="00A7505E">
        <w:rPr>
          <w:color w:val="000000" w:themeColor="text1"/>
          <w:szCs w:val="24"/>
        </w:rPr>
        <w:t xml:space="preserve"> 2020 EPA issued MOVES3 Mobile Source Emissions Model Questions and Answers</w:t>
      </w:r>
      <w:r w:rsidRPr="00A7505E">
        <w:rPr>
          <w:color w:val="000000" w:themeColor="text1"/>
          <w:szCs w:val="24"/>
          <w:vertAlign w:val="superscript"/>
        </w:rPr>
        <w:footnoteReference w:id="21"/>
      </w:r>
      <w:r w:rsidRPr="00A7505E">
        <w:rPr>
          <w:color w:val="000000" w:themeColor="text1"/>
          <w:szCs w:val="24"/>
        </w:rPr>
        <w:t xml:space="preserve">  EPA states that for on-road emissions, MOVES3 updated heavy-duty (HD) diesel and compressed natural gas (CNG) emission running rates and updated HD gasoline emission rates. They updated light-duty (LD) emission rates for hydrocarbon (HC), carbon monoxide (CO) and nitrogen oxide (NOx) and updated light-duty (LD) particulate matter rates, incorporating new data on Gasoline Direct Injection (GDI) vehicles.</w:t>
      </w:r>
    </w:p>
    <w:p w14:paraId="617CF124" w14:textId="62463BD3" w:rsidR="00B23894" w:rsidRDefault="00B23894" w:rsidP="00B23894">
      <w:pPr>
        <w:rPr>
          <w:color w:val="000000" w:themeColor="text1"/>
          <w:szCs w:val="24"/>
        </w:rPr>
      </w:pPr>
      <w:r w:rsidRPr="00A7505E">
        <w:rPr>
          <w:color w:val="000000" w:themeColor="text1"/>
          <w:szCs w:val="24"/>
        </w:rPr>
        <w:t xml:space="preserve">Using EPA’s MOVES3 model, as shown in </w:t>
      </w:r>
      <w:r w:rsidRPr="00A7505E">
        <w:rPr>
          <w:color w:val="000000" w:themeColor="text1"/>
          <w:szCs w:val="24"/>
        </w:rPr>
        <w:fldChar w:fldCharType="begin"/>
      </w:r>
      <w:r w:rsidRPr="00A7505E">
        <w:rPr>
          <w:color w:val="000000" w:themeColor="text1"/>
          <w:szCs w:val="24"/>
        </w:rPr>
        <w:instrText xml:space="preserve"> REF _Ref225950336 \h  \* MERGEFORMAT </w:instrText>
      </w:r>
      <w:r w:rsidRPr="00A7505E">
        <w:rPr>
          <w:color w:val="000000" w:themeColor="text1"/>
          <w:szCs w:val="24"/>
        </w:rPr>
      </w:r>
      <w:r w:rsidRPr="00A7505E">
        <w:rPr>
          <w:color w:val="000000" w:themeColor="text1"/>
          <w:szCs w:val="24"/>
        </w:rPr>
        <w:fldChar w:fldCharType="separate"/>
      </w:r>
      <w:r w:rsidRPr="00A7505E">
        <w:rPr>
          <w:color w:val="000000" w:themeColor="text1"/>
          <w:szCs w:val="24"/>
        </w:rPr>
        <w:t xml:space="preserve">Figure 1, </w:t>
      </w:r>
      <w:r w:rsidRPr="00A7505E">
        <w:rPr>
          <w:color w:val="000000" w:themeColor="text1"/>
          <w:szCs w:val="24"/>
        </w:rPr>
        <w:fldChar w:fldCharType="end"/>
      </w:r>
      <w:r w:rsidRPr="00A7505E">
        <w:rPr>
          <w:color w:val="000000" w:themeColor="text1"/>
          <w:szCs w:val="24"/>
        </w:rPr>
        <w:t xml:space="preserve">FHWA estimates that even if VMT increases by 31 percent from 2020 to 2060 as forecast, a combined reduction of 76 percent in the total annual emissions for the priority MSAT is projected for the same </w:t>
      </w:r>
      <w:proofErr w:type="gramStart"/>
      <w:r w:rsidRPr="00A7505E">
        <w:rPr>
          <w:color w:val="000000" w:themeColor="text1"/>
          <w:szCs w:val="24"/>
        </w:rPr>
        <w:t>time period</w:t>
      </w:r>
      <w:proofErr w:type="gramEnd"/>
      <w:r w:rsidRPr="00A7505E">
        <w:rPr>
          <w:color w:val="000000" w:themeColor="text1"/>
          <w:szCs w:val="24"/>
        </w:rPr>
        <w:t>.</w:t>
      </w:r>
    </w:p>
    <w:p w14:paraId="7FB1D608" w14:textId="1C48829E" w:rsidR="00B52A78" w:rsidRDefault="00A11404" w:rsidP="00A11404">
      <w:pPr>
        <w:spacing w:before="120" w:after="0"/>
      </w:pPr>
      <w:r>
        <w:rPr>
          <w:noProof/>
        </w:rPr>
        <w:lastRenderedPageBreak/>
        <w:drawing>
          <wp:inline distT="0" distB="0" distL="0" distR="0" wp14:anchorId="56700BA4" wp14:editId="4563C652">
            <wp:extent cx="3224357" cy="4726113"/>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26026" cy="4728560"/>
                    </a:xfrm>
                    <a:prstGeom prst="rect">
                      <a:avLst/>
                    </a:prstGeom>
                    <a:noFill/>
                    <a:ln>
                      <a:noFill/>
                    </a:ln>
                  </pic:spPr>
                </pic:pic>
              </a:graphicData>
            </a:graphic>
          </wp:inline>
        </w:drawing>
      </w:r>
    </w:p>
    <w:p w14:paraId="18D2A2AE" w14:textId="24C7A045" w:rsidR="00B23894" w:rsidRPr="00A7505E" w:rsidRDefault="00B23894" w:rsidP="00B23894">
      <w:pPr>
        <w:pStyle w:val="Caption"/>
        <w:rPr>
          <w:color w:val="000000" w:themeColor="text1"/>
          <w:szCs w:val="24"/>
        </w:rPr>
      </w:pPr>
      <w:r w:rsidRPr="00E861C8">
        <w:t xml:space="preserve">Figure </w:t>
      </w:r>
      <w:r>
        <w:fldChar w:fldCharType="begin"/>
      </w:r>
      <w:r>
        <w:instrText xml:space="preserve"> SEQ Figure \* ARABIC </w:instrText>
      </w:r>
      <w:r>
        <w:fldChar w:fldCharType="separate"/>
      </w:r>
      <w:r w:rsidRPr="00E861C8">
        <w:rPr>
          <w:noProof/>
        </w:rPr>
        <w:t>1</w:t>
      </w:r>
      <w:r>
        <w:rPr>
          <w:noProof/>
        </w:rPr>
        <w:fldChar w:fldCharType="end"/>
      </w:r>
      <w:r w:rsidRPr="00E861C8">
        <w:t>. FHWA Projected National MSAT Emission Trends 2020 - 2060 for vehicles operating on roadways</w:t>
      </w:r>
      <w:bookmarkStart w:id="74" w:name="_Toc227245048"/>
      <w:r w:rsidR="00F16217" w:rsidRPr="00A7505E">
        <w:rPr>
          <w:vertAlign w:val="superscript"/>
        </w:rPr>
        <w:footnoteReference w:id="22"/>
      </w:r>
      <w:bookmarkEnd w:id="74"/>
    </w:p>
    <w:p w14:paraId="1FD67225" w14:textId="77777777" w:rsidR="00F16217" w:rsidRDefault="00F16217" w:rsidP="00B23894">
      <w:pPr>
        <w:rPr>
          <w:color w:val="000000" w:themeColor="text1"/>
          <w:szCs w:val="24"/>
        </w:rPr>
        <w:sectPr w:rsidR="00F16217" w:rsidSect="0005255C">
          <w:pgSz w:w="12240" w:h="15840"/>
          <w:pgMar w:top="900" w:right="1440" w:bottom="1170" w:left="1440" w:header="720" w:footer="576" w:gutter="0"/>
          <w:cols w:space="720"/>
          <w:docGrid w:linePitch="360"/>
        </w:sectPr>
      </w:pPr>
    </w:p>
    <w:p w14:paraId="6A79626B" w14:textId="77777777" w:rsidR="00B23894" w:rsidRPr="00A7505E" w:rsidRDefault="00B23894" w:rsidP="00B23894">
      <w:pPr>
        <w:rPr>
          <w:color w:val="000000" w:themeColor="text1"/>
          <w:szCs w:val="24"/>
        </w:rPr>
      </w:pPr>
      <w:r w:rsidRPr="00A7505E">
        <w:rPr>
          <w:color w:val="000000" w:themeColor="text1"/>
          <w:szCs w:val="24"/>
        </w:rPr>
        <w:lastRenderedPageBreak/>
        <w:t xml:space="preserve">Diesel PM is the dominant component of MSAT emissions, making up 36 to 56 percent of all priority MSAT pollutants by mass, depending on calendar year. Users of MOVES3 will notice some differences in emissions compared with MOVES2014. MOVES3 is based on updated data on some emissions and pollutant processes compared to </w:t>
      </w:r>
      <w:proofErr w:type="gramStart"/>
      <w:r w:rsidRPr="00A7505E">
        <w:rPr>
          <w:color w:val="000000" w:themeColor="text1"/>
          <w:szCs w:val="24"/>
        </w:rPr>
        <w:t>MOVES2014, and</w:t>
      </w:r>
      <w:proofErr w:type="gramEnd"/>
      <w:r w:rsidRPr="00A7505E">
        <w:rPr>
          <w:color w:val="000000" w:themeColor="text1"/>
          <w:szCs w:val="24"/>
        </w:rPr>
        <w:t xml:space="preserve"> also reflects the latest Federal emissions standards in place at the time of its release. In addition, MOVES3 emissions forecasts are based on slightly higher VMT projections than MOVES2014, consistent with nationwide VMT trends.</w:t>
      </w:r>
    </w:p>
    <w:p w14:paraId="4DC1851A" w14:textId="77777777" w:rsidR="00B23894" w:rsidRPr="00725DE3" w:rsidRDefault="00B23894" w:rsidP="00B23894">
      <w:pPr>
        <w:spacing w:before="120" w:after="0"/>
        <w:rPr>
          <w:b/>
          <w:bCs/>
          <w:i/>
          <w:iCs/>
        </w:rPr>
      </w:pPr>
      <w:r w:rsidRPr="00725DE3">
        <w:rPr>
          <w:b/>
          <w:bCs/>
          <w:i/>
          <w:iCs/>
        </w:rPr>
        <w:t>MSAT Research</w:t>
      </w:r>
    </w:p>
    <w:p w14:paraId="141C154F" w14:textId="77777777" w:rsidR="00B23894" w:rsidRPr="00A7505E" w:rsidRDefault="00B23894" w:rsidP="00B23894">
      <w:pPr>
        <w:rPr>
          <w:color w:val="000000" w:themeColor="text1"/>
          <w:szCs w:val="24"/>
        </w:rPr>
      </w:pPr>
      <w:r w:rsidRPr="00A7505E">
        <w:rPr>
          <w:color w:val="000000" w:themeColor="text1"/>
          <w:szCs w:val="24"/>
        </w:rPr>
        <w:t xml:space="preserve">Air toxics analysis is a continuing area of research. While much work has been done to assess the overall health risk of air toxics, many questions remain unanswered. In particular, the tools and techniques for assessing project-specific health outcomes </w:t>
      </w:r>
      <w:proofErr w:type="gramStart"/>
      <w:r w:rsidRPr="00A7505E">
        <w:rPr>
          <w:color w:val="000000" w:themeColor="text1"/>
          <w:szCs w:val="24"/>
        </w:rPr>
        <w:t>as a result of</w:t>
      </w:r>
      <w:proofErr w:type="gramEnd"/>
      <w:r w:rsidRPr="00A7505E">
        <w:rPr>
          <w:color w:val="000000" w:themeColor="text1"/>
          <w:szCs w:val="24"/>
        </w:rPr>
        <w:t xml:space="preserve"> lifetime MSAT exposure remain limited. These limitations impede the ability to evaluate how potential public health risks posed by MSAT exposure should be factored into project-level decision-making within the context of National Environmental Policy Act (NEPA).</w:t>
      </w:r>
    </w:p>
    <w:p w14:paraId="146A2988" w14:textId="77777777" w:rsidR="00B23894" w:rsidRPr="00E70B71" w:rsidRDefault="00B23894" w:rsidP="00B23894">
      <w:pPr>
        <w:spacing w:before="120" w:after="0"/>
        <w:rPr>
          <w:b/>
          <w:bCs/>
        </w:rPr>
      </w:pPr>
      <w:r w:rsidRPr="00E70B71">
        <w:rPr>
          <w:b/>
          <w:bCs/>
        </w:rPr>
        <w:t>Project Specific MSAT Information</w:t>
      </w:r>
    </w:p>
    <w:p w14:paraId="47C7F1DD" w14:textId="77777777" w:rsidR="00B23894" w:rsidRPr="00A7505E" w:rsidRDefault="00B23894" w:rsidP="00B23894">
      <w:pPr>
        <w:rPr>
          <w:color w:val="000000" w:themeColor="text1"/>
          <w:szCs w:val="24"/>
        </w:rPr>
      </w:pPr>
      <w:r w:rsidRPr="00A7505E">
        <w:rPr>
          <w:color w:val="000000" w:themeColor="text1"/>
          <w:szCs w:val="24"/>
        </w:rPr>
        <w:t>A qualitative analysis provides a basis for identifying and comparing the potential differences among MSAT emissions, if any, from the various alternatives. The qualitative assessment presented below is derived in part from a study conducted by FHWA entitled A Methodology for Evaluating Mobile Source Air Toxic Emissions Among Transportation Project Alternatives</w:t>
      </w:r>
      <w:r w:rsidRPr="00A7505E">
        <w:rPr>
          <w:color w:val="000000" w:themeColor="text1"/>
          <w:szCs w:val="24"/>
          <w:vertAlign w:val="superscript"/>
        </w:rPr>
        <w:footnoteReference w:id="23"/>
      </w:r>
      <w:r w:rsidRPr="00A7505E">
        <w:rPr>
          <w:color w:val="000000" w:themeColor="text1"/>
          <w:szCs w:val="24"/>
        </w:rPr>
        <w:t>.</w:t>
      </w:r>
    </w:p>
    <w:p w14:paraId="5C96929C" w14:textId="77777777" w:rsidR="00B23894" w:rsidRPr="00725DE3" w:rsidRDefault="00B23894" w:rsidP="00B23894">
      <w:pPr>
        <w:pStyle w:val="ListParagraph"/>
        <w:numPr>
          <w:ilvl w:val="0"/>
          <w:numId w:val="47"/>
        </w:numPr>
        <w:spacing w:after="0"/>
        <w:rPr>
          <w:b/>
          <w:bCs/>
          <w:i/>
          <w:iCs/>
        </w:rPr>
      </w:pPr>
      <w:r w:rsidRPr="00725DE3">
        <w:rPr>
          <w:b/>
          <w:bCs/>
          <w:i/>
          <w:iCs/>
        </w:rPr>
        <w:t>Widening Projects</w:t>
      </w:r>
    </w:p>
    <w:p w14:paraId="17835705" w14:textId="77777777" w:rsidR="00B23894" w:rsidRPr="00A7505E" w:rsidRDefault="00B23894" w:rsidP="00B23894">
      <w:pPr>
        <w:rPr>
          <w:color w:val="000000" w:themeColor="text1"/>
          <w:szCs w:val="24"/>
        </w:rPr>
      </w:pPr>
      <w:r w:rsidRPr="00A7505E">
        <w:rPr>
          <w:color w:val="000000" w:themeColor="text1"/>
          <w:szCs w:val="24"/>
        </w:rPr>
        <w:t xml:space="preserve">For each alternative, the amount of MSAT emitted would be proportional to the vehicle miles traveled, or VMT, assuming that other variables such as </w:t>
      </w:r>
      <w:r w:rsidRPr="00A7505E">
        <w:rPr>
          <w:color w:val="000000" w:themeColor="text1"/>
          <w:szCs w:val="24"/>
        </w:rPr>
        <w:lastRenderedPageBreak/>
        <w:t xml:space="preserve">fleet mix are the same for each alternative. The VMT estimated for each of the Build Alternatives is slightly higher than that for the No Build Alternative, because the additional capacity increases the efficiency of the roadway and attracts rerouted trips from elsewhere in the transportation network. The emissions increase from the additional VMT is offset somewhat by lower MSAT emission rates due to increased speeds; according to </w:t>
      </w:r>
      <w:proofErr w:type="gramStart"/>
      <w:r w:rsidRPr="00A7505E">
        <w:rPr>
          <w:color w:val="000000" w:themeColor="text1"/>
          <w:szCs w:val="24"/>
        </w:rPr>
        <w:t>the EPA’s</w:t>
      </w:r>
      <w:proofErr w:type="gramEnd"/>
      <w:r w:rsidRPr="00A7505E">
        <w:rPr>
          <w:color w:val="000000" w:themeColor="text1"/>
          <w:szCs w:val="24"/>
        </w:rPr>
        <w:t xml:space="preserve"> MOVES3 model, emissions of </w:t>
      </w:r>
      <w:proofErr w:type="gramStart"/>
      <w:r w:rsidRPr="00A7505E">
        <w:rPr>
          <w:color w:val="000000" w:themeColor="text1"/>
          <w:szCs w:val="24"/>
        </w:rPr>
        <w:t>all of</w:t>
      </w:r>
      <w:proofErr w:type="gramEnd"/>
      <w:r w:rsidRPr="00A7505E">
        <w:rPr>
          <w:color w:val="000000" w:themeColor="text1"/>
          <w:szCs w:val="24"/>
        </w:rPr>
        <w:t xml:space="preserve"> the priority MSAT decrease as speed increases. The additional travel lanes contemplated as part of the project alternatives will have the effect of moving some traffic closer to nearby homes, schools, and businesses; therefore, under each alternative there may be localized areas where ambient concentrations of MSAT could be higher under certain Build Alternatives than the No Build Alternative. The localized increases in MSAT concentrations would likely be most pronounced along the expanded roadway sections that would be built at </w:t>
      </w:r>
      <w:r w:rsidRPr="00A7505E">
        <w:rPr>
          <w:color w:val="000000" w:themeColor="text1"/>
          <w:szCs w:val="24"/>
          <w:highlight w:val="lightGray"/>
        </w:rPr>
        <w:t>[insert locations]</w:t>
      </w:r>
      <w:r w:rsidRPr="00A7505E">
        <w:rPr>
          <w:color w:val="000000" w:themeColor="text1"/>
          <w:szCs w:val="24"/>
        </w:rPr>
        <w:t xml:space="preserve">. However, the magnitude and the duration of these potential increases compared to the No Build alternative cannot be reliably quantified due to incomplete or unavailable information in forecasting project-specific MSAT health impacts. Also, MSAT will be lower in other locations when traffic shifts away from them; therefore, on a regional basis, EPA's vehicle and fuel regulations, coupled with fleet turnover, </w:t>
      </w:r>
      <w:proofErr w:type="gramStart"/>
      <w:r w:rsidRPr="00A7505E">
        <w:rPr>
          <w:color w:val="000000" w:themeColor="text1"/>
          <w:szCs w:val="24"/>
        </w:rPr>
        <w:t>will over time</w:t>
      </w:r>
      <w:proofErr w:type="gramEnd"/>
      <w:r w:rsidRPr="00A7505E">
        <w:rPr>
          <w:color w:val="000000" w:themeColor="text1"/>
          <w:szCs w:val="24"/>
        </w:rPr>
        <w:t xml:space="preserve"> cause substantial reductions that, in almost all cases, will cause region</w:t>
      </w:r>
      <w:proofErr w:type="gramStart"/>
      <w:r w:rsidRPr="00A7505E">
        <w:rPr>
          <w:color w:val="000000" w:themeColor="text1"/>
          <w:szCs w:val="24"/>
        </w:rPr>
        <w:t>- wide</w:t>
      </w:r>
      <w:proofErr w:type="gramEnd"/>
      <w:r w:rsidRPr="00A7505E">
        <w:rPr>
          <w:color w:val="000000" w:themeColor="text1"/>
          <w:szCs w:val="24"/>
        </w:rPr>
        <w:t xml:space="preserve"> MSAT levels to be significantly lower than today.</w:t>
      </w:r>
    </w:p>
    <w:p w14:paraId="24AE2752" w14:textId="77777777" w:rsidR="00B23894" w:rsidRPr="00725DE3" w:rsidRDefault="00B23894" w:rsidP="00B23894">
      <w:pPr>
        <w:pStyle w:val="ListParagraph"/>
        <w:numPr>
          <w:ilvl w:val="0"/>
          <w:numId w:val="47"/>
        </w:numPr>
        <w:spacing w:after="0"/>
        <w:rPr>
          <w:b/>
          <w:bCs/>
          <w:i/>
          <w:iCs/>
        </w:rPr>
      </w:pPr>
      <w:r w:rsidRPr="00725DE3">
        <w:rPr>
          <w:b/>
          <w:bCs/>
          <w:i/>
          <w:iCs/>
        </w:rPr>
        <w:t>New Interchange Connecting an Existing Roadway with a New Roadway</w:t>
      </w:r>
    </w:p>
    <w:p w14:paraId="482739B9" w14:textId="77777777" w:rsidR="00B23894" w:rsidRPr="00A7505E" w:rsidRDefault="00B23894" w:rsidP="00B23894">
      <w:pPr>
        <w:rPr>
          <w:color w:val="000000" w:themeColor="text1"/>
          <w:szCs w:val="24"/>
        </w:rPr>
      </w:pPr>
      <w:r w:rsidRPr="00A7505E">
        <w:rPr>
          <w:color w:val="000000" w:themeColor="text1"/>
          <w:szCs w:val="24"/>
        </w:rPr>
        <w:t xml:space="preserve">For each alternative, the amount of MSAT emitted would be proportional to the vehicle miles traveled, or VMT, assuming that other variables such as fleet mix are the same for each alternative. Under all Build Alternatives in the design year, it is expected there would be reduced MSAT emissions in the immediate area of the project, relative to the No Build Alternative, due to the reduced VMT associated with more direct routing, and due to EPA’s MSAT </w:t>
      </w:r>
      <w:r w:rsidRPr="00A7505E">
        <w:rPr>
          <w:color w:val="000000" w:themeColor="text1"/>
          <w:szCs w:val="24"/>
        </w:rPr>
        <w:lastRenderedPageBreak/>
        <w:t xml:space="preserve">reduction programs. Under each alternative there may be localized areas where VMT would increase, and other areas where VMT would decrease. Therefore, it is possible that localized increases and decreases in MSAT emissions may occur. The localized increases in MSAT emissions would likely be most pronounced along the new roadway sections that would be built at </w:t>
      </w:r>
      <w:r w:rsidRPr="00A7505E">
        <w:rPr>
          <w:color w:val="000000" w:themeColor="text1"/>
          <w:szCs w:val="24"/>
          <w:highlight w:val="lightGray"/>
        </w:rPr>
        <w:t>[insert locations]</w:t>
      </w:r>
      <w:r w:rsidRPr="00A7505E">
        <w:rPr>
          <w:color w:val="000000" w:themeColor="text1"/>
          <w:szCs w:val="24"/>
        </w:rPr>
        <w:t>. However, the magnitude and the duration of these potential increases compared to the No Build alternative cannot be reliably quantified due to incomplete or unavailable information in forecasting project-specific MSAT health impacts. Also, regardless of the alternative chosen, emissions will likely be lower than present leve</w:t>
      </w:r>
      <w:r>
        <w:rPr>
          <w:color w:val="000000" w:themeColor="text1"/>
          <w:szCs w:val="24"/>
        </w:rPr>
        <w:t>l</w:t>
      </w:r>
      <w:r w:rsidRPr="00A7505E">
        <w:rPr>
          <w:color w:val="000000" w:themeColor="text1"/>
          <w:szCs w:val="24"/>
        </w:rPr>
        <w:tab/>
        <w:t xml:space="preserve">ls in the design year </w:t>
      </w:r>
      <w:proofErr w:type="gramStart"/>
      <w:r w:rsidRPr="00A7505E">
        <w:rPr>
          <w:color w:val="000000" w:themeColor="text1"/>
          <w:szCs w:val="24"/>
        </w:rPr>
        <w:t>as a result of</w:t>
      </w:r>
      <w:proofErr w:type="gramEnd"/>
      <w:r w:rsidRPr="00A7505E">
        <w:rPr>
          <w:color w:val="000000" w:themeColor="text1"/>
          <w:szCs w:val="24"/>
        </w:rPr>
        <w:t xml:space="preserve"> EPA's national control programs that are projected to reduce annual MSAT emissions by over 76 percent from 2020 to 2060</w:t>
      </w:r>
      <w:r w:rsidRPr="00A7505E">
        <w:rPr>
          <w:color w:val="000000" w:themeColor="text1"/>
          <w:szCs w:val="24"/>
          <w:vertAlign w:val="superscript"/>
        </w:rPr>
        <w:footnoteReference w:id="24"/>
      </w:r>
      <w:r w:rsidRPr="00A7505E">
        <w:rPr>
          <w:color w:val="000000" w:themeColor="text1"/>
          <w:szCs w:val="24"/>
        </w:rPr>
        <w:t>. Local conditions may differ from these national projections in terms of fleet mix and turnover, VMT growth rates, and local control measures. However, the magnitude of the EPA-projected reductions is so great (even after accounting for VMT growth) that MSAT emissions in the study area are likely to be lower in the future in virtually all locations.</w:t>
      </w:r>
    </w:p>
    <w:p w14:paraId="23DE4C3E" w14:textId="77777777" w:rsidR="00B23894" w:rsidRPr="00725DE3" w:rsidRDefault="00B23894" w:rsidP="00B23894">
      <w:pPr>
        <w:pStyle w:val="ListParagraph"/>
        <w:numPr>
          <w:ilvl w:val="0"/>
          <w:numId w:val="47"/>
        </w:numPr>
        <w:spacing w:after="0"/>
        <w:rPr>
          <w:b/>
          <w:bCs/>
          <w:i/>
          <w:iCs/>
        </w:rPr>
      </w:pPr>
      <w:r w:rsidRPr="00725DE3">
        <w:rPr>
          <w:b/>
          <w:bCs/>
          <w:i/>
          <w:iCs/>
        </w:rPr>
        <w:t>New Interchange Connecting New Roadways</w:t>
      </w:r>
    </w:p>
    <w:p w14:paraId="221FBECB" w14:textId="77777777" w:rsidR="00B23894" w:rsidRPr="00A7505E" w:rsidRDefault="00B23894" w:rsidP="00B23894">
      <w:pPr>
        <w:spacing w:before="120" w:after="120"/>
        <w:rPr>
          <w:color w:val="000000" w:themeColor="text1"/>
          <w:szCs w:val="24"/>
        </w:rPr>
      </w:pPr>
      <w:r w:rsidRPr="00A7505E">
        <w:rPr>
          <w:color w:val="000000" w:themeColor="text1"/>
          <w:szCs w:val="24"/>
        </w:rPr>
        <w:t xml:space="preserve">For each alternative, the amount of MSAT emitted would be proportional to the vehicle miles traveled, or VMT, assuming that other variables such as fleet mix are the same for each alternative. The VMT estimated for each of the Build Alternatives is slightly higher than that for the No Build Alternative, because the interchange facilitates new development that attracts trips that would not otherwise occur in the area. There could also be localized differences in MSAT from indirect effects of the project such as associated access traffic, emissions of evaporative MSAT (for example, benzene) from parked cars, and emissions of diesel particulate matter from delivery trucks. </w:t>
      </w:r>
      <w:r w:rsidRPr="00A7505E">
        <w:rPr>
          <w:color w:val="000000" w:themeColor="text1"/>
          <w:szCs w:val="24"/>
        </w:rPr>
        <w:lastRenderedPageBreak/>
        <w:t xml:space="preserve">The travel lanes contemplated as part of the project alternatives will have the effect of moving some traffic closer to nearby homes, schools and businesses; therefore, under each alternative there may be localized areas where ambient concentrations of MSAT would be higher under certain Alternatives than others. The localized differences in MSAT concentrations would likely be most pronounced along the new or expanded roadway sections that would be built at </w:t>
      </w:r>
      <w:r w:rsidRPr="00A7505E">
        <w:rPr>
          <w:color w:val="000000" w:themeColor="text1"/>
          <w:szCs w:val="24"/>
          <w:highlight w:val="lightGray"/>
        </w:rPr>
        <w:t>[insert locations]</w:t>
      </w:r>
      <w:r w:rsidRPr="00A7505E">
        <w:rPr>
          <w:color w:val="000000" w:themeColor="text1"/>
          <w:szCs w:val="24"/>
        </w:rPr>
        <w:t xml:space="preserve">. However, the magnitude and the duration of these potential increases cannot be reliably quantified due to incomplete or unavailable information in forecasting project-specific MSAT health impacts. Also, travel to other destinations would be reduced with subsequent decreases in emissions at those locations. For all Alternatives, emissions are virtually certain to be lower than present levels in the design year </w:t>
      </w:r>
      <w:proofErr w:type="gramStart"/>
      <w:r w:rsidRPr="00A7505E">
        <w:rPr>
          <w:color w:val="000000" w:themeColor="text1"/>
          <w:szCs w:val="24"/>
        </w:rPr>
        <w:t>as a result of</w:t>
      </w:r>
      <w:proofErr w:type="gramEnd"/>
      <w:r w:rsidRPr="00A7505E">
        <w:rPr>
          <w:color w:val="000000" w:themeColor="text1"/>
          <w:szCs w:val="24"/>
        </w:rPr>
        <w:t xml:space="preserve"> EPA's national control programs that are projected to reduce annual MSAT emissions by over 76 percent from 2020 to 2060</w:t>
      </w:r>
      <w:r w:rsidRPr="00A7505E">
        <w:rPr>
          <w:color w:val="000000" w:themeColor="text1"/>
          <w:szCs w:val="24"/>
          <w:vertAlign w:val="superscript"/>
        </w:rPr>
        <w:footnoteReference w:id="25"/>
      </w:r>
      <w:r w:rsidRPr="00A7505E">
        <w:rPr>
          <w:color w:val="000000" w:themeColor="text1"/>
          <w:szCs w:val="24"/>
        </w:rPr>
        <w:t>. Local conditions may differ from these national projections in terms of fleet mix and turnover, VMT growth rates, and local control measures. However, the magnitude of the EPA-projected reductions is so great (even after accounting for VMT growth) that MSAT emissions in the study area are likely to be lower in the future in virtually all locations.</w:t>
      </w:r>
    </w:p>
    <w:p w14:paraId="36E7242C" w14:textId="77777777" w:rsidR="00B23894" w:rsidRPr="00725DE3" w:rsidRDefault="00B23894" w:rsidP="00B23894">
      <w:pPr>
        <w:pStyle w:val="ListParagraph"/>
        <w:numPr>
          <w:ilvl w:val="0"/>
          <w:numId w:val="47"/>
        </w:numPr>
        <w:spacing w:after="120"/>
        <w:rPr>
          <w:b/>
          <w:bCs/>
          <w:i/>
          <w:iCs/>
        </w:rPr>
      </w:pPr>
      <w:r w:rsidRPr="00725DE3">
        <w:rPr>
          <w:b/>
          <w:bCs/>
          <w:i/>
          <w:iCs/>
        </w:rPr>
        <w:t>Minor Improvement or Expansions to Intermodal Centers or Other Projects that Affect Truck Traffic</w:t>
      </w:r>
    </w:p>
    <w:p w14:paraId="5C638F30" w14:textId="77777777" w:rsidR="00B23894" w:rsidRPr="00A7505E" w:rsidRDefault="00B23894" w:rsidP="00B23894">
      <w:pPr>
        <w:spacing w:after="120"/>
        <w:rPr>
          <w:color w:val="000000" w:themeColor="text1"/>
          <w:szCs w:val="24"/>
        </w:rPr>
      </w:pPr>
      <w:r w:rsidRPr="00A7505E">
        <w:rPr>
          <w:color w:val="000000" w:themeColor="text1"/>
          <w:szCs w:val="24"/>
        </w:rPr>
        <w:t xml:space="preserve">For each alternative, the amount of MSAT emitted would be proportional to the vehicle miles traveled, or VMT, assuming that other variables such as fleet mix are the same for each alternative. The truck VMT and rail activity estimated for each of the Build Alternatives are higher than that for the No Build Alternative because of the additional activity associated with the expanded intermodal center. The additional freight activity contemplated as </w:t>
      </w:r>
      <w:r w:rsidRPr="00A7505E">
        <w:rPr>
          <w:color w:val="000000" w:themeColor="text1"/>
          <w:szCs w:val="24"/>
        </w:rPr>
        <w:lastRenderedPageBreak/>
        <w:t xml:space="preserve">part of the </w:t>
      </w:r>
      <w:proofErr w:type="gramStart"/>
      <w:r w:rsidRPr="00A7505E">
        <w:rPr>
          <w:color w:val="000000" w:themeColor="text1"/>
          <w:szCs w:val="24"/>
        </w:rPr>
        <w:t>project alternatives</w:t>
      </w:r>
      <w:proofErr w:type="gramEnd"/>
      <w:r w:rsidRPr="00A7505E">
        <w:rPr>
          <w:color w:val="000000" w:themeColor="text1"/>
          <w:szCs w:val="24"/>
        </w:rPr>
        <w:t xml:space="preserve"> will have the effect of increasing diesel emissions in the vicinity of nearby homes, schools, and businesses; therefore, under each alternative there may be localized areas where ambient concentrations of MSAT would be higher than under the No Build Alternative. This increase in truck VMT and rail activity associated with the Build Alternatives would lead to higher MSAT emissions (particularly diesel particulate matter) in the vicinity of the intermodal center. However, as discussed above, the magnitude and the duration of these potential differences cannot be reliably quantified due to incomplete or unavailable information in forecasting project-specific health impacts. Also, the higher emissions could be offset somewhat by two factors: 1) the decrease in regional truck traffic due to increased use of rail for inbound and outbound freight and 2) increased speeds on area highways due to the decrease in truck traffic. The extent to which these emissions decreases will offset intermodal center-related emissions increases is not known. </w:t>
      </w:r>
      <w:r w:rsidRPr="00A7505E">
        <w:rPr>
          <w:color w:val="000000" w:themeColor="text1"/>
          <w:szCs w:val="24"/>
          <w:highlight w:val="lightGray"/>
        </w:rPr>
        <w:t>[</w:t>
      </w:r>
      <w:r>
        <w:rPr>
          <w:color w:val="000000" w:themeColor="text1"/>
          <w:szCs w:val="24"/>
          <w:highlight w:val="lightGray"/>
        </w:rPr>
        <w:t>i</w:t>
      </w:r>
      <w:r w:rsidRPr="00A7505E">
        <w:rPr>
          <w:color w:val="000000" w:themeColor="text1"/>
          <w:szCs w:val="24"/>
          <w:highlight w:val="lightGray"/>
        </w:rPr>
        <w:t>nsert description of emissions-reduction activities associated with the project, such as truck or idling limitations or technologies, such as auxiliary power units; alternative fuels or engine retrofits for container-handling equipment, etcetera.]</w:t>
      </w:r>
      <w:r w:rsidRPr="00A7505E">
        <w:rPr>
          <w:color w:val="000000" w:themeColor="text1"/>
          <w:szCs w:val="24"/>
        </w:rPr>
        <w:t xml:space="preserve"> Regardless of the alternative chosen, emissions will likely be lower than present levels in the design year </w:t>
      </w:r>
      <w:proofErr w:type="gramStart"/>
      <w:r w:rsidRPr="00A7505E">
        <w:rPr>
          <w:color w:val="000000" w:themeColor="text1"/>
          <w:szCs w:val="24"/>
        </w:rPr>
        <w:t>as a result of</w:t>
      </w:r>
      <w:proofErr w:type="gramEnd"/>
      <w:r w:rsidRPr="00A7505E">
        <w:rPr>
          <w:color w:val="000000" w:themeColor="text1"/>
          <w:szCs w:val="24"/>
        </w:rPr>
        <w:t xml:space="preserve"> EPA's national control programs that are projected to reduce annual MSAT emissions by over 76 percent from 2020 to 2060</w:t>
      </w:r>
      <w:r w:rsidRPr="00A7505E">
        <w:rPr>
          <w:color w:val="000000" w:themeColor="text1"/>
          <w:szCs w:val="24"/>
          <w:vertAlign w:val="superscript"/>
        </w:rPr>
        <w:footnoteReference w:id="26"/>
      </w:r>
      <w:r w:rsidRPr="00A7505E">
        <w:rPr>
          <w:color w:val="000000" w:themeColor="text1"/>
          <w:szCs w:val="24"/>
        </w:rPr>
        <w:t>. Local conditions may differ from these national projections in terms of fleet mix and turnover, VMT growth rates, and local control measures. However, the EPA-projected reductions are so significant (even after accounting for VMT growth) that MSAT emissions in the study area are likely to be lower in the future as well.</w:t>
      </w:r>
    </w:p>
    <w:p w14:paraId="72791128" w14:textId="77777777" w:rsidR="00B23894" w:rsidRPr="00E70B71" w:rsidRDefault="00B23894" w:rsidP="00B23894">
      <w:pPr>
        <w:spacing w:after="120"/>
        <w:rPr>
          <w:b/>
          <w:bCs/>
        </w:rPr>
      </w:pPr>
      <w:r w:rsidRPr="00E70B71">
        <w:rPr>
          <w:b/>
          <w:bCs/>
        </w:rPr>
        <w:lastRenderedPageBreak/>
        <w:t>Incomplete or Unavailable Information for Project-Specific Mobile Source Air Toxic Health Impacts Analysis</w:t>
      </w:r>
    </w:p>
    <w:p w14:paraId="29941AE0" w14:textId="77777777" w:rsidR="00B23894" w:rsidRPr="00A7505E" w:rsidRDefault="00B23894" w:rsidP="00B23894">
      <w:pPr>
        <w:rPr>
          <w:color w:val="000000" w:themeColor="text1"/>
          <w:szCs w:val="24"/>
        </w:rPr>
      </w:pPr>
      <w:r w:rsidRPr="00A7505E">
        <w:rPr>
          <w:color w:val="000000" w:themeColor="text1"/>
          <w:szCs w:val="24"/>
        </w:rPr>
        <w:t>In FHWA’s view, information is incomplete or unavailable to credibly predict the project-specific health impacts due to changes in MSAT emissions associated with a proposed set of highway alternatives. The outcome of such an assessment, adverse or not, would be influenced more by the uncertainty introduced into the process through assumption and speculation rather than any genuine insight into the actual health impacts directly attributable to MSAT exposure associated with a proposed action.</w:t>
      </w:r>
    </w:p>
    <w:p w14:paraId="31D7DA38" w14:textId="77777777" w:rsidR="00B23894" w:rsidRPr="00A7505E" w:rsidRDefault="00B23894" w:rsidP="00B23894">
      <w:pPr>
        <w:rPr>
          <w:color w:val="000000" w:themeColor="text1"/>
          <w:szCs w:val="24"/>
        </w:rPr>
      </w:pPr>
      <w:r w:rsidRPr="00A7505E">
        <w:rPr>
          <w:color w:val="000000" w:themeColor="text1"/>
          <w:szCs w:val="24"/>
        </w:rPr>
        <w:t xml:space="preserve">The United States EPA is responsible for protecting the public health and welfare from any known or anticipated effect of an air pollutant. They are the lead authority for administering the Clean Air Act and its amendments and have specific statutory obligations with respect to hazardous air pollutants and MSAT. The EPA is in the continual process of assessing human health effects, exposures, and risks posed by air pollutants. They maintain the </w:t>
      </w:r>
      <w:hyperlink r:id="rId19" w:history="1">
        <w:r w:rsidRPr="00A7505E">
          <w:rPr>
            <w:color w:val="0000FF"/>
            <w:szCs w:val="24"/>
            <w:u w:val="single"/>
          </w:rPr>
          <w:t>Integrated Risk Information System</w:t>
        </w:r>
      </w:hyperlink>
      <w:r w:rsidRPr="00A7505E">
        <w:rPr>
          <w:color w:val="000000" w:themeColor="text1"/>
          <w:szCs w:val="24"/>
        </w:rPr>
        <w:t xml:space="preserve"> (IRIS), which is “a compilation of electronic reports on specific substances found in the environment and their potential to cause human health effects.” Each report contains assessments of non-cancerous and cancerous effects for individual compounds and quantitative estimates of risk levels from lifetime oral and inhalation exposures with uncertainty spanning perhaps an order of magnitude.</w:t>
      </w:r>
    </w:p>
    <w:p w14:paraId="40DB5DD3" w14:textId="77777777" w:rsidR="00B23894" w:rsidRPr="00A7505E" w:rsidRDefault="00B23894" w:rsidP="00B23894">
      <w:pPr>
        <w:rPr>
          <w:color w:val="000000" w:themeColor="text1"/>
          <w:szCs w:val="24"/>
        </w:rPr>
      </w:pPr>
      <w:r w:rsidRPr="00A7505E">
        <w:rPr>
          <w:color w:val="000000" w:themeColor="text1"/>
          <w:szCs w:val="24"/>
        </w:rPr>
        <w:t xml:space="preserve">Other organizations are also active in the research and analyses of the human health effects of MSAT, including the Health Effects Institute (HEI). </w:t>
      </w:r>
      <w:proofErr w:type="gramStart"/>
      <w:r w:rsidRPr="00A7505E">
        <w:rPr>
          <w:color w:val="000000" w:themeColor="text1"/>
          <w:szCs w:val="24"/>
        </w:rPr>
        <w:t>A number of</w:t>
      </w:r>
      <w:proofErr w:type="gramEnd"/>
      <w:r w:rsidRPr="00A7505E">
        <w:rPr>
          <w:color w:val="000000" w:themeColor="text1"/>
          <w:szCs w:val="24"/>
        </w:rPr>
        <w:t xml:space="preserve"> HEI studies are summarized in Appendix D of FHWA’s Updated Interim Guidance on Mobile Source Air Toxic Analysis in NEPA Documents</w:t>
      </w:r>
      <w:r w:rsidRPr="00A7505E">
        <w:rPr>
          <w:color w:val="000000" w:themeColor="text1"/>
          <w:szCs w:val="24"/>
          <w:vertAlign w:val="superscript"/>
        </w:rPr>
        <w:footnoteReference w:id="27"/>
      </w:r>
      <w:r w:rsidRPr="00A7505E">
        <w:rPr>
          <w:color w:val="000000" w:themeColor="text1"/>
          <w:szCs w:val="24"/>
        </w:rPr>
        <w:t xml:space="preserve">. Among the adverse health effects linked to MSAT compounds at high exposures are; cancer in humans in occupational settings; cancer in </w:t>
      </w:r>
      <w:r w:rsidRPr="00A7505E">
        <w:rPr>
          <w:color w:val="000000" w:themeColor="text1"/>
          <w:szCs w:val="24"/>
        </w:rPr>
        <w:lastRenderedPageBreak/>
        <w:t>animals; and irritation to the respiratory tract, including the exacerbation of asthma. Less obvious is the adverse human health effects of MSAT compounds at current environmental concentrations</w:t>
      </w:r>
      <w:r w:rsidRPr="00A7505E">
        <w:rPr>
          <w:color w:val="000000" w:themeColor="text1"/>
          <w:szCs w:val="24"/>
          <w:vertAlign w:val="superscript"/>
        </w:rPr>
        <w:footnoteReference w:id="28"/>
      </w:r>
      <w:r w:rsidRPr="00A7505E">
        <w:rPr>
          <w:color w:val="000000" w:themeColor="text1"/>
          <w:szCs w:val="24"/>
        </w:rPr>
        <w:t xml:space="preserve"> or in the future as vehicle emissions substantially decrease.</w:t>
      </w:r>
    </w:p>
    <w:p w14:paraId="3AAB4C6E" w14:textId="77777777" w:rsidR="00B23894" w:rsidRPr="00A7505E" w:rsidRDefault="00B23894" w:rsidP="00B23894">
      <w:pPr>
        <w:rPr>
          <w:color w:val="000000" w:themeColor="text1"/>
          <w:szCs w:val="24"/>
        </w:rPr>
      </w:pPr>
      <w:r w:rsidRPr="00A7505E">
        <w:rPr>
          <w:color w:val="000000" w:themeColor="text1"/>
          <w:szCs w:val="24"/>
        </w:rPr>
        <w:t>The methodologies for forecasting health impacts include emissions modeling; dispersion modeling; exposure modeling; and then final determination of health impacts – each step in the process building on the model predictions obtained in the previous step. All are encumbered by technical shortcomings or uncertain science that prevents a complete differentiation of the MSAT health impacts among a set of project alternatives. These difficulties are magnified for lifetime (</w:t>
      </w:r>
      <w:r>
        <w:rPr>
          <w:color w:val="000000" w:themeColor="text1"/>
          <w:szCs w:val="24"/>
        </w:rPr>
        <w:t>such as</w:t>
      </w:r>
      <w:r w:rsidRPr="00A7505E">
        <w:rPr>
          <w:color w:val="000000" w:themeColor="text1"/>
          <w:szCs w:val="24"/>
        </w:rPr>
        <w:t xml:space="preserve">, 70 year) assessments, particularly because unsupportable assumptions </w:t>
      </w:r>
      <w:proofErr w:type="gramStart"/>
      <w:r w:rsidRPr="00A7505E">
        <w:rPr>
          <w:color w:val="000000" w:themeColor="text1"/>
          <w:szCs w:val="24"/>
        </w:rPr>
        <w:t>have to</w:t>
      </w:r>
      <w:proofErr w:type="gramEnd"/>
      <w:r w:rsidRPr="00A7505E">
        <w:rPr>
          <w:color w:val="000000" w:themeColor="text1"/>
          <w:szCs w:val="24"/>
        </w:rPr>
        <w:t xml:space="preserve"> be made regarding changes in travel patterns and vehicle technology (which affects emissions rates) over that time frame, since such information is unavailable.</w:t>
      </w:r>
    </w:p>
    <w:p w14:paraId="589FFD90" w14:textId="77777777" w:rsidR="00B23894" w:rsidRPr="00A7505E" w:rsidRDefault="00B23894" w:rsidP="00B23894">
      <w:pPr>
        <w:rPr>
          <w:color w:val="000000" w:themeColor="text1"/>
          <w:szCs w:val="24"/>
        </w:rPr>
      </w:pPr>
      <w:r w:rsidRPr="00A7505E">
        <w:rPr>
          <w:color w:val="000000" w:themeColor="text1"/>
          <w:szCs w:val="24"/>
        </w:rPr>
        <w:t xml:space="preserve">It is particularly difficult to reliably forecast 70-year lifetime MSAT concentrations and exposure near roadways; to determine the portion of time that people are </w:t>
      </w:r>
      <w:proofErr w:type="gramStart"/>
      <w:r w:rsidRPr="00A7505E">
        <w:rPr>
          <w:color w:val="000000" w:themeColor="text1"/>
          <w:szCs w:val="24"/>
        </w:rPr>
        <w:t>actually exposed</w:t>
      </w:r>
      <w:proofErr w:type="gramEnd"/>
      <w:r w:rsidRPr="00A7505E">
        <w:rPr>
          <w:color w:val="000000" w:themeColor="text1"/>
          <w:szCs w:val="24"/>
        </w:rPr>
        <w:t xml:space="preserve"> </w:t>
      </w:r>
      <w:proofErr w:type="gramStart"/>
      <w:r w:rsidRPr="00A7505E">
        <w:rPr>
          <w:color w:val="000000" w:themeColor="text1"/>
          <w:szCs w:val="24"/>
        </w:rPr>
        <w:t>at</w:t>
      </w:r>
      <w:proofErr w:type="gramEnd"/>
      <w:r w:rsidRPr="00A7505E">
        <w:rPr>
          <w:color w:val="000000" w:themeColor="text1"/>
          <w:szCs w:val="24"/>
        </w:rPr>
        <w:t xml:space="preserve"> a specific location; and to establish the extent attributable to a proposed action, especially given that some of the information needed is unavailable.</w:t>
      </w:r>
    </w:p>
    <w:p w14:paraId="0CCF62D8" w14:textId="77777777" w:rsidR="00B23894" w:rsidRPr="00A7505E" w:rsidRDefault="00B23894" w:rsidP="00B23894">
      <w:pPr>
        <w:rPr>
          <w:color w:val="000000" w:themeColor="text1"/>
          <w:szCs w:val="24"/>
        </w:rPr>
      </w:pPr>
      <w:r w:rsidRPr="00A7505E">
        <w:rPr>
          <w:color w:val="000000" w:themeColor="text1"/>
          <w:szCs w:val="24"/>
        </w:rPr>
        <w:t>There are considerable uncertainties associated with the existing estimates of toxicity of the various MSAT, because of factors such as low-dose extrapolation and translation of occupational exposure data to the general population, a concern expressed by HEI</w:t>
      </w:r>
      <w:r w:rsidRPr="00A7505E">
        <w:rPr>
          <w:color w:val="000000" w:themeColor="text1"/>
          <w:szCs w:val="24"/>
          <w:vertAlign w:val="superscript"/>
        </w:rPr>
        <w:footnoteReference w:id="29"/>
      </w:r>
      <w:r w:rsidRPr="00A7505E">
        <w:rPr>
          <w:color w:val="000000" w:themeColor="text1"/>
          <w:szCs w:val="24"/>
        </w:rPr>
        <w:t xml:space="preserve">.  As a result, there is no national </w:t>
      </w:r>
      <w:r w:rsidRPr="00A7505E">
        <w:rPr>
          <w:color w:val="000000" w:themeColor="text1"/>
          <w:szCs w:val="24"/>
        </w:rPr>
        <w:lastRenderedPageBreak/>
        <w:t xml:space="preserve">consensus on air dose-response values assumed to protect the public health and welfare for MSAT compounds, and </w:t>
      </w:r>
      <w:proofErr w:type="gramStart"/>
      <w:r w:rsidRPr="00A7505E">
        <w:rPr>
          <w:color w:val="000000" w:themeColor="text1"/>
          <w:szCs w:val="24"/>
        </w:rPr>
        <w:t>in particular for</w:t>
      </w:r>
      <w:proofErr w:type="gramEnd"/>
      <w:r w:rsidRPr="00A7505E">
        <w:rPr>
          <w:color w:val="000000" w:themeColor="text1"/>
          <w:szCs w:val="24"/>
        </w:rPr>
        <w:t xml:space="preserve"> diesel </w:t>
      </w:r>
      <w:r>
        <w:rPr>
          <w:color w:val="000000" w:themeColor="text1"/>
          <w:szCs w:val="24"/>
        </w:rPr>
        <w:t>particulate matter (</w:t>
      </w:r>
      <w:r w:rsidRPr="00A7505E">
        <w:rPr>
          <w:color w:val="000000" w:themeColor="text1"/>
          <w:szCs w:val="24"/>
        </w:rPr>
        <w:t>PM</w:t>
      </w:r>
      <w:r>
        <w:rPr>
          <w:color w:val="000000" w:themeColor="text1"/>
          <w:szCs w:val="24"/>
        </w:rPr>
        <w:t>)</w:t>
      </w:r>
      <w:r w:rsidRPr="00A7505E">
        <w:rPr>
          <w:color w:val="000000" w:themeColor="text1"/>
          <w:szCs w:val="24"/>
        </w:rPr>
        <w:t>. The EPA states that with respect to diesel engine exhaust, “[t]he absence of adequate data to develop a sufficiently confident dose-response relationship from the epidemiologic studies has prevented the estimation of inhalation carcinogenic risk.</w:t>
      </w:r>
      <w:r w:rsidRPr="00A7505E">
        <w:rPr>
          <w:color w:val="000000" w:themeColor="text1"/>
          <w:szCs w:val="24"/>
          <w:vertAlign w:val="superscript"/>
        </w:rPr>
        <w:footnoteReference w:id="30"/>
      </w:r>
      <w:r w:rsidRPr="00A7505E">
        <w:rPr>
          <w:color w:val="000000" w:themeColor="text1"/>
          <w:szCs w:val="24"/>
        </w:rPr>
        <w:t>”</w:t>
      </w:r>
    </w:p>
    <w:p w14:paraId="0B0FB0AB" w14:textId="77777777" w:rsidR="00B23894" w:rsidRPr="00A7505E" w:rsidRDefault="00B23894" w:rsidP="00B23894">
      <w:pPr>
        <w:rPr>
          <w:color w:val="000000" w:themeColor="text1"/>
          <w:szCs w:val="24"/>
        </w:rPr>
      </w:pPr>
      <w:r w:rsidRPr="00A7505E">
        <w:rPr>
          <w:color w:val="000000" w:themeColor="text1"/>
          <w:szCs w:val="24"/>
        </w:rPr>
        <w:t xml:space="preserve">There is also the lack of a national consensus on an acceptable level of risk. The current context is the process used by the EPA as provided by the Clean Air Act to determine whether more stringent controls are required in order to provide an ample margin of safety to protect public health or to prevent an adverse environmental effect for industrial sources subject to the maximum achievable control technology standards, such as benzene emissions from refineries. The decision framework is a two-step process. The first step requires EPA to determine an “acceptable” level of risk due to emissions from a source, which is generally no greater than approximately 100 in a million. Additional factors are considered in the second step, the goal of which is to maximize the number of people with risks less than 1 in a million due to emissions from a source. The results of this statutory two-step process do not guarantee that cancer risks from exposure to air toxics are less than 1 in a million; in some cases, the residual risk determination could result in maximum individual cancer risks that are as high as approximately 100 in a million. In a June 2008 decision, the </w:t>
      </w:r>
      <w:r w:rsidRPr="009671B0">
        <w:rPr>
          <w:szCs w:val="24"/>
        </w:rPr>
        <w:t>U.S. Court of Appeals for the District of Columbia Circuit upheld</w:t>
      </w:r>
      <w:r w:rsidRPr="00A7505E">
        <w:rPr>
          <w:color w:val="000000" w:themeColor="text1"/>
          <w:szCs w:val="24"/>
        </w:rPr>
        <w:t xml:space="preserve"> EPA’s approach to addressing risk in its </w:t>
      </w:r>
      <w:proofErr w:type="gramStart"/>
      <w:r w:rsidRPr="00A7505E">
        <w:rPr>
          <w:color w:val="000000" w:themeColor="text1"/>
          <w:szCs w:val="24"/>
        </w:rPr>
        <w:t>two step</w:t>
      </w:r>
      <w:proofErr w:type="gramEnd"/>
      <w:r w:rsidRPr="00A7505E">
        <w:rPr>
          <w:color w:val="000000" w:themeColor="text1"/>
          <w:szCs w:val="24"/>
        </w:rPr>
        <w:t xml:space="preserve"> decision framework. Information is incomplete or unavailable to establish that even the largest of highway projects would result in levels of risk greater than deemed acceptable.</w:t>
      </w:r>
    </w:p>
    <w:p w14:paraId="73F94C6F" w14:textId="77777777" w:rsidR="00B23894" w:rsidRDefault="00B23894" w:rsidP="00B23894">
      <w:pPr>
        <w:rPr>
          <w:color w:val="000000" w:themeColor="text1"/>
          <w:szCs w:val="24"/>
        </w:rPr>
      </w:pPr>
      <w:r w:rsidRPr="00A7505E">
        <w:rPr>
          <w:color w:val="000000" w:themeColor="text1"/>
          <w:szCs w:val="24"/>
        </w:rPr>
        <w:t xml:space="preserve">Because of the limitations in the methodologies for forecasting health impacts described, any predicted difference in health impacts between </w:t>
      </w:r>
      <w:r w:rsidRPr="00A7505E">
        <w:rPr>
          <w:color w:val="000000" w:themeColor="text1"/>
          <w:szCs w:val="24"/>
        </w:rPr>
        <w:lastRenderedPageBreak/>
        <w:t>alternatives is likely to be much smaller than the uncertainties associated with predicting the impacts. Consequently, the results of such assessments would not be useful to decision makers, who would need to weigh this information against project benefits, such as reducing traffic congestion, accident rates, and fatalities plus improved access for emergency response that are better suited for quantitative analysis.</w:t>
      </w:r>
    </w:p>
    <w:p w14:paraId="3DF646FE" w14:textId="77777777" w:rsidR="00B23894" w:rsidRPr="00A7505E" w:rsidRDefault="00B23894" w:rsidP="00B23894">
      <w:pPr>
        <w:pStyle w:val="Heading3"/>
        <w:rPr>
          <w:rFonts w:hint="eastAsia"/>
          <w:color w:val="000000" w:themeColor="text1"/>
          <w:szCs w:val="24"/>
        </w:rPr>
      </w:pPr>
      <w:bookmarkStart w:id="75" w:name="_Toc237000225"/>
      <w:r>
        <w:t>Statement 20</w:t>
      </w:r>
      <w:bookmarkEnd w:id="75"/>
    </w:p>
    <w:p w14:paraId="2C0E641A" w14:textId="77777777" w:rsidR="00B23894" w:rsidRPr="00A7505E" w:rsidRDefault="00B23894" w:rsidP="00B23894">
      <w:pPr>
        <w:pStyle w:val="ListNumber"/>
      </w:pPr>
      <w:r w:rsidRPr="007E51BB">
        <w:rPr>
          <w:highlight w:val="lightGray"/>
        </w:rPr>
        <w:t>[Intentionally left blank.]</w:t>
      </w:r>
    </w:p>
    <w:p w14:paraId="3F230D84" w14:textId="77777777" w:rsidR="00B23894" w:rsidRPr="00A7505E" w:rsidRDefault="00B23894" w:rsidP="00B23894">
      <w:pPr>
        <w:pStyle w:val="Heading3"/>
        <w:rPr>
          <w:rFonts w:hint="eastAsia"/>
        </w:rPr>
      </w:pPr>
      <w:bookmarkStart w:id="76" w:name="_Ref236137204"/>
      <w:bookmarkStart w:id="77" w:name="_Ref227317925"/>
      <w:bookmarkStart w:id="78" w:name="_Toc237000226"/>
      <w:r>
        <w:t>Statement 21</w:t>
      </w:r>
      <w:bookmarkEnd w:id="76"/>
      <w:bookmarkEnd w:id="78"/>
    </w:p>
    <w:p w14:paraId="3ECA5326" w14:textId="77777777" w:rsidR="00B23894" w:rsidRPr="00A7505E" w:rsidRDefault="00B23894" w:rsidP="00B23894">
      <w:pPr>
        <w:pStyle w:val="ListNumber"/>
        <w:spacing w:after="120"/>
        <w:contextualSpacing w:val="0"/>
      </w:pPr>
      <w:r w:rsidRPr="00A7505E">
        <w:t xml:space="preserve">The congestion management process is a systematic process for managing congestion that provides information on transportation system performance and on alternative strategies for alleviating congestion and enhancing the mobility of persons and goods to levels that meet state and local needs. The project was developed from the </w:t>
      </w:r>
      <w:r w:rsidRPr="00A7505E">
        <w:rPr>
          <w:highlight w:val="lightGray"/>
        </w:rPr>
        <w:t>[insert MPO’s name]</w:t>
      </w:r>
      <w:r w:rsidRPr="00A7505E">
        <w:t xml:space="preserve">’s Congestion Management Process (CMP), which meets all requirements of 23 CFR 450.320 and 500.109, as applicable. The CMP was adopted by </w:t>
      </w:r>
      <w:r w:rsidRPr="00A7505E">
        <w:rPr>
          <w:highlight w:val="lightGray"/>
        </w:rPr>
        <w:t>[</w:t>
      </w:r>
      <w:proofErr w:type="gramStart"/>
      <w:r w:rsidRPr="00A7505E">
        <w:rPr>
          <w:highlight w:val="lightGray"/>
        </w:rPr>
        <w:t>insert</w:t>
      </w:r>
      <w:proofErr w:type="gramEnd"/>
      <w:r w:rsidRPr="00A7505E">
        <w:rPr>
          <w:highlight w:val="lightGray"/>
        </w:rPr>
        <w:t xml:space="preserve"> MPO’s name]</w:t>
      </w:r>
      <w:r w:rsidRPr="00A7505E">
        <w:t xml:space="preserve"> on </w:t>
      </w:r>
      <w:r w:rsidRPr="00A7505E">
        <w:rPr>
          <w:highlight w:val="lightGray"/>
        </w:rPr>
        <w:t>[insert date of adoption and latest amendment date]</w:t>
      </w:r>
      <w:r w:rsidRPr="00A7505E">
        <w:t>.</w:t>
      </w:r>
      <w:bookmarkEnd w:id="77"/>
    </w:p>
    <w:p w14:paraId="72E4BC9B" w14:textId="77777777" w:rsidR="00B23894" w:rsidRPr="00A7505E" w:rsidRDefault="00B23894" w:rsidP="00B23894">
      <w:pPr>
        <w:pStyle w:val="ListNumber"/>
        <w:spacing w:after="120"/>
        <w:contextualSpacing w:val="0"/>
      </w:pPr>
      <w:r w:rsidRPr="00A7505E">
        <w:t xml:space="preserve">The region commits to operational improvements and travel demand reduction strategies at two levels of implementation: program level and project level. Program level commitments are inventoried in the regional CMP, which was adopted by </w:t>
      </w:r>
      <w:r w:rsidRPr="00A7505E">
        <w:rPr>
          <w:highlight w:val="lightGray"/>
        </w:rPr>
        <w:t>[insert MPO’s name]</w:t>
      </w:r>
      <w:r w:rsidRPr="00A7505E">
        <w:t>; they are included in the financially constrained MTP, and future resources are reserved for their implementation.</w:t>
      </w:r>
    </w:p>
    <w:p w14:paraId="4C24846A" w14:textId="77777777" w:rsidR="00B23894" w:rsidRPr="00A7505E" w:rsidRDefault="00B23894" w:rsidP="00B23894">
      <w:pPr>
        <w:pStyle w:val="ListNumber"/>
        <w:spacing w:after="120"/>
        <w:contextualSpacing w:val="0"/>
      </w:pPr>
      <w:r w:rsidRPr="00A7505E">
        <w:t xml:space="preserve">The CMP element of the plan carries an inventory of all project commitments (including those resulting from major investment studies) that details type of strategy, implementing responsibilities, schedules, and expected costs. At the project’s programming stage, travel demand reduction strategies and commitments will be added to the regional TIP or included in the construction plans. The regional TIP provides for programming of these </w:t>
      </w:r>
      <w:r w:rsidRPr="00A7505E">
        <w:lastRenderedPageBreak/>
        <w:t>projects at the appropriate time with respect to the single occupancy vehicle (SOV) facility implementation and project-specific elements.</w:t>
      </w:r>
    </w:p>
    <w:p w14:paraId="2FF8A4F6" w14:textId="77777777" w:rsidR="00B23894" w:rsidRPr="00A7505E" w:rsidRDefault="00B23894" w:rsidP="00B23894">
      <w:pPr>
        <w:pStyle w:val="ListNumber"/>
        <w:spacing w:before="240" w:after="120"/>
        <w:contextualSpacing w:val="0"/>
      </w:pPr>
      <w:r w:rsidRPr="00A7505E">
        <w:t xml:space="preserve">Committed congestion reduction strategies and operational improvements within the study boundary will consist of </w:t>
      </w:r>
      <w:r w:rsidRPr="00A7505E">
        <w:rPr>
          <w:highlight w:val="lightGray"/>
        </w:rPr>
        <w:t>[insert committed congestion reduction strategies for this project (for example, signal timing, intersection improvements, pedestrian facilities, etcetera)]</w:t>
      </w:r>
      <w:r w:rsidRPr="00A7505E">
        <w:t xml:space="preserve">. Individual projects are listed in Table </w:t>
      </w:r>
      <w:r w:rsidRPr="00A7505E">
        <w:rPr>
          <w:highlight w:val="lightGray"/>
        </w:rPr>
        <w:t>[Insert Table Identification (ID)]</w:t>
      </w:r>
      <w:r w:rsidRPr="00A7505E">
        <w:t>.</w:t>
      </w:r>
    </w:p>
    <w:p w14:paraId="70DD2BA9" w14:textId="5C1B26A4" w:rsidR="00B23894" w:rsidRDefault="00B23894" w:rsidP="00B23894">
      <w:pPr>
        <w:keepNext/>
        <w:spacing w:before="240" w:after="120"/>
        <w:rPr>
          <w:b/>
          <w:bCs/>
          <w:iCs/>
          <w:color w:val="000000" w:themeColor="text2"/>
          <w:szCs w:val="18"/>
        </w:rPr>
      </w:pPr>
      <w:bookmarkStart w:id="79" w:name="_Toc237000236"/>
      <w:r w:rsidRPr="00A7505E">
        <w:rPr>
          <w:b/>
          <w:bCs/>
          <w:iCs/>
          <w:color w:val="000000" w:themeColor="text2"/>
          <w:szCs w:val="18"/>
        </w:rPr>
        <w:t xml:space="preserve">Table </w:t>
      </w:r>
      <w:r w:rsidR="00152945">
        <w:rPr>
          <w:b/>
          <w:bCs/>
          <w:iCs/>
          <w:color w:val="000000" w:themeColor="text2"/>
          <w:szCs w:val="18"/>
        </w:rPr>
        <w:fldChar w:fldCharType="begin"/>
      </w:r>
      <w:r w:rsidR="00152945">
        <w:rPr>
          <w:b/>
          <w:bCs/>
          <w:iCs/>
          <w:color w:val="000000" w:themeColor="text2"/>
          <w:szCs w:val="18"/>
        </w:rPr>
        <w:instrText xml:space="preserve"> SEQ Table \* ARABIC </w:instrText>
      </w:r>
      <w:r w:rsidR="00152945">
        <w:rPr>
          <w:b/>
          <w:bCs/>
          <w:iCs/>
          <w:color w:val="000000" w:themeColor="text2"/>
          <w:szCs w:val="18"/>
        </w:rPr>
        <w:fldChar w:fldCharType="separate"/>
      </w:r>
      <w:r w:rsidR="00F6336C">
        <w:rPr>
          <w:b/>
          <w:bCs/>
          <w:iCs/>
          <w:noProof/>
          <w:color w:val="000000" w:themeColor="text2"/>
          <w:szCs w:val="18"/>
        </w:rPr>
        <w:t>4</w:t>
      </w:r>
      <w:r w:rsidR="00152945">
        <w:rPr>
          <w:b/>
          <w:bCs/>
          <w:iCs/>
          <w:color w:val="000000" w:themeColor="text2"/>
          <w:szCs w:val="18"/>
        </w:rPr>
        <w:fldChar w:fldCharType="end"/>
      </w:r>
      <w:r w:rsidRPr="00A7505E">
        <w:rPr>
          <w:b/>
          <w:bCs/>
          <w:iCs/>
          <w:color w:val="000000" w:themeColor="text2"/>
          <w:szCs w:val="18"/>
        </w:rPr>
        <w:t>. Operational Improvements in Travel Corridor</w:t>
      </w:r>
      <w:bookmarkEnd w:id="79"/>
    </w:p>
    <w:p w14:paraId="6FE0D85F" w14:textId="77777777" w:rsidR="00B23894" w:rsidRPr="00A7505E" w:rsidRDefault="00B23894" w:rsidP="00B23894">
      <w:r w:rsidRPr="00EB42DB">
        <w:rPr>
          <w:color w:val="000000" w:themeColor="text1"/>
          <w:szCs w:val="24"/>
          <w:highlight w:val="lightGray"/>
        </w:rPr>
        <w:t>[insert Table ID]</w:t>
      </w:r>
      <w:r w:rsidRPr="00497BB6">
        <w:t xml:space="preserve"> - </w:t>
      </w:r>
      <w:r w:rsidRPr="00EB42DB">
        <w:rPr>
          <w:b/>
          <w:bCs/>
        </w:rPr>
        <w:t>Congestion Management Process Strategies: Operational Improvements in Travel Corridor</w:t>
      </w:r>
    </w:p>
    <w:tbl>
      <w:tblPr>
        <w:tblStyle w:val="ATFTxDOTTable1"/>
        <w:tblW w:w="9360" w:type="dxa"/>
        <w:tblInd w:w="-5" w:type="dxa"/>
        <w:tblLook w:val="0420" w:firstRow="1" w:lastRow="0" w:firstColumn="0" w:lastColumn="0" w:noHBand="0" w:noVBand="1"/>
        <w:tblCaption w:val="Operational Improvements in Travel Corridor"/>
        <w:tblDescription w:val="This table summarizes operational improvements in a travel corridor"/>
      </w:tblPr>
      <w:tblGrid>
        <w:gridCol w:w="2340"/>
        <w:gridCol w:w="2340"/>
        <w:gridCol w:w="4680"/>
      </w:tblGrid>
      <w:tr w:rsidR="00B23894" w:rsidRPr="00A7505E" w14:paraId="51E2338D" w14:textId="77777777" w:rsidTr="00B33383">
        <w:trPr>
          <w:cnfStyle w:val="100000000000" w:firstRow="1" w:lastRow="0" w:firstColumn="0" w:lastColumn="0" w:oddVBand="0" w:evenVBand="0" w:oddHBand="0" w:evenHBand="0" w:firstRowFirstColumn="0" w:firstRowLastColumn="0" w:lastRowFirstColumn="0" w:lastRowLastColumn="0"/>
          <w:cantSplit/>
          <w:tblHeader/>
        </w:trPr>
        <w:tc>
          <w:tcPr>
            <w:tcW w:w="2340" w:type="dxa"/>
            <w:hideMark/>
          </w:tcPr>
          <w:p w14:paraId="1FD99698" w14:textId="77777777" w:rsidR="00B23894" w:rsidRPr="00A7505E" w:rsidRDefault="00B23894" w:rsidP="00B33383">
            <w:pPr>
              <w:spacing w:after="0" w:line="240" w:lineRule="auto"/>
              <w:rPr>
                <w:szCs w:val="24"/>
              </w:rPr>
            </w:pPr>
            <w:r w:rsidRPr="00A7505E">
              <w:rPr>
                <w:szCs w:val="24"/>
              </w:rPr>
              <w:t>Location</w:t>
            </w:r>
          </w:p>
        </w:tc>
        <w:tc>
          <w:tcPr>
            <w:tcW w:w="2340" w:type="dxa"/>
            <w:hideMark/>
          </w:tcPr>
          <w:p w14:paraId="79731637" w14:textId="77777777" w:rsidR="00B23894" w:rsidRPr="00A7505E" w:rsidRDefault="00B23894" w:rsidP="00B33383">
            <w:pPr>
              <w:spacing w:after="0" w:line="240" w:lineRule="auto"/>
              <w:rPr>
                <w:szCs w:val="24"/>
              </w:rPr>
            </w:pPr>
            <w:r w:rsidRPr="00A7505E">
              <w:rPr>
                <w:szCs w:val="24"/>
              </w:rPr>
              <w:t>Type</w:t>
            </w:r>
          </w:p>
        </w:tc>
        <w:tc>
          <w:tcPr>
            <w:tcW w:w="4680" w:type="dxa"/>
            <w:hideMark/>
          </w:tcPr>
          <w:p w14:paraId="4F282362" w14:textId="77777777" w:rsidR="00B23894" w:rsidRPr="00A7505E" w:rsidRDefault="00B23894" w:rsidP="00B33383">
            <w:pPr>
              <w:spacing w:after="0" w:line="240" w:lineRule="auto"/>
              <w:rPr>
                <w:szCs w:val="24"/>
              </w:rPr>
            </w:pPr>
            <w:r w:rsidRPr="00A7505E">
              <w:rPr>
                <w:szCs w:val="24"/>
              </w:rPr>
              <w:t>Implementation Date</w:t>
            </w:r>
          </w:p>
        </w:tc>
      </w:tr>
      <w:tr w:rsidR="00B23894" w:rsidRPr="00A7505E" w14:paraId="6C8A8E5A" w14:textId="77777777" w:rsidTr="00B33383">
        <w:trPr>
          <w:cnfStyle w:val="000000100000" w:firstRow="0" w:lastRow="0" w:firstColumn="0" w:lastColumn="0" w:oddVBand="0" w:evenVBand="0" w:oddHBand="1" w:evenHBand="0" w:firstRowFirstColumn="0" w:firstRowLastColumn="0" w:lastRowFirstColumn="0" w:lastRowLastColumn="0"/>
          <w:cantSplit/>
          <w:trHeight w:val="25"/>
        </w:trPr>
        <w:tc>
          <w:tcPr>
            <w:tcW w:w="2340" w:type="dxa"/>
            <w:vAlign w:val="top"/>
            <w:hideMark/>
          </w:tcPr>
          <w:p w14:paraId="6DE096F7" w14:textId="77777777" w:rsidR="00B23894" w:rsidRPr="00A7505E" w:rsidRDefault="00B23894" w:rsidP="00B33383">
            <w:pPr>
              <w:spacing w:after="0"/>
              <w:rPr>
                <w:szCs w:val="24"/>
              </w:rPr>
            </w:pPr>
            <w:r w:rsidRPr="00A7505E">
              <w:rPr>
                <w:rFonts w:asciiTheme="minorHAnsi" w:eastAsiaTheme="minorHAnsi" w:hAnsiTheme="minorHAnsi" w:cstheme="minorBidi"/>
                <w:color w:val="000000" w:themeColor="text1"/>
                <w:szCs w:val="24"/>
                <w:highlight w:val="lightGray"/>
              </w:rPr>
              <w:t>[</w:t>
            </w:r>
            <w:r w:rsidRPr="001A71E6">
              <w:rPr>
                <w:rFonts w:asciiTheme="minorHAnsi" w:eastAsiaTheme="minorHAnsi" w:hAnsiTheme="minorHAnsi" w:cstheme="minorBidi"/>
                <w:color w:val="000000" w:themeColor="text1"/>
                <w:szCs w:val="24"/>
                <w:highlight w:val="lightGray"/>
              </w:rPr>
              <w:t>insert location</w:t>
            </w:r>
            <w:r w:rsidRPr="00A7505E">
              <w:rPr>
                <w:rFonts w:asciiTheme="minorHAnsi" w:eastAsiaTheme="minorHAnsi" w:hAnsiTheme="minorHAnsi" w:cstheme="minorBidi"/>
                <w:color w:val="000000" w:themeColor="text1"/>
                <w:szCs w:val="24"/>
                <w:highlight w:val="lightGray"/>
              </w:rPr>
              <w:t>]</w:t>
            </w:r>
          </w:p>
        </w:tc>
        <w:tc>
          <w:tcPr>
            <w:tcW w:w="2340" w:type="dxa"/>
            <w:vAlign w:val="top"/>
            <w:hideMark/>
          </w:tcPr>
          <w:p w14:paraId="5C0C6D67" w14:textId="77777777" w:rsidR="00B23894" w:rsidRPr="00A7505E" w:rsidRDefault="00B23894" w:rsidP="00B33383">
            <w:pPr>
              <w:spacing w:after="0"/>
              <w:rPr>
                <w:szCs w:val="24"/>
              </w:rPr>
            </w:pPr>
            <w:r w:rsidRPr="001A71E6">
              <w:rPr>
                <w:rFonts w:asciiTheme="minorHAnsi" w:eastAsiaTheme="minorHAnsi" w:hAnsiTheme="minorHAnsi" w:cstheme="minorBidi"/>
                <w:color w:val="000000" w:themeColor="text1"/>
                <w:szCs w:val="24"/>
                <w:highlight w:val="lightGray"/>
              </w:rPr>
              <w:t>[</w:t>
            </w:r>
            <w:r>
              <w:rPr>
                <w:rFonts w:asciiTheme="minorHAnsi" w:eastAsiaTheme="minorHAnsi" w:hAnsiTheme="minorHAnsi" w:cstheme="minorBidi"/>
                <w:color w:val="000000" w:themeColor="text1"/>
                <w:szCs w:val="24"/>
                <w:highlight w:val="lightGray"/>
              </w:rPr>
              <w:t>i</w:t>
            </w:r>
            <w:r w:rsidRPr="001A71E6">
              <w:rPr>
                <w:rFonts w:asciiTheme="minorHAnsi" w:eastAsiaTheme="minorHAnsi" w:hAnsiTheme="minorHAnsi" w:cstheme="minorBidi"/>
                <w:color w:val="000000" w:themeColor="text1"/>
                <w:szCs w:val="24"/>
                <w:highlight w:val="lightGray"/>
              </w:rPr>
              <w:t>nsert type]</w:t>
            </w:r>
          </w:p>
        </w:tc>
        <w:tc>
          <w:tcPr>
            <w:tcW w:w="4680" w:type="dxa"/>
            <w:vAlign w:val="top"/>
            <w:hideMark/>
          </w:tcPr>
          <w:p w14:paraId="63CDE301" w14:textId="77777777" w:rsidR="00B23894" w:rsidRPr="00A7505E" w:rsidRDefault="00B23894" w:rsidP="00B33383">
            <w:pPr>
              <w:spacing w:after="0"/>
              <w:rPr>
                <w:szCs w:val="24"/>
              </w:rPr>
            </w:pPr>
            <w:r w:rsidRPr="001A71E6">
              <w:rPr>
                <w:rFonts w:asciiTheme="minorHAnsi" w:eastAsiaTheme="minorHAnsi" w:hAnsiTheme="minorHAnsi" w:cstheme="minorBidi"/>
                <w:color w:val="000000" w:themeColor="text1"/>
                <w:szCs w:val="24"/>
                <w:highlight w:val="lightGray"/>
              </w:rPr>
              <w:t>[</w:t>
            </w:r>
            <w:r>
              <w:rPr>
                <w:rFonts w:asciiTheme="minorHAnsi" w:eastAsiaTheme="minorHAnsi" w:hAnsiTheme="minorHAnsi" w:cstheme="minorBidi"/>
                <w:color w:val="000000" w:themeColor="text1"/>
                <w:szCs w:val="24"/>
                <w:highlight w:val="lightGray"/>
              </w:rPr>
              <w:t>i</w:t>
            </w:r>
            <w:r w:rsidRPr="001A71E6">
              <w:rPr>
                <w:rFonts w:asciiTheme="minorHAnsi" w:eastAsiaTheme="minorHAnsi" w:hAnsiTheme="minorHAnsi" w:cstheme="minorBidi"/>
                <w:color w:val="000000" w:themeColor="text1"/>
                <w:szCs w:val="24"/>
                <w:highlight w:val="lightGray"/>
              </w:rPr>
              <w:t>nsert implementation date]</w:t>
            </w:r>
          </w:p>
        </w:tc>
      </w:tr>
      <w:tr w:rsidR="00B23894" w:rsidRPr="00A7505E" w14:paraId="423FEB10" w14:textId="77777777" w:rsidTr="00B33383">
        <w:trPr>
          <w:cnfStyle w:val="000000010000" w:firstRow="0" w:lastRow="0" w:firstColumn="0" w:lastColumn="0" w:oddVBand="0" w:evenVBand="0" w:oddHBand="0" w:evenHBand="1" w:firstRowFirstColumn="0" w:firstRowLastColumn="0" w:lastRowFirstColumn="0" w:lastRowLastColumn="0"/>
          <w:cantSplit/>
          <w:trHeight w:val="25"/>
        </w:trPr>
        <w:tc>
          <w:tcPr>
            <w:tcW w:w="2340" w:type="dxa"/>
            <w:vAlign w:val="top"/>
            <w:hideMark/>
          </w:tcPr>
          <w:p w14:paraId="1A840F9A" w14:textId="77777777" w:rsidR="00B23894" w:rsidRPr="00A7505E" w:rsidRDefault="00B23894" w:rsidP="00B33383">
            <w:pPr>
              <w:spacing w:after="0"/>
              <w:rPr>
                <w:szCs w:val="24"/>
              </w:rPr>
            </w:pPr>
            <w:r w:rsidRPr="00A7505E">
              <w:rPr>
                <w:rFonts w:asciiTheme="minorHAnsi" w:eastAsiaTheme="minorHAnsi" w:hAnsiTheme="minorHAnsi" w:cstheme="minorBidi"/>
                <w:color w:val="000000" w:themeColor="text1"/>
                <w:szCs w:val="24"/>
                <w:highlight w:val="lightGray"/>
              </w:rPr>
              <w:t>[</w:t>
            </w:r>
            <w:r w:rsidRPr="001A71E6">
              <w:rPr>
                <w:rFonts w:asciiTheme="minorHAnsi" w:eastAsiaTheme="minorHAnsi" w:hAnsiTheme="minorHAnsi" w:cstheme="minorBidi"/>
                <w:color w:val="000000" w:themeColor="text1"/>
                <w:szCs w:val="24"/>
                <w:highlight w:val="lightGray"/>
              </w:rPr>
              <w:t>insert location</w:t>
            </w:r>
            <w:r w:rsidRPr="00A7505E">
              <w:rPr>
                <w:rFonts w:asciiTheme="minorHAnsi" w:eastAsiaTheme="minorHAnsi" w:hAnsiTheme="minorHAnsi" w:cstheme="minorBidi"/>
                <w:color w:val="000000" w:themeColor="text1"/>
                <w:szCs w:val="24"/>
                <w:highlight w:val="lightGray"/>
              </w:rPr>
              <w:t>]</w:t>
            </w:r>
          </w:p>
        </w:tc>
        <w:tc>
          <w:tcPr>
            <w:tcW w:w="2340" w:type="dxa"/>
            <w:vAlign w:val="top"/>
            <w:hideMark/>
          </w:tcPr>
          <w:p w14:paraId="575758FE" w14:textId="77777777" w:rsidR="00B23894" w:rsidRPr="00A7505E" w:rsidRDefault="00B23894" w:rsidP="00B33383">
            <w:pPr>
              <w:spacing w:after="0"/>
              <w:rPr>
                <w:szCs w:val="24"/>
              </w:rPr>
            </w:pPr>
            <w:r w:rsidRPr="001A71E6">
              <w:rPr>
                <w:rFonts w:asciiTheme="minorHAnsi" w:eastAsiaTheme="minorHAnsi" w:hAnsiTheme="minorHAnsi" w:cstheme="minorBidi"/>
                <w:color w:val="000000" w:themeColor="text1"/>
                <w:szCs w:val="24"/>
                <w:highlight w:val="lightGray"/>
              </w:rPr>
              <w:t>[</w:t>
            </w:r>
            <w:r>
              <w:rPr>
                <w:rFonts w:asciiTheme="minorHAnsi" w:eastAsiaTheme="minorHAnsi" w:hAnsiTheme="minorHAnsi" w:cstheme="minorBidi"/>
                <w:color w:val="000000" w:themeColor="text1"/>
                <w:szCs w:val="24"/>
                <w:highlight w:val="lightGray"/>
              </w:rPr>
              <w:t>i</w:t>
            </w:r>
            <w:r w:rsidRPr="001A71E6">
              <w:rPr>
                <w:rFonts w:asciiTheme="minorHAnsi" w:eastAsiaTheme="minorHAnsi" w:hAnsiTheme="minorHAnsi" w:cstheme="minorBidi"/>
                <w:color w:val="000000" w:themeColor="text1"/>
                <w:szCs w:val="24"/>
                <w:highlight w:val="lightGray"/>
              </w:rPr>
              <w:t>nsert type]</w:t>
            </w:r>
          </w:p>
        </w:tc>
        <w:tc>
          <w:tcPr>
            <w:tcW w:w="4680" w:type="dxa"/>
            <w:vAlign w:val="top"/>
            <w:hideMark/>
          </w:tcPr>
          <w:p w14:paraId="4CFDDE24" w14:textId="77777777" w:rsidR="00B23894" w:rsidRPr="00A7505E" w:rsidRDefault="00B23894" w:rsidP="00B33383">
            <w:pPr>
              <w:spacing w:after="0"/>
              <w:rPr>
                <w:szCs w:val="24"/>
              </w:rPr>
            </w:pPr>
            <w:r w:rsidRPr="001A71E6">
              <w:rPr>
                <w:rFonts w:asciiTheme="minorHAnsi" w:eastAsiaTheme="minorHAnsi" w:hAnsiTheme="minorHAnsi" w:cstheme="minorBidi"/>
                <w:color w:val="000000" w:themeColor="text1"/>
                <w:szCs w:val="24"/>
                <w:highlight w:val="lightGray"/>
              </w:rPr>
              <w:t>[</w:t>
            </w:r>
            <w:r>
              <w:rPr>
                <w:rFonts w:asciiTheme="minorHAnsi" w:eastAsiaTheme="minorHAnsi" w:hAnsiTheme="minorHAnsi" w:cstheme="minorBidi"/>
                <w:color w:val="000000" w:themeColor="text1"/>
                <w:szCs w:val="24"/>
                <w:highlight w:val="lightGray"/>
              </w:rPr>
              <w:t>i</w:t>
            </w:r>
            <w:r w:rsidRPr="001A71E6">
              <w:rPr>
                <w:rFonts w:asciiTheme="minorHAnsi" w:eastAsiaTheme="minorHAnsi" w:hAnsiTheme="minorHAnsi" w:cstheme="minorBidi"/>
                <w:color w:val="000000" w:themeColor="text1"/>
                <w:szCs w:val="24"/>
                <w:highlight w:val="lightGray"/>
              </w:rPr>
              <w:t>nsert implementation date]</w:t>
            </w:r>
          </w:p>
        </w:tc>
      </w:tr>
    </w:tbl>
    <w:p w14:paraId="29299271" w14:textId="77777777" w:rsidR="00B23894" w:rsidRPr="00A7505E" w:rsidRDefault="00B23894" w:rsidP="00B23894">
      <w:pPr>
        <w:spacing w:before="240"/>
        <w:rPr>
          <w:color w:val="000000" w:themeColor="text1"/>
          <w:szCs w:val="24"/>
        </w:rPr>
      </w:pPr>
      <w:proofErr w:type="gramStart"/>
      <w:r w:rsidRPr="00A7505E">
        <w:rPr>
          <w:color w:val="000000" w:themeColor="text1"/>
          <w:szCs w:val="24"/>
        </w:rPr>
        <w:t>In an effort to</w:t>
      </w:r>
      <w:proofErr w:type="gramEnd"/>
      <w:r w:rsidRPr="00A7505E">
        <w:rPr>
          <w:color w:val="000000" w:themeColor="text1"/>
          <w:szCs w:val="24"/>
        </w:rPr>
        <w:t xml:space="preserve"> reduce congestion and the need for SOV lanes in the region, Texas Department of </w:t>
      </w:r>
      <w:r w:rsidRPr="00665839">
        <w:rPr>
          <w:color w:val="000000" w:themeColor="text1"/>
          <w:szCs w:val="24"/>
        </w:rPr>
        <w:t>Transportation (</w:t>
      </w:r>
      <w:r w:rsidRPr="00A7505E">
        <w:rPr>
          <w:color w:val="000000" w:themeColor="text1"/>
          <w:szCs w:val="24"/>
        </w:rPr>
        <w:t xml:space="preserve">TxDOT) and </w:t>
      </w:r>
      <w:r w:rsidRPr="00A7505E">
        <w:rPr>
          <w:color w:val="000000" w:themeColor="text1"/>
          <w:szCs w:val="24"/>
          <w:highlight w:val="lightGray"/>
        </w:rPr>
        <w:t>[insert MPO’s name]</w:t>
      </w:r>
      <w:r w:rsidRPr="00A7505E">
        <w:rPr>
          <w:color w:val="000000" w:themeColor="text1"/>
          <w:szCs w:val="24"/>
        </w:rPr>
        <w:t xml:space="preserve"> will continue to promote appropriate congestion reduction strategies through the Congestion Mitigation and Air Quality Improvement (CMAQ) program, the CMP, and the MTP. The congestion reduction strategies considered for this project would help alleviate congestion in the SOV study </w:t>
      </w:r>
      <w:proofErr w:type="gramStart"/>
      <w:r w:rsidRPr="00A7505E">
        <w:rPr>
          <w:color w:val="000000" w:themeColor="text1"/>
          <w:szCs w:val="24"/>
        </w:rPr>
        <w:t>boundary, but</w:t>
      </w:r>
      <w:proofErr w:type="gramEnd"/>
      <w:r w:rsidRPr="00A7505E">
        <w:rPr>
          <w:color w:val="000000" w:themeColor="text1"/>
          <w:szCs w:val="24"/>
        </w:rPr>
        <w:t xml:space="preserve"> would not eliminate it.</w:t>
      </w:r>
    </w:p>
    <w:p w14:paraId="3AE3B36C" w14:textId="77777777" w:rsidR="00B23894" w:rsidRPr="00A7505E" w:rsidRDefault="00B23894" w:rsidP="00B23894">
      <w:pPr>
        <w:spacing w:after="120"/>
        <w:rPr>
          <w:color w:val="000000" w:themeColor="text1"/>
          <w:szCs w:val="24"/>
        </w:rPr>
      </w:pPr>
      <w:r w:rsidRPr="00A7505E">
        <w:rPr>
          <w:color w:val="000000" w:themeColor="text1"/>
          <w:szCs w:val="24"/>
        </w:rPr>
        <w:t xml:space="preserve">Therefore, the proposed project is justified. The CMP analysis for added SOV capacity projects in the Transportation Management Area (TMA) is on file and available for review at </w:t>
      </w:r>
      <w:r w:rsidRPr="00A7505E">
        <w:rPr>
          <w:color w:val="000000" w:themeColor="text1"/>
          <w:szCs w:val="24"/>
          <w:highlight w:val="lightGray"/>
        </w:rPr>
        <w:t>[insert MPO’s name]</w:t>
      </w:r>
      <w:r w:rsidRPr="00A7505E">
        <w:rPr>
          <w:color w:val="000000" w:themeColor="text1"/>
          <w:szCs w:val="24"/>
        </w:rPr>
        <w:t>.</w:t>
      </w:r>
    </w:p>
    <w:p w14:paraId="4C66FCD1" w14:textId="77777777" w:rsidR="00B23894" w:rsidRPr="00A7505E" w:rsidRDefault="00B23894" w:rsidP="00B23894">
      <w:pPr>
        <w:pStyle w:val="Heading3"/>
        <w:rPr>
          <w:rFonts w:hint="eastAsia"/>
        </w:rPr>
      </w:pPr>
      <w:bookmarkStart w:id="80" w:name="_Toc237000227"/>
      <w:r>
        <w:t>Statement 22</w:t>
      </w:r>
      <w:bookmarkEnd w:id="80"/>
    </w:p>
    <w:p w14:paraId="25FDBBD0" w14:textId="77777777" w:rsidR="00B23894" w:rsidRPr="00A7505E" w:rsidRDefault="00B23894" w:rsidP="00B23894">
      <w:pPr>
        <w:pStyle w:val="ListNumber"/>
        <w:spacing w:after="120"/>
        <w:contextualSpacing w:val="0"/>
      </w:pPr>
      <w:r w:rsidRPr="00B83CDA">
        <w:rPr>
          <w:rFonts w:asciiTheme="minorHAnsi" w:eastAsiaTheme="minorHAnsi" w:hAnsiTheme="minorHAnsi" w:cstheme="minorBidi"/>
          <w:color w:val="000000" w:themeColor="text1"/>
          <w:kern w:val="2"/>
          <w:szCs w:val="24"/>
          <w:highlight w:val="lightGray"/>
          <w14:ligatures w14:val="standardContextual"/>
        </w:rPr>
        <w:t>[Intentionally left blan</w:t>
      </w:r>
      <w:r>
        <w:rPr>
          <w:rFonts w:asciiTheme="minorHAnsi" w:eastAsiaTheme="minorHAnsi" w:hAnsiTheme="minorHAnsi" w:cstheme="minorBidi"/>
          <w:color w:val="000000" w:themeColor="text1"/>
          <w:kern w:val="2"/>
          <w:szCs w:val="24"/>
          <w:highlight w:val="lightGray"/>
          <w14:ligatures w14:val="standardContextual"/>
        </w:rPr>
        <w:t>k.]</w:t>
      </w:r>
    </w:p>
    <w:p w14:paraId="121AE4E5" w14:textId="77777777" w:rsidR="00B23894" w:rsidRPr="00A7505E" w:rsidRDefault="00B23894" w:rsidP="00B23894">
      <w:pPr>
        <w:pStyle w:val="Heading3"/>
        <w:rPr>
          <w:rFonts w:hint="eastAsia"/>
        </w:rPr>
      </w:pPr>
      <w:bookmarkStart w:id="81" w:name="_Ref236137235"/>
      <w:bookmarkStart w:id="82" w:name="_Ref227318122"/>
      <w:bookmarkStart w:id="83" w:name="_Toc237000228"/>
      <w:r>
        <w:lastRenderedPageBreak/>
        <w:t>Statement 23</w:t>
      </w:r>
      <w:bookmarkEnd w:id="81"/>
      <w:bookmarkEnd w:id="83"/>
    </w:p>
    <w:p w14:paraId="2CCBDFDD" w14:textId="77777777" w:rsidR="00B23894" w:rsidRPr="00A7505E" w:rsidRDefault="00B23894" w:rsidP="00B23894">
      <w:pPr>
        <w:pStyle w:val="ListNumber"/>
        <w:spacing w:after="120"/>
        <w:contextualSpacing w:val="0"/>
      </w:pPr>
      <w:r w:rsidRPr="00A7505E">
        <w:t>During the construction phase of this project, temporary increases in PM and MSAT emissions may occur from construction activities. The primary construction-related emissions of PM are fugitive dust from site preparation, and the primary construction-related emissions of MSAT are diesel particulate matter from diesel powered construction equipment and vehicles.</w:t>
      </w:r>
      <w:bookmarkEnd w:id="82"/>
    </w:p>
    <w:p w14:paraId="2457DD61" w14:textId="77777777" w:rsidR="00B23894" w:rsidRPr="00A7505E" w:rsidRDefault="00B23894" w:rsidP="00B23894">
      <w:pPr>
        <w:rPr>
          <w:color w:val="000000" w:themeColor="text1"/>
          <w:szCs w:val="24"/>
        </w:rPr>
      </w:pPr>
      <w:r w:rsidRPr="00A7505E">
        <w:rPr>
          <w:color w:val="000000" w:themeColor="text1"/>
          <w:szCs w:val="24"/>
        </w:rPr>
        <w:t xml:space="preserve">The potential impacts of particulate matter emissions will be minimized by using fugitive dust control measures contained in standard specifications, as appropriate. The Texas Emissions Reduction Plan (TERP) provides financial incentives to reduce emissions from vehicles and equipment. TxDOT encourages construction contractors to </w:t>
      </w:r>
      <w:proofErr w:type="gramStart"/>
      <w:r w:rsidRPr="00A7505E">
        <w:rPr>
          <w:color w:val="000000" w:themeColor="text1"/>
          <w:szCs w:val="24"/>
        </w:rPr>
        <w:t>use this and other local and federal incentive programs to the fullest extent</w:t>
      </w:r>
      <w:proofErr w:type="gramEnd"/>
      <w:r w:rsidRPr="00A7505E">
        <w:rPr>
          <w:color w:val="000000" w:themeColor="text1"/>
          <w:szCs w:val="24"/>
        </w:rPr>
        <w:t xml:space="preserve"> possible to minimize diesel emissions. Information about the TERP program can be found on TCEQ’s TERP website</w:t>
      </w:r>
      <w:r w:rsidRPr="00A7505E">
        <w:rPr>
          <w:color w:val="000000" w:themeColor="text1"/>
          <w:szCs w:val="24"/>
          <w:vertAlign w:val="superscript"/>
        </w:rPr>
        <w:footnoteReference w:id="31"/>
      </w:r>
      <w:r w:rsidRPr="00A7505E">
        <w:rPr>
          <w:color w:val="000000" w:themeColor="text1"/>
          <w:szCs w:val="24"/>
        </w:rPr>
        <w:t>.</w:t>
      </w:r>
    </w:p>
    <w:p w14:paraId="59D49FA3" w14:textId="77777777" w:rsidR="00B23894" w:rsidRPr="00A7505E" w:rsidRDefault="00B23894" w:rsidP="00B23894">
      <w:pPr>
        <w:spacing w:after="120"/>
        <w:rPr>
          <w:color w:val="000000" w:themeColor="text1"/>
          <w:szCs w:val="24"/>
        </w:rPr>
      </w:pPr>
      <w:r w:rsidRPr="00A7505E">
        <w:rPr>
          <w:color w:val="000000" w:themeColor="text1"/>
          <w:szCs w:val="24"/>
        </w:rPr>
        <w:t>However, considering the temporary and transient nature of construction-related emissions, the use of fugitive dust control measures, the encouragement of the use of TERP, and compliance with applicable regulatory requirements; it is not anticipated that emissions from construction of this project will have any significant impact on air quality in the area.</w:t>
      </w:r>
    </w:p>
    <w:p w14:paraId="4CFD2268" w14:textId="77777777" w:rsidR="00B23894" w:rsidRPr="00A7505E" w:rsidRDefault="00B23894" w:rsidP="00B23894">
      <w:pPr>
        <w:pStyle w:val="Heading3"/>
        <w:rPr>
          <w:rFonts w:hint="eastAsia"/>
        </w:rPr>
      </w:pPr>
      <w:bookmarkStart w:id="84" w:name="_Ref236136939"/>
      <w:bookmarkStart w:id="85" w:name="_Ref227310296"/>
      <w:bookmarkStart w:id="86" w:name="_Toc237000229"/>
      <w:r>
        <w:t>Statement 24</w:t>
      </w:r>
      <w:bookmarkEnd w:id="84"/>
      <w:bookmarkEnd w:id="86"/>
    </w:p>
    <w:p w14:paraId="261DC2BB" w14:textId="77777777" w:rsidR="00B23894" w:rsidRPr="00A7505E" w:rsidRDefault="00B23894" w:rsidP="00B23894">
      <w:pPr>
        <w:pStyle w:val="ListNumber"/>
        <w:spacing w:before="240" w:after="120"/>
        <w:contextualSpacing w:val="0"/>
      </w:pPr>
      <w:r w:rsidRPr="00A7505E">
        <w:t xml:space="preserve">This project is located within an area that has been designated by EPA as a nonattainment area for the 2010 SO2 NAAQS, effective January 12, 2017. Transportation conformity is required under CAA Section 176(c) (42 U.S.C. 7506(c)) to ensure that federally supported highway and transit project activities are consistent with the purpose of the SIP for transportation-related criteria pollutants. However, in accordance with the conformity rule </w:t>
      </w:r>
      <w:r w:rsidRPr="00A7505E">
        <w:lastRenderedPageBreak/>
        <w:t>in 40 CFR 93.102(b)(1) transportation conformity does not apply to areas solely in nonattainment for the SO2 NAAQS.</w:t>
      </w:r>
      <w:bookmarkEnd w:id="85"/>
    </w:p>
    <w:p w14:paraId="5EC43654" w14:textId="77777777" w:rsidR="00B23894" w:rsidRPr="00A7505E" w:rsidRDefault="00B23894" w:rsidP="00B23894">
      <w:pPr>
        <w:pStyle w:val="Heading3"/>
        <w:rPr>
          <w:rFonts w:hint="eastAsia"/>
        </w:rPr>
      </w:pPr>
      <w:bookmarkStart w:id="87" w:name="_Ref236135391"/>
      <w:bookmarkStart w:id="88" w:name="_Ref227308630"/>
      <w:bookmarkStart w:id="89" w:name="_Toc237000230"/>
      <w:r>
        <w:t>Statement 25</w:t>
      </w:r>
      <w:bookmarkEnd w:id="87"/>
      <w:bookmarkEnd w:id="89"/>
    </w:p>
    <w:p w14:paraId="28652FC6" w14:textId="77777777" w:rsidR="00B23894" w:rsidRDefault="00B23894" w:rsidP="00B23894">
      <w:pPr>
        <w:pStyle w:val="ListNumber"/>
      </w:pPr>
      <w:r w:rsidRPr="00A7505E">
        <w:t>This project is located within the Jefferson-Orange-Hardin area that was formerly designated by EPA as an attainment-maintenance area for the 1997 ozone NAAQS. Effective April 6, 2015, EPA revoked the 1997 ozone NAAQS and the associated classifications and designations in their 2008 ozone NAAQS SIP Requirements Rule (Federal Register: Vol.80, No. 44, page 12264). On February 16, 2018, in a lawsuit contesting the revocation, South Coast Air Quality Management District v. EPA (882 F.3d 1138), the court issued a decision vacating portions of EPA’s 2008 ozone NAAQS SIP Requirements Rule, resulting in conformity once again applying to orphan areas such as Jefferson-Orange-Hardin. Therefore, although the area is designated attainment</w:t>
      </w:r>
      <w:r>
        <w:t xml:space="preserve"> or </w:t>
      </w:r>
      <w:r w:rsidRPr="00A7505E">
        <w:t>unclassifiable for both the 2008 and 2015 ozone NAAQS and has no current designation under the revoked 1997 ozone NAAQS, transportation conformity still applies.</w:t>
      </w:r>
      <w:bookmarkEnd w:id="88"/>
    </w:p>
    <w:p w14:paraId="4CE6910D" w14:textId="77777777" w:rsidR="00B23894" w:rsidRDefault="00B23894" w:rsidP="00B23894">
      <w:pPr>
        <w:spacing w:after="0" w:line="240" w:lineRule="auto"/>
      </w:pPr>
      <w:r>
        <w:br w:type="page"/>
      </w:r>
    </w:p>
    <w:p w14:paraId="661159B6" w14:textId="227FED2E" w:rsidR="002E29E6" w:rsidRPr="002E29E6" w:rsidRDefault="002E29E6" w:rsidP="00350EE3">
      <w:pPr>
        <w:pStyle w:val="Heading2"/>
      </w:pPr>
      <w:bookmarkStart w:id="90" w:name="_Toc237000231"/>
      <w:r w:rsidRPr="002E29E6">
        <w:lastRenderedPageBreak/>
        <w:t xml:space="preserve">Appendix </w:t>
      </w:r>
      <w:r w:rsidR="00845339">
        <w:t>B</w:t>
      </w:r>
      <w:r w:rsidRPr="002E29E6">
        <w:t xml:space="preserve">: </w:t>
      </w:r>
      <w:bookmarkEnd w:id="9"/>
      <w:r w:rsidR="0057526D">
        <w:t>Overlapping Nonattainment and Transportation Management Areas in Texas</w:t>
      </w:r>
      <w:bookmarkEnd w:id="90"/>
    </w:p>
    <w:p w14:paraId="258866D8" w14:textId="4F1955DF" w:rsidR="00EE102D" w:rsidRDefault="00EE102D" w:rsidP="00EA372E">
      <w:pPr>
        <w:pStyle w:val="Caption"/>
      </w:pPr>
      <w:bookmarkStart w:id="91" w:name="_Toc237000237"/>
      <w:r>
        <w:t xml:space="preserve">Table </w:t>
      </w:r>
      <w:r w:rsidR="00152945">
        <w:fldChar w:fldCharType="begin"/>
      </w:r>
      <w:r w:rsidR="00152945">
        <w:instrText xml:space="preserve"> SEQ Table \* ARABIC </w:instrText>
      </w:r>
      <w:r w:rsidR="00152945">
        <w:fldChar w:fldCharType="separate"/>
      </w:r>
      <w:r w:rsidR="00F6336C">
        <w:rPr>
          <w:noProof/>
        </w:rPr>
        <w:t>5</w:t>
      </w:r>
      <w:r w:rsidR="00152945">
        <w:fldChar w:fldCharType="end"/>
      </w:r>
      <w:r>
        <w:t xml:space="preserve">. </w:t>
      </w:r>
      <w:r w:rsidRPr="000F3A72">
        <w:t>Ozone or CO Nonattainment Areas in Texas and Overlapping TMAs</w:t>
      </w:r>
      <w:bookmarkEnd w:id="91"/>
    </w:p>
    <w:tbl>
      <w:tblPr>
        <w:tblStyle w:val="ATFTxDOTTable"/>
        <w:tblW w:w="9355" w:type="dxa"/>
        <w:tblLook w:val="0420" w:firstRow="1" w:lastRow="0" w:firstColumn="0" w:lastColumn="0" w:noHBand="0" w:noVBand="1"/>
        <w:tblCaption w:val="Ozone or CO Nonattainment Areas in Texas and Overlapping TMAs"/>
        <w:tblDescription w:val="This table summarizes Ozone or CO Nonattainment areas ih texas and overlappting transportation management areas."/>
      </w:tblPr>
      <w:tblGrid>
        <w:gridCol w:w="4225"/>
        <w:gridCol w:w="5130"/>
      </w:tblGrid>
      <w:tr w:rsidR="002E29E6" w:rsidRPr="00C478F4" w14:paraId="2AC29EAC" w14:textId="77777777" w:rsidTr="00665839">
        <w:trPr>
          <w:cnfStyle w:val="100000000000" w:firstRow="1" w:lastRow="0" w:firstColumn="0" w:lastColumn="0" w:oddVBand="0" w:evenVBand="0" w:oddHBand="0" w:evenHBand="0" w:firstRowFirstColumn="0" w:firstRowLastColumn="0" w:lastRowFirstColumn="0" w:lastRowLastColumn="0"/>
          <w:cantSplit/>
          <w:tblHeader/>
        </w:trPr>
        <w:tc>
          <w:tcPr>
            <w:tcW w:w="4225" w:type="dxa"/>
            <w:vAlign w:val="top"/>
          </w:tcPr>
          <w:p w14:paraId="497B8C9A" w14:textId="77777777" w:rsidR="002E29E6" w:rsidRPr="00C478F4" w:rsidRDefault="002E29E6" w:rsidP="002E29E6">
            <w:pPr>
              <w:spacing w:after="0" w:line="240" w:lineRule="auto"/>
              <w:rPr>
                <w:bCs/>
                <w:szCs w:val="24"/>
              </w:rPr>
            </w:pPr>
            <w:r w:rsidRPr="00C478F4">
              <w:rPr>
                <w:rFonts w:asciiTheme="majorHAnsi" w:hAnsiTheme="majorHAnsi"/>
                <w:b w:val="0"/>
              </w:rPr>
              <w:t>Ozone or CO Nonattainment Areas in Texas</w:t>
            </w:r>
          </w:p>
        </w:tc>
        <w:tc>
          <w:tcPr>
            <w:tcW w:w="5130" w:type="dxa"/>
            <w:vAlign w:val="top"/>
          </w:tcPr>
          <w:p w14:paraId="23CDD720" w14:textId="5438AD55" w:rsidR="002E29E6" w:rsidRPr="00C478F4" w:rsidRDefault="002E29E6" w:rsidP="002E29E6">
            <w:pPr>
              <w:spacing w:after="0" w:line="240" w:lineRule="auto"/>
              <w:rPr>
                <w:bCs/>
                <w:szCs w:val="24"/>
              </w:rPr>
            </w:pPr>
            <w:r w:rsidRPr="00C478F4">
              <w:rPr>
                <w:rFonts w:asciiTheme="majorHAnsi" w:hAnsiTheme="majorHAnsi"/>
                <w:b w:val="0"/>
              </w:rPr>
              <w:t>Overlapping T</w:t>
            </w:r>
            <w:r w:rsidR="00D93AA4" w:rsidRPr="00C478F4">
              <w:rPr>
                <w:rFonts w:asciiTheme="majorHAnsi" w:hAnsiTheme="majorHAnsi"/>
                <w:b w:val="0"/>
              </w:rPr>
              <w:t>ransportation Management Areas (T</w:t>
            </w:r>
            <w:r w:rsidRPr="00C478F4">
              <w:rPr>
                <w:rFonts w:asciiTheme="majorHAnsi" w:hAnsiTheme="majorHAnsi"/>
                <w:b w:val="0"/>
              </w:rPr>
              <w:t>MA</w:t>
            </w:r>
            <w:r w:rsidR="00E57EAE" w:rsidRPr="00C478F4">
              <w:rPr>
                <w:rFonts w:asciiTheme="majorHAnsi" w:hAnsiTheme="majorHAnsi"/>
                <w:b w:val="0"/>
              </w:rPr>
              <w:t>)</w:t>
            </w:r>
            <w:r w:rsidRPr="00C478F4">
              <w:rPr>
                <w:rFonts w:asciiTheme="majorHAnsi" w:hAnsiTheme="majorHAnsi"/>
                <w:b w:val="0"/>
              </w:rPr>
              <w:t>s</w:t>
            </w:r>
            <w:r w:rsidR="00D74606">
              <w:rPr>
                <w:rStyle w:val="FootnoteReference"/>
                <w:rFonts w:asciiTheme="majorHAnsi" w:hAnsiTheme="majorHAnsi"/>
                <w:b w:val="0"/>
              </w:rPr>
              <w:footnoteReference w:id="32"/>
            </w:r>
          </w:p>
        </w:tc>
      </w:tr>
      <w:tr w:rsidR="002E29E6" w:rsidRPr="00C478F4" w14:paraId="29C7E56F" w14:textId="77777777" w:rsidTr="00665839">
        <w:trPr>
          <w:cnfStyle w:val="000000100000" w:firstRow="0" w:lastRow="0" w:firstColumn="0" w:lastColumn="0" w:oddVBand="0" w:evenVBand="0" w:oddHBand="1" w:evenHBand="0" w:firstRowFirstColumn="0" w:firstRowLastColumn="0" w:lastRowFirstColumn="0" w:lastRowLastColumn="0"/>
          <w:cantSplit/>
          <w:trHeight w:val="25"/>
        </w:trPr>
        <w:tc>
          <w:tcPr>
            <w:tcW w:w="4225" w:type="dxa"/>
          </w:tcPr>
          <w:p w14:paraId="074E013B" w14:textId="489E167B" w:rsidR="002E29E6" w:rsidRPr="00C478F4" w:rsidRDefault="00234EA3" w:rsidP="00F6336C">
            <w:pPr>
              <w:rPr>
                <w:szCs w:val="24"/>
              </w:rPr>
            </w:pPr>
            <w:r w:rsidRPr="00D8472C">
              <w:t>Dallas-Fort Worth</w:t>
            </w:r>
          </w:p>
        </w:tc>
        <w:tc>
          <w:tcPr>
            <w:tcW w:w="5130" w:type="dxa"/>
          </w:tcPr>
          <w:p w14:paraId="0A4ABFAA" w14:textId="77777777" w:rsidR="00F6336C" w:rsidRDefault="00E0509D" w:rsidP="00F6336C">
            <w:pPr>
              <w:rPr>
                <w:rFonts w:ascii="Verdana" w:eastAsia="MS Mincho" w:hAnsi="Verdana" w:cs="Times New Roman"/>
                <w:color w:val="000000"/>
                <w:kern w:val="0"/>
                <w:szCs w:val="22"/>
                <w14:ligatures w14:val="none"/>
              </w:rPr>
            </w:pPr>
            <w:r w:rsidRPr="00E0509D">
              <w:rPr>
                <w:rFonts w:ascii="Verdana" w:eastAsia="MS Mincho" w:hAnsi="Verdana" w:cs="Times New Roman"/>
                <w:color w:val="000000"/>
                <w:kern w:val="0"/>
                <w:szCs w:val="22"/>
                <w14:ligatures w14:val="none"/>
              </w:rPr>
              <w:t xml:space="preserve">Dallas - Fort Worth - Arlington; </w:t>
            </w:r>
          </w:p>
          <w:p w14:paraId="38FBAA7A" w14:textId="2BBCEFDD" w:rsidR="002E29E6" w:rsidRPr="00C478F4" w:rsidRDefault="00E0509D" w:rsidP="00F6336C">
            <w:pPr>
              <w:rPr>
                <w:rFonts w:ascii="Verdana" w:eastAsia="MS Mincho" w:hAnsi="Verdana" w:cs="Times New Roman"/>
                <w:color w:val="000000"/>
                <w:kern w:val="0"/>
                <w:szCs w:val="22"/>
                <w14:ligatures w14:val="none"/>
              </w:rPr>
            </w:pPr>
            <w:r w:rsidRPr="00E0509D">
              <w:rPr>
                <w:rFonts w:ascii="Verdana" w:eastAsia="MS Mincho" w:hAnsi="Verdana" w:cs="Times New Roman"/>
                <w:color w:val="000000"/>
                <w:kern w:val="0"/>
                <w:szCs w:val="22"/>
                <w14:ligatures w14:val="none"/>
              </w:rPr>
              <w:t>Denton - Lewisville</w:t>
            </w:r>
          </w:p>
        </w:tc>
      </w:tr>
      <w:tr w:rsidR="002E29E6" w:rsidRPr="00C478F4" w14:paraId="0BA62030" w14:textId="77777777" w:rsidTr="00665839">
        <w:trPr>
          <w:cnfStyle w:val="000000010000" w:firstRow="0" w:lastRow="0" w:firstColumn="0" w:lastColumn="0" w:oddVBand="0" w:evenVBand="0" w:oddHBand="0" w:evenHBand="1" w:firstRowFirstColumn="0" w:firstRowLastColumn="0" w:lastRowFirstColumn="0" w:lastRowLastColumn="0"/>
          <w:cantSplit/>
        </w:trPr>
        <w:tc>
          <w:tcPr>
            <w:tcW w:w="4225" w:type="dxa"/>
          </w:tcPr>
          <w:p w14:paraId="74B9A85D" w14:textId="1CE4381D" w:rsidR="002E29E6" w:rsidRPr="00C478F4" w:rsidRDefault="00403398" w:rsidP="00F6336C">
            <w:pPr>
              <w:rPr>
                <w:szCs w:val="24"/>
              </w:rPr>
            </w:pPr>
            <w:r w:rsidRPr="00403398">
              <w:t>Houston-Galveston-Brazoria</w:t>
            </w:r>
          </w:p>
        </w:tc>
        <w:tc>
          <w:tcPr>
            <w:tcW w:w="5130" w:type="dxa"/>
          </w:tcPr>
          <w:p w14:paraId="674F5FBA" w14:textId="77777777" w:rsidR="00F6336C" w:rsidRDefault="00AD0ECC" w:rsidP="00F6336C">
            <w:pPr>
              <w:rPr>
                <w:rFonts w:ascii="Verdana" w:eastAsia="MS Mincho" w:hAnsi="Verdana" w:cs="Times New Roman"/>
                <w:color w:val="000000"/>
                <w:kern w:val="0"/>
                <w:szCs w:val="22"/>
                <w14:ligatures w14:val="none"/>
              </w:rPr>
            </w:pPr>
            <w:r w:rsidRPr="00AD0ECC">
              <w:rPr>
                <w:rFonts w:ascii="Verdana" w:eastAsia="MS Mincho" w:hAnsi="Verdana" w:cs="Times New Roman"/>
                <w:color w:val="000000"/>
                <w:kern w:val="0"/>
                <w:szCs w:val="22"/>
                <w14:ligatures w14:val="none"/>
              </w:rPr>
              <w:t xml:space="preserve">Houston; </w:t>
            </w:r>
          </w:p>
          <w:p w14:paraId="03310C00" w14:textId="70A79015" w:rsidR="002E29E6" w:rsidRPr="00C478F4" w:rsidRDefault="00AD0ECC" w:rsidP="00F6336C">
            <w:pPr>
              <w:rPr>
                <w:rFonts w:ascii="Verdana" w:eastAsia="MS Mincho" w:hAnsi="Verdana" w:cs="Times New Roman"/>
                <w:color w:val="000000"/>
                <w:kern w:val="0"/>
                <w:szCs w:val="22"/>
                <w14:ligatures w14:val="none"/>
              </w:rPr>
            </w:pPr>
            <w:r w:rsidRPr="00AD0ECC">
              <w:rPr>
                <w:rFonts w:ascii="Verdana" w:eastAsia="MS Mincho" w:hAnsi="Verdana" w:cs="Times New Roman"/>
                <w:color w:val="000000"/>
                <w:kern w:val="0"/>
                <w:szCs w:val="22"/>
                <w14:ligatures w14:val="none"/>
              </w:rPr>
              <w:t>Conroe - The Woodlands</w:t>
            </w:r>
          </w:p>
        </w:tc>
      </w:tr>
      <w:tr w:rsidR="002E29E6" w:rsidRPr="00C478F4" w14:paraId="06269DB5" w14:textId="77777777" w:rsidTr="0066583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cantSplit/>
          <w:trHeight w:val="25"/>
        </w:trPr>
        <w:tc>
          <w:tcPr>
            <w:tcW w:w="4225" w:type="dxa"/>
          </w:tcPr>
          <w:p w14:paraId="7F2D9027" w14:textId="74DEC042" w:rsidR="002E29E6" w:rsidRPr="00C478F4" w:rsidRDefault="006C0864" w:rsidP="00F6336C">
            <w:pPr>
              <w:rPr>
                <w:szCs w:val="24"/>
              </w:rPr>
            </w:pPr>
            <w:r w:rsidRPr="006C0864">
              <w:t>San Antonio</w:t>
            </w:r>
          </w:p>
        </w:tc>
        <w:tc>
          <w:tcPr>
            <w:tcW w:w="5130" w:type="dxa"/>
          </w:tcPr>
          <w:p w14:paraId="28FCD290" w14:textId="0A741E3B" w:rsidR="002E29E6" w:rsidRPr="00C478F4" w:rsidRDefault="00C16BFD" w:rsidP="00F6336C">
            <w:pPr>
              <w:rPr>
                <w:rFonts w:ascii="Verdana" w:eastAsia="MS Mincho" w:hAnsi="Verdana" w:cs="Times New Roman"/>
                <w:color w:val="000000"/>
                <w:kern w:val="0"/>
                <w:szCs w:val="22"/>
                <w14:ligatures w14:val="none"/>
              </w:rPr>
            </w:pPr>
            <w:r w:rsidRPr="00C16BFD">
              <w:rPr>
                <w:rFonts w:ascii="Verdana" w:eastAsia="MS Mincho" w:hAnsi="Verdana" w:cs="Times New Roman"/>
                <w:color w:val="000000"/>
                <w:kern w:val="0"/>
                <w:szCs w:val="22"/>
                <w14:ligatures w14:val="none"/>
              </w:rPr>
              <w:t>San Antonio</w:t>
            </w:r>
          </w:p>
        </w:tc>
      </w:tr>
    </w:tbl>
    <w:p w14:paraId="1F25719B" w14:textId="20FA6545" w:rsidR="001C69A1" w:rsidRDefault="00F6336C" w:rsidP="00665839">
      <w:r w:rsidRPr="00F6336C">
        <w:rPr>
          <w:rFonts w:eastAsia="MS Mincho" w:cs="Traditional Arabic"/>
          <w:iCs/>
          <w:color w:val="000000" w:themeColor="text2"/>
          <w:kern w:val="0"/>
          <w:szCs w:val="18"/>
          <w:vertAlign w:val="superscript"/>
          <w14:ligatures w14:val="none"/>
        </w:rPr>
        <w:t>32</w:t>
      </w:r>
      <w:r w:rsidRPr="00F6336C">
        <w:rPr>
          <w:rFonts w:eastAsia="MS Mincho" w:cs="Traditional Arabic"/>
          <w:iCs/>
          <w:color w:val="000000" w:themeColor="text2"/>
          <w:kern w:val="0"/>
          <w:szCs w:val="18"/>
          <w14:ligatures w14:val="none"/>
        </w:rPr>
        <w:t>Source: 42358 Federal Register, Vol. 77, No. 138, Wednesday, July 18, 2012, Notices</w:t>
      </w:r>
      <w:r w:rsidRPr="00F6336C">
        <w:rPr>
          <w:rFonts w:eastAsia="MS Mincho" w:cs="Traditional Arabic"/>
          <w:b/>
          <w:bCs/>
          <w:iCs/>
          <w:color w:val="000000" w:themeColor="text2"/>
          <w:kern w:val="0"/>
          <w:szCs w:val="18"/>
          <w14:ligatures w14:val="none"/>
        </w:rPr>
        <w:t>.</w:t>
      </w:r>
      <w:r w:rsidR="001C69A1">
        <w:br w:type="page"/>
      </w:r>
    </w:p>
    <w:p w14:paraId="20A817EA" w14:textId="6FC4DE4C" w:rsidR="00C368D0" w:rsidRDefault="00C368D0" w:rsidP="00C368D0">
      <w:pPr>
        <w:pStyle w:val="Heading2"/>
      </w:pPr>
      <w:bookmarkStart w:id="92" w:name="_Toc237000232"/>
      <w:r>
        <w:lastRenderedPageBreak/>
        <w:t>Revision History</w:t>
      </w:r>
      <w:bookmarkEnd w:id="92"/>
    </w:p>
    <w:p w14:paraId="6522281A" w14:textId="40ABBE49" w:rsidR="001275F6" w:rsidRPr="001275F6" w:rsidRDefault="001275F6" w:rsidP="00EA372E">
      <w:pPr>
        <w:pStyle w:val="Caption"/>
      </w:pPr>
      <w:bookmarkStart w:id="93" w:name="_Toc237000238"/>
      <w:r w:rsidRPr="001275F6">
        <w:t xml:space="preserve">Table </w:t>
      </w:r>
      <w:r w:rsidR="00152945">
        <w:fldChar w:fldCharType="begin"/>
      </w:r>
      <w:r w:rsidR="00152945">
        <w:instrText xml:space="preserve"> SEQ Table \* ARABIC </w:instrText>
      </w:r>
      <w:r w:rsidR="00152945">
        <w:fldChar w:fldCharType="separate"/>
      </w:r>
      <w:r w:rsidR="00F6336C">
        <w:rPr>
          <w:noProof/>
        </w:rPr>
        <w:t>7</w:t>
      </w:r>
      <w:r w:rsidR="00152945">
        <w:fldChar w:fldCharType="end"/>
      </w:r>
      <w:r w:rsidRPr="001275F6">
        <w:t>. Document revision history</w:t>
      </w:r>
      <w:bookmarkEnd w:id="93"/>
    </w:p>
    <w:tbl>
      <w:tblPr>
        <w:tblStyle w:val="ATFTxDOTTable"/>
        <w:tblW w:w="9355" w:type="dxa"/>
        <w:tblLook w:val="0420" w:firstRow="1" w:lastRow="0" w:firstColumn="0" w:lastColumn="0" w:noHBand="0" w:noVBand="1"/>
        <w:tblCaption w:val="Document revision history"/>
        <w:tblDescription w:val="This table presents the full revision history of the document, organized from the most current to the oldest revision month, with a corresponding description of the changes made."/>
      </w:tblPr>
      <w:tblGrid>
        <w:gridCol w:w="2335"/>
        <w:gridCol w:w="7020"/>
      </w:tblGrid>
      <w:tr w:rsidR="001275F6" w:rsidRPr="00211BC0" w14:paraId="64852C3B" w14:textId="77777777" w:rsidTr="00665839">
        <w:trPr>
          <w:cnfStyle w:val="100000000000" w:firstRow="1" w:lastRow="0" w:firstColumn="0" w:lastColumn="0" w:oddVBand="0" w:evenVBand="0" w:oddHBand="0" w:evenHBand="0" w:firstRowFirstColumn="0" w:firstRowLastColumn="0" w:lastRowFirstColumn="0" w:lastRowLastColumn="0"/>
          <w:cantSplit/>
          <w:tblHeader/>
        </w:trPr>
        <w:tc>
          <w:tcPr>
            <w:tcW w:w="2335" w:type="dxa"/>
          </w:tcPr>
          <w:p w14:paraId="7D2134B1" w14:textId="2E9827BF" w:rsidR="00C368D0" w:rsidRPr="00211BC0" w:rsidRDefault="001275F6" w:rsidP="00F7219E">
            <w:pPr>
              <w:pStyle w:val="TableHeadingSingle"/>
              <w:framePr w:wrap="auto" w:vAnchor="margin" w:yAlign="inline"/>
              <w:suppressOverlap w:val="0"/>
              <w:rPr>
                <w:rFonts w:asciiTheme="minorHAnsi" w:hAnsiTheme="minorHAnsi"/>
                <w:b/>
                <w:bCs/>
                <w:szCs w:val="24"/>
              </w:rPr>
            </w:pPr>
            <w:r>
              <w:rPr>
                <w:rFonts w:asciiTheme="minorHAnsi" w:hAnsiTheme="minorHAnsi"/>
                <w:b/>
                <w:bCs/>
                <w:szCs w:val="24"/>
              </w:rPr>
              <w:t>Effective date (month year)</w:t>
            </w:r>
          </w:p>
        </w:tc>
        <w:tc>
          <w:tcPr>
            <w:tcW w:w="7020" w:type="dxa"/>
          </w:tcPr>
          <w:p w14:paraId="7DEF6867" w14:textId="50132EEB" w:rsidR="00C368D0" w:rsidRPr="00211BC0" w:rsidRDefault="001275F6" w:rsidP="00F7219E">
            <w:pPr>
              <w:pStyle w:val="TableHeadingSingle"/>
              <w:framePr w:wrap="auto" w:vAnchor="margin" w:yAlign="inline"/>
              <w:suppressOverlap w:val="0"/>
              <w:rPr>
                <w:rFonts w:asciiTheme="minorHAnsi" w:hAnsiTheme="minorHAnsi"/>
                <w:b/>
                <w:bCs/>
                <w:szCs w:val="24"/>
              </w:rPr>
            </w:pPr>
            <w:r>
              <w:rPr>
                <w:rFonts w:asciiTheme="minorHAnsi" w:hAnsiTheme="minorHAnsi"/>
                <w:b/>
                <w:bCs/>
                <w:szCs w:val="24"/>
              </w:rPr>
              <w:t>Reason for and description of change</w:t>
            </w:r>
          </w:p>
        </w:tc>
      </w:tr>
      <w:tr w:rsidR="00892E8E" w:rsidRPr="00211BC0" w14:paraId="07B5D235" w14:textId="77777777" w:rsidTr="00665839">
        <w:trPr>
          <w:cnfStyle w:val="000000100000" w:firstRow="0" w:lastRow="0" w:firstColumn="0" w:lastColumn="0" w:oddVBand="0" w:evenVBand="0" w:oddHBand="1" w:evenHBand="0" w:firstRowFirstColumn="0" w:firstRowLastColumn="0" w:lastRowFirstColumn="0" w:lastRowLastColumn="0"/>
          <w:cantSplit/>
        </w:trPr>
        <w:tc>
          <w:tcPr>
            <w:tcW w:w="2335" w:type="dxa"/>
          </w:tcPr>
          <w:p w14:paraId="09A420A0" w14:textId="777134A6" w:rsidR="00892E8E" w:rsidRPr="00211BC0" w:rsidRDefault="00892E8E" w:rsidP="00892E8E">
            <w:pPr>
              <w:pStyle w:val="TableNormalNoSpaceAfter"/>
              <w:rPr>
                <w:szCs w:val="24"/>
              </w:rPr>
            </w:pPr>
            <w:r w:rsidRPr="00982180">
              <w:t>April 2026</w:t>
            </w:r>
          </w:p>
        </w:tc>
        <w:tc>
          <w:tcPr>
            <w:tcW w:w="7020" w:type="dxa"/>
          </w:tcPr>
          <w:p w14:paraId="1069EFC8" w14:textId="4E3FDE3E" w:rsidR="006A06BA" w:rsidRDefault="006A06BA" w:rsidP="00665839">
            <w:r w:rsidRPr="00665839">
              <w:t>Version</w:t>
            </w:r>
            <w:r>
              <w:t xml:space="preserve"> </w:t>
            </w:r>
            <w:r w:rsidR="00E67DFF">
              <w:t>4</w:t>
            </w:r>
          </w:p>
          <w:p w14:paraId="4B208307" w14:textId="77777777" w:rsidR="006A06BA" w:rsidRDefault="006A06BA" w:rsidP="007D485D">
            <w:pPr>
              <w:pStyle w:val="ListBullet"/>
            </w:pPr>
            <w:r>
              <w:t>Updated to comply with accessibility and TxDOT branding standards.</w:t>
            </w:r>
          </w:p>
          <w:p w14:paraId="788454CA" w14:textId="394F864D" w:rsidR="00A2634F" w:rsidRPr="00211BC0" w:rsidRDefault="006A06BA" w:rsidP="007D485D">
            <w:pPr>
              <w:pStyle w:val="ListBullet"/>
            </w:pPr>
            <w:r>
              <w:t>Made minor grammatical edits.</w:t>
            </w:r>
          </w:p>
        </w:tc>
      </w:tr>
      <w:tr w:rsidR="00892E8E" w:rsidRPr="00211BC0" w14:paraId="08AE36A2" w14:textId="77777777" w:rsidTr="00665839">
        <w:trPr>
          <w:cnfStyle w:val="000000010000" w:firstRow="0" w:lastRow="0" w:firstColumn="0" w:lastColumn="0" w:oddVBand="0" w:evenVBand="0" w:oddHBand="0" w:evenHBand="1" w:firstRowFirstColumn="0" w:firstRowLastColumn="0" w:lastRowFirstColumn="0" w:lastRowLastColumn="0"/>
          <w:cantSplit/>
        </w:trPr>
        <w:tc>
          <w:tcPr>
            <w:tcW w:w="2335" w:type="dxa"/>
          </w:tcPr>
          <w:p w14:paraId="654DE271" w14:textId="15FB6C0D" w:rsidR="00892E8E" w:rsidRPr="00211BC0" w:rsidRDefault="00071403" w:rsidP="00892E8E">
            <w:pPr>
              <w:pStyle w:val="TableNormalNoSpaceAfter"/>
              <w:rPr>
                <w:szCs w:val="24"/>
              </w:rPr>
            </w:pPr>
            <w:r>
              <w:t>January 2023</w:t>
            </w:r>
          </w:p>
        </w:tc>
        <w:tc>
          <w:tcPr>
            <w:tcW w:w="7020" w:type="dxa"/>
          </w:tcPr>
          <w:p w14:paraId="3C58428F" w14:textId="6672AA70" w:rsidR="00071403" w:rsidRDefault="00071403" w:rsidP="00665839">
            <w:r>
              <w:t xml:space="preserve">Version </w:t>
            </w:r>
            <w:r w:rsidR="00E67DFF">
              <w:t>3</w:t>
            </w:r>
          </w:p>
          <w:p w14:paraId="77F4E2D0" w14:textId="570A04E2" w:rsidR="00892E8E" w:rsidRPr="002A2E52" w:rsidRDefault="00547E82" w:rsidP="007D485D">
            <w:pPr>
              <w:pStyle w:val="ListBullet"/>
            </w:pPr>
            <w:r>
              <w:t>The change incorporates new MSAT disclosure language based on the Updated</w:t>
            </w:r>
            <w:r w:rsidR="002F687E">
              <w:t xml:space="preserve"> </w:t>
            </w:r>
            <w:r>
              <w:t>Interim Guidance on Mobile Source Air Toxic Analysis in NEPA Documents, updated</w:t>
            </w:r>
            <w:r w:rsidR="002F687E">
              <w:t xml:space="preserve"> </w:t>
            </w:r>
            <w:r>
              <w:t xml:space="preserve">by FHWA </w:t>
            </w:r>
            <w:proofErr w:type="gramStart"/>
            <w:r>
              <w:t>on</w:t>
            </w:r>
            <w:proofErr w:type="gramEnd"/>
            <w:r>
              <w:t xml:space="preserve"> January 2023. Other editorial updates are also included</w:t>
            </w:r>
          </w:p>
        </w:tc>
      </w:tr>
      <w:tr w:rsidR="00892E8E" w:rsidRPr="00211BC0" w14:paraId="2CB0D95D" w14:textId="77777777" w:rsidTr="00665839">
        <w:trPr>
          <w:cnfStyle w:val="000000100000" w:firstRow="0" w:lastRow="0" w:firstColumn="0" w:lastColumn="0" w:oddVBand="0" w:evenVBand="0" w:oddHBand="1" w:evenHBand="0" w:firstRowFirstColumn="0" w:firstRowLastColumn="0" w:lastRowFirstColumn="0" w:lastRowLastColumn="0"/>
          <w:cantSplit/>
        </w:trPr>
        <w:tc>
          <w:tcPr>
            <w:tcW w:w="2335" w:type="dxa"/>
          </w:tcPr>
          <w:p w14:paraId="1E729C13" w14:textId="6790C13E" w:rsidR="00892E8E" w:rsidRPr="00211BC0" w:rsidRDefault="002A2E52" w:rsidP="00892E8E">
            <w:pPr>
              <w:pStyle w:val="TableNormalNoSpaceAfter"/>
              <w:rPr>
                <w:szCs w:val="24"/>
              </w:rPr>
            </w:pPr>
            <w:r>
              <w:t>August 2020</w:t>
            </w:r>
          </w:p>
        </w:tc>
        <w:tc>
          <w:tcPr>
            <w:tcW w:w="7020" w:type="dxa"/>
          </w:tcPr>
          <w:p w14:paraId="733BB275" w14:textId="77777777" w:rsidR="00892E8E" w:rsidRDefault="00892E8E" w:rsidP="00665839">
            <w:r w:rsidRPr="00982180">
              <w:t xml:space="preserve">Version </w:t>
            </w:r>
            <w:r w:rsidR="00E67DFF">
              <w:t>2</w:t>
            </w:r>
          </w:p>
          <w:p w14:paraId="2DDA59B9" w14:textId="743CD946" w:rsidR="00E67DFF" w:rsidRPr="00211BC0" w:rsidRDefault="00B448A6" w:rsidP="007D485D">
            <w:pPr>
              <w:pStyle w:val="ListBullet"/>
              <w:rPr>
                <w:szCs w:val="24"/>
              </w:rPr>
            </w:pPr>
            <w:r>
              <w:t xml:space="preserve">The change incorporates new conformity disclosure language for Jefferson, Orange, and Hardin counties based on EPA clarification that there is no </w:t>
            </w:r>
            <w:r w:rsidR="00D66AF1">
              <w:t>d</w:t>
            </w:r>
            <w:r>
              <w:t>esignation or</w:t>
            </w:r>
            <w:r w:rsidR="00D66AF1">
              <w:t xml:space="preserve"> </w:t>
            </w:r>
            <w:r>
              <w:t>classification associated to the revoked 1997 ozone standard. Other editorial updates</w:t>
            </w:r>
            <w:r w:rsidR="00D66AF1">
              <w:t xml:space="preserve"> </w:t>
            </w:r>
            <w:r>
              <w:t>are also included</w:t>
            </w:r>
            <w:r w:rsidR="00E67DFF">
              <w:t>.</w:t>
            </w:r>
          </w:p>
        </w:tc>
      </w:tr>
      <w:tr w:rsidR="00892E8E" w:rsidRPr="00211BC0" w14:paraId="3661BC18" w14:textId="77777777" w:rsidTr="00665839">
        <w:trPr>
          <w:cnfStyle w:val="000000010000" w:firstRow="0" w:lastRow="0" w:firstColumn="0" w:lastColumn="0" w:oddVBand="0" w:evenVBand="0" w:oddHBand="0" w:evenHBand="1" w:firstRowFirstColumn="0" w:firstRowLastColumn="0" w:lastRowFirstColumn="0" w:lastRowLastColumn="0"/>
          <w:cantSplit/>
        </w:trPr>
        <w:tc>
          <w:tcPr>
            <w:tcW w:w="2335" w:type="dxa"/>
          </w:tcPr>
          <w:p w14:paraId="178F7F62" w14:textId="5F005E78" w:rsidR="00892E8E" w:rsidRPr="00211BC0" w:rsidRDefault="00D66AF1" w:rsidP="00892E8E">
            <w:pPr>
              <w:pStyle w:val="TableNormalNoSpaceAfter"/>
              <w:rPr>
                <w:szCs w:val="24"/>
              </w:rPr>
            </w:pPr>
            <w:r>
              <w:lastRenderedPageBreak/>
              <w:t>August 2019</w:t>
            </w:r>
          </w:p>
        </w:tc>
        <w:tc>
          <w:tcPr>
            <w:tcW w:w="7020" w:type="dxa"/>
          </w:tcPr>
          <w:p w14:paraId="769E16F9" w14:textId="77777777" w:rsidR="00892E8E" w:rsidRDefault="000A4EA5" w:rsidP="00665839">
            <w:r>
              <w:t>Version 1</w:t>
            </w:r>
          </w:p>
          <w:p w14:paraId="771687B9" w14:textId="3CBEF355" w:rsidR="000A4EA5" w:rsidRPr="00211BC0" w:rsidRDefault="000A4EA5" w:rsidP="007D485D">
            <w:pPr>
              <w:pStyle w:val="ListBullet"/>
            </w:pPr>
            <w:r w:rsidRPr="000A4EA5">
              <w:t>Contains the applicable finding and negative declaration statements for documenting air quality compliance with applicable laws, regulations and guidance</w:t>
            </w:r>
          </w:p>
        </w:tc>
      </w:tr>
    </w:tbl>
    <w:p w14:paraId="21B32DB0" w14:textId="77777777" w:rsidR="00C776E4" w:rsidRDefault="00C776E4" w:rsidP="00340593">
      <w:pPr>
        <w:pStyle w:val="ListNumber"/>
      </w:pPr>
    </w:p>
    <w:sectPr w:rsidR="00C776E4" w:rsidSect="0005255C">
      <w:pgSz w:w="12240" w:h="15840"/>
      <w:pgMar w:top="900" w:right="1440" w:bottom="117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6F6B6" w14:textId="77777777" w:rsidR="00AD5400" w:rsidRDefault="00AD5400" w:rsidP="00E9313B">
      <w:pPr>
        <w:spacing w:after="0" w:line="240" w:lineRule="auto"/>
      </w:pPr>
      <w:r>
        <w:separator/>
      </w:r>
    </w:p>
  </w:endnote>
  <w:endnote w:type="continuationSeparator" w:id="0">
    <w:p w14:paraId="27AA024A" w14:textId="77777777" w:rsidR="00AD5400" w:rsidRDefault="00AD5400" w:rsidP="003D0A5B">
      <w:pPr>
        <w:spacing w:after="0" w:line="240" w:lineRule="auto"/>
      </w:pPr>
      <w:r>
        <w:continuationSeparator/>
      </w:r>
    </w:p>
    <w:p w14:paraId="40268C3A" w14:textId="77777777" w:rsidR="00AD5400" w:rsidRDefault="00AD5400"/>
    <w:p w14:paraId="21DE6184" w14:textId="77777777" w:rsidR="00AD5400" w:rsidRDefault="00AD5400" w:rsidP="008B0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C8D75020-8693-4939-BCF3-747BE27C522A}"/>
    <w:embedBold r:id="rId2" w:fontKey="{A234AF16-C37D-411B-9E8B-D8DB3141EC39}"/>
    <w:embedItalic r:id="rId3" w:fontKey="{481F7C8B-9F5C-4888-9691-5AB967784951}"/>
    <w:embedBoldItalic r:id="rId4" w:fontKey="{70177C62-F0AD-4338-8927-85C11FB949B4}"/>
  </w:font>
  <w:font w:name="Verdana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03C68" w14:textId="77777777" w:rsidR="008D72A6" w:rsidRPr="008D72A6" w:rsidRDefault="003B6CAE" w:rsidP="003B6CAE">
    <w:pPr>
      <w:pStyle w:val="Footer"/>
      <w:tabs>
        <w:tab w:val="clear" w:pos="4680"/>
        <w:tab w:val="left" w:pos="6622"/>
      </w:tabs>
      <w:rPr>
        <w:b/>
        <w:bCs/>
        <w:color w:val="0056A9"/>
      </w:rPr>
    </w:pPr>
    <w:r>
      <w:rPr>
        <w:b/>
        <w:bCs/>
        <w:color w:val="0056A9"/>
      </w:rPr>
      <w:tab/>
    </w:r>
    <w:r>
      <w:rPr>
        <w:b/>
        <w:bCs/>
        <w:color w:val="0056A9"/>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B82E" w14:textId="77777777" w:rsidR="00EB78FA" w:rsidRPr="00EB78FA" w:rsidRDefault="00EB78FA" w:rsidP="00EB78FA">
    <w:pPr>
      <w:pStyle w:val="Footer"/>
      <w:tabs>
        <w:tab w:val="clear" w:pos="4680"/>
      </w:tabs>
      <w:jc w:val="right"/>
      <w:rPr>
        <w:b/>
        <w:bCs/>
        <w:color w:val="0056A9"/>
      </w:rPr>
    </w:pPr>
    <w:r>
      <w:rPr>
        <w:noProof/>
      </w:rPr>
      <mc:AlternateContent>
        <mc:Choice Requires="wps">
          <w:drawing>
            <wp:anchor distT="0" distB="0" distL="114300" distR="114300" simplePos="0" relativeHeight="251658240" behindDoc="0" locked="0" layoutInCell="1" allowOverlap="1" wp14:anchorId="35A9635C" wp14:editId="3E558F66">
              <wp:simplePos x="0" y="0"/>
              <wp:positionH relativeFrom="column">
                <wp:posOffset>-18415</wp:posOffset>
              </wp:positionH>
              <wp:positionV relativeFrom="paragraph">
                <wp:posOffset>182880</wp:posOffset>
              </wp:positionV>
              <wp:extent cx="5971032" cy="0"/>
              <wp:effectExtent l="0" t="0" r="0" b="0"/>
              <wp:wrapNone/>
              <wp:docPr id="1545975072"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71032" cy="0"/>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9112081" id="_x0000_t32" coordsize="21600,21600" o:spt="32" o:oned="t" path="m,l21600,21600e" filled="f">
              <v:path arrowok="t" fillok="f" o:connecttype="none"/>
              <o:lock v:ext="edit" shapetype="t"/>
            </v:shapetype>
            <v:shape id="AutoShape 12" o:spid="_x0000_s1026" type="#_x0000_t32" alt="&quot;&quot;" style="position:absolute;margin-left:-1.45pt;margin-top:14.4pt;width:470.1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zK1gEAAJwDAAAOAAAAZHJzL2Uyb0RvYy54bWysU01vGyEQvVfqf0Dc6/2onCYrr3Ow6/aQ&#10;tpaS/gAM7C4qy6AZ7F3/+wJxnai9VFUviGFmHu89htX9PFp20kgGXMurRcmZdhKUcX3Lvz/t3t1y&#10;RkE4JSw43fKzJn6/fvtmNflG1zCAVRpZBHHUTL7lQwi+KQqSgx4FLcBrF5Md4ChCDLEvFIopoo+2&#10;qMvyppgAlUeQmiiebp+TfJ3xu07L8K3rSAdmWx65hbxiXg9pLdYr0fQo/GDkhYb4BxajMC5eeoXa&#10;iiDYEc0fUKORCARdWEgYC+g6I3XWENVU5W9qHgfhddYSzSF/tYn+H6z8etq4PSbqcnaP/gHkD2IO&#10;NoNwvc4Ens4+PlyVrComT821JQXk98gO0xdQsUYcA2QX5g5H1lnjP6fGBB6Vsjnbfr7arufAZDxc&#10;3n2oyvc1Z/JXrhBNgkiNHil80jCytGk5BRSmH8IGnIuPC/gML04PFBLBl4bU7GBnrM1vbB2bWn63&#10;rJeZD4E1KiVTGWF/2FhkJxGnZHtb7eqbrDZmXpchHJ3KYIMW6qNTLGRrXJxsntBHrTizOn6EtMuV&#10;QRj7N5WRuHUXg5OnaYCpOYA67zHpSlEcgazwMq5pxl7HuerlU61/AgAA//8DAFBLAwQUAAYACAAA&#10;ACEA+Kkgq+AAAAAIAQAADwAAAGRycy9kb3ducmV2LnhtbEyPzU7DMBCE70i8g7VI3FqH8NM2xKkq&#10;pCIkeqChKhzdeEkC8Tqy3Tbw9CziAMedGc1+k88H24kD+tA6UnAxTkAgVc60VCvYPC9HUxAhajK6&#10;c4QKPjHAvDg9yXVm3JHWeChjLbiEQqYVNDH2mZShatDqMHY9Entvzlsd+fS1NF4fudx2Mk2SG2l1&#10;S/yh0T3eNVh9lHur4Glxb7+WD6vXTbl+D9vrrX8cXiZKnZ8Ni1sQEYf4F4YffEaHgpl2bk8miE7B&#10;KJ1xUkE65QXszy4nVyB2v4Iscvl/QPENAAD//wMAUEsBAi0AFAAGAAgAAAAhALaDOJL+AAAA4QEA&#10;ABMAAAAAAAAAAAAAAAAAAAAAAFtDb250ZW50X1R5cGVzXS54bWxQSwECLQAUAAYACAAAACEAOP0h&#10;/9YAAACUAQAACwAAAAAAAAAAAAAAAAAvAQAAX3JlbHMvLnJlbHNQSwECLQAUAAYACAAAACEA89X8&#10;ytYBAACcAwAADgAAAAAAAAAAAAAAAAAuAgAAZHJzL2Uyb0RvYy54bWxQSwECLQAUAAYACAAAACEA&#10;+Kkgq+AAAAAIAQAADwAAAAAAAAAAAAAAAAAwBAAAZHJzL2Rvd25yZXYueG1sUEsFBgAAAAAEAAQA&#10;8wAAAD0FAAAAAA==&#10;" strokecolor="#d81f26"/>
          </w:pict>
        </mc:Fallback>
      </mc:AlternateContent>
    </w:r>
    <w:r>
      <w:t xml:space="preserve">Document Title | </w:t>
    </w:r>
    <w:r w:rsidRPr="002D6560">
      <w:rPr>
        <w:b/>
        <w:bCs/>
        <w:color w:val="0056A9"/>
      </w:rPr>
      <w:fldChar w:fldCharType="begin"/>
    </w:r>
    <w:r w:rsidRPr="002D6560">
      <w:rPr>
        <w:b/>
        <w:bCs/>
        <w:color w:val="0056A9"/>
      </w:rPr>
      <w:instrText xml:space="preserve"> PAGE  \* Arabic  \* MERGEFORMAT </w:instrText>
    </w:r>
    <w:r w:rsidRPr="002D6560">
      <w:rPr>
        <w:b/>
        <w:bCs/>
        <w:color w:val="0056A9"/>
      </w:rPr>
      <w:fldChar w:fldCharType="separate"/>
    </w:r>
    <w:r>
      <w:rPr>
        <w:b/>
        <w:bCs/>
        <w:color w:val="0056A9"/>
      </w:rPr>
      <w:t>7</w:t>
    </w:r>
    <w:r w:rsidRPr="002D6560">
      <w:rPr>
        <w:b/>
        <w:bCs/>
        <w:color w:val="0056A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C87D3" w14:textId="30958C34" w:rsidR="00B227C9" w:rsidRPr="008D72A6" w:rsidRDefault="00B227C9" w:rsidP="008D72A6">
    <w:pPr>
      <w:pStyle w:val="Footer"/>
      <w:tabs>
        <w:tab w:val="clear" w:pos="4680"/>
      </w:tabs>
      <w:jc w:val="right"/>
      <w:rPr>
        <w:b/>
        <w:bCs/>
        <w:color w:val="0056A9"/>
      </w:rPr>
    </w:pPr>
    <w:r>
      <w:rPr>
        <w:noProof/>
      </w:rPr>
      <mc:AlternateContent>
        <mc:Choice Requires="wps">
          <w:drawing>
            <wp:anchor distT="0" distB="0" distL="114300" distR="114300" simplePos="0" relativeHeight="251658242" behindDoc="0" locked="0" layoutInCell="1" allowOverlap="1" wp14:anchorId="736B00C3" wp14:editId="6B092855">
              <wp:simplePos x="0" y="0"/>
              <wp:positionH relativeFrom="column">
                <wp:posOffset>-18415</wp:posOffset>
              </wp:positionH>
              <wp:positionV relativeFrom="paragraph">
                <wp:posOffset>182880</wp:posOffset>
              </wp:positionV>
              <wp:extent cx="5971032" cy="0"/>
              <wp:effectExtent l="0" t="0" r="0" b="0"/>
              <wp:wrapNone/>
              <wp:docPr id="285296729"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71032" cy="0"/>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204B68BC" id="_x0000_t32" coordsize="21600,21600" o:spt="32" o:oned="t" path="m,l21600,21600e" filled="f">
              <v:path arrowok="t" fillok="f" o:connecttype="none"/>
              <o:lock v:ext="edit" shapetype="t"/>
            </v:shapetype>
            <v:shape id="AutoShape 12" o:spid="_x0000_s1026" type="#_x0000_t32" alt="&quot;&quot;" style="position:absolute;margin-left:-1.45pt;margin-top:14.4pt;width:470.15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zK1gEAAJwDAAAOAAAAZHJzL2Uyb0RvYy54bWysU01vGyEQvVfqf0Dc6/2onCYrr3Ow6/aQ&#10;tpaS/gAM7C4qy6AZ7F3/+wJxnai9VFUviGFmHu89htX9PFp20kgGXMurRcmZdhKUcX3Lvz/t3t1y&#10;RkE4JSw43fKzJn6/fvtmNflG1zCAVRpZBHHUTL7lQwi+KQqSgx4FLcBrF5Md4ChCDLEvFIopoo+2&#10;qMvyppgAlUeQmiiebp+TfJ3xu07L8K3rSAdmWx65hbxiXg9pLdYr0fQo/GDkhYb4BxajMC5eeoXa&#10;iiDYEc0fUKORCARdWEgYC+g6I3XWENVU5W9qHgfhddYSzSF/tYn+H6z8etq4PSbqcnaP/gHkD2IO&#10;NoNwvc4Ens4+PlyVrComT821JQXk98gO0xdQsUYcA2QX5g5H1lnjP6fGBB6Vsjnbfr7arufAZDxc&#10;3n2oyvc1Z/JXrhBNgkiNHil80jCytGk5BRSmH8IGnIuPC/gML04PFBLBl4bU7GBnrM1vbB2bWn63&#10;rJeZD4E1KiVTGWF/2FhkJxGnZHtb7eqbrDZmXpchHJ3KYIMW6qNTLGRrXJxsntBHrTizOn6EtMuV&#10;QRj7N5WRuHUXg5OnaYCpOYA67zHpSlEcgazwMq5pxl7HuerlU61/AgAA//8DAFBLAwQUAAYACAAA&#10;ACEA+Kkgq+AAAAAIAQAADwAAAGRycy9kb3ducmV2LnhtbEyPzU7DMBCE70i8g7VI3FqH8NM2xKkq&#10;pCIkeqChKhzdeEkC8Tqy3Tbw9CziAMedGc1+k88H24kD+tA6UnAxTkAgVc60VCvYPC9HUxAhajK6&#10;c4QKPjHAvDg9yXVm3JHWeChjLbiEQqYVNDH2mZShatDqMHY9Entvzlsd+fS1NF4fudx2Mk2SG2l1&#10;S/yh0T3eNVh9lHur4Glxb7+WD6vXTbl+D9vrrX8cXiZKnZ8Ni1sQEYf4F4YffEaHgpl2bk8miE7B&#10;KJ1xUkE65QXszy4nVyB2v4Iscvl/QPENAAD//wMAUEsBAi0AFAAGAAgAAAAhALaDOJL+AAAA4QEA&#10;ABMAAAAAAAAAAAAAAAAAAAAAAFtDb250ZW50X1R5cGVzXS54bWxQSwECLQAUAAYACAAAACEAOP0h&#10;/9YAAACUAQAACwAAAAAAAAAAAAAAAAAvAQAAX3JlbHMvLnJlbHNQSwECLQAUAAYACAAAACEA89X8&#10;ytYBAACcAwAADgAAAAAAAAAAAAAAAAAuAgAAZHJzL2Uyb0RvYy54bWxQSwECLQAUAAYACAAAACEA&#10;+Kkgq+AAAAAIAQAADwAAAAAAAAAAAAAAAAAwBAAAZHJzL2Rvd25yZXYueG1sUEsFBgAAAAAEAAQA&#10;8wAAAD0FAAAAAA==&#10;" strokecolor="#d81f26"/>
          </w:pict>
        </mc:Fallback>
      </mc:AlternateContent>
    </w:r>
    <w:r w:rsidR="001027F6">
      <w:t>Guidance: Preparing Air Quality Statements</w:t>
    </w:r>
    <w:r>
      <w:t xml:space="preserve"> | </w:t>
    </w:r>
    <w:r w:rsidR="00B531C6" w:rsidRPr="00B531C6">
      <w:rPr>
        <w:b/>
        <w:bCs/>
      </w:rPr>
      <w:fldChar w:fldCharType="begin"/>
    </w:r>
    <w:r w:rsidR="00B531C6" w:rsidRPr="00B531C6">
      <w:rPr>
        <w:b/>
        <w:bCs/>
      </w:rPr>
      <w:instrText xml:space="preserve"> PAGE   \* MERGEFORMAT </w:instrText>
    </w:r>
    <w:r w:rsidR="00B531C6" w:rsidRPr="00B531C6">
      <w:rPr>
        <w:b/>
        <w:bCs/>
      </w:rPr>
      <w:fldChar w:fldCharType="separate"/>
    </w:r>
    <w:r w:rsidR="00B531C6" w:rsidRPr="00B531C6">
      <w:rPr>
        <w:b/>
        <w:bCs/>
        <w:noProof/>
      </w:rPr>
      <w:t>1</w:t>
    </w:r>
    <w:r w:rsidR="00B531C6" w:rsidRPr="00B531C6">
      <w:rPr>
        <w:b/>
        <w:bCs/>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A56EA" w14:textId="77777777" w:rsidR="00B227C9" w:rsidRPr="00EB78FA" w:rsidRDefault="00B227C9" w:rsidP="00EB78FA">
    <w:pPr>
      <w:pStyle w:val="Footer"/>
      <w:tabs>
        <w:tab w:val="clear" w:pos="4680"/>
      </w:tabs>
      <w:jc w:val="right"/>
      <w:rPr>
        <w:b/>
        <w:bCs/>
        <w:color w:val="0056A9"/>
      </w:rPr>
    </w:pPr>
    <w:r>
      <w:rPr>
        <w:noProof/>
      </w:rPr>
      <mc:AlternateContent>
        <mc:Choice Requires="wps">
          <w:drawing>
            <wp:anchor distT="0" distB="0" distL="114300" distR="114300" simplePos="0" relativeHeight="251658241" behindDoc="0" locked="0" layoutInCell="1" allowOverlap="1" wp14:anchorId="595D2982" wp14:editId="660E37F7">
              <wp:simplePos x="0" y="0"/>
              <wp:positionH relativeFrom="column">
                <wp:posOffset>-18415</wp:posOffset>
              </wp:positionH>
              <wp:positionV relativeFrom="paragraph">
                <wp:posOffset>182880</wp:posOffset>
              </wp:positionV>
              <wp:extent cx="5971032" cy="0"/>
              <wp:effectExtent l="0" t="0" r="0" b="0"/>
              <wp:wrapNone/>
              <wp:docPr id="9971414"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71032" cy="0"/>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40F5CE2C" id="_x0000_t32" coordsize="21600,21600" o:spt="32" o:oned="t" path="m,l21600,21600e" filled="f">
              <v:path arrowok="t" fillok="f" o:connecttype="none"/>
              <o:lock v:ext="edit" shapetype="t"/>
            </v:shapetype>
            <v:shape id="AutoShape 12" o:spid="_x0000_s1026" type="#_x0000_t32" alt="&quot;&quot;" style="position:absolute;margin-left:-1.45pt;margin-top:14.4pt;width:470.15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zK1gEAAJwDAAAOAAAAZHJzL2Uyb0RvYy54bWysU01vGyEQvVfqf0Dc6/2onCYrr3Ow6/aQ&#10;tpaS/gAM7C4qy6AZ7F3/+wJxnai9VFUviGFmHu89htX9PFp20kgGXMurRcmZdhKUcX3Lvz/t3t1y&#10;RkE4JSw43fKzJn6/fvtmNflG1zCAVRpZBHHUTL7lQwi+KQqSgx4FLcBrF5Md4ChCDLEvFIopoo+2&#10;qMvyppgAlUeQmiiebp+TfJ3xu07L8K3rSAdmWx65hbxiXg9pLdYr0fQo/GDkhYb4BxajMC5eeoXa&#10;iiDYEc0fUKORCARdWEgYC+g6I3XWENVU5W9qHgfhddYSzSF/tYn+H6z8etq4PSbqcnaP/gHkD2IO&#10;NoNwvc4Ens4+PlyVrComT821JQXk98gO0xdQsUYcA2QX5g5H1lnjP6fGBB6Vsjnbfr7arufAZDxc&#10;3n2oyvc1Z/JXrhBNgkiNHil80jCytGk5BRSmH8IGnIuPC/gML04PFBLBl4bU7GBnrM1vbB2bWn63&#10;rJeZD4E1KiVTGWF/2FhkJxGnZHtb7eqbrDZmXpchHJ3KYIMW6qNTLGRrXJxsntBHrTizOn6EtMuV&#10;QRj7N5WRuHUXg5OnaYCpOYA67zHpSlEcgazwMq5pxl7HuerlU61/AgAA//8DAFBLAwQUAAYACAAA&#10;ACEA+Kkgq+AAAAAIAQAADwAAAGRycy9kb3ducmV2LnhtbEyPzU7DMBCE70i8g7VI3FqH8NM2xKkq&#10;pCIkeqChKhzdeEkC8Tqy3Tbw9CziAMedGc1+k88H24kD+tA6UnAxTkAgVc60VCvYPC9HUxAhajK6&#10;c4QKPjHAvDg9yXVm3JHWeChjLbiEQqYVNDH2mZShatDqMHY9Entvzlsd+fS1NF4fudx2Mk2SG2l1&#10;S/yh0T3eNVh9lHur4Glxb7+WD6vXTbl+D9vrrX8cXiZKnZ8Ni1sQEYf4F4YffEaHgpl2bk8miE7B&#10;KJ1xUkE65QXszy4nVyB2v4Iscvl/QPENAAD//wMAUEsBAi0AFAAGAAgAAAAhALaDOJL+AAAA4QEA&#10;ABMAAAAAAAAAAAAAAAAAAAAAAFtDb250ZW50X1R5cGVzXS54bWxQSwECLQAUAAYACAAAACEAOP0h&#10;/9YAAACUAQAACwAAAAAAAAAAAAAAAAAvAQAAX3JlbHMvLnJlbHNQSwECLQAUAAYACAAAACEA89X8&#10;ytYBAACcAwAADgAAAAAAAAAAAAAAAAAuAgAAZHJzL2Uyb0RvYy54bWxQSwECLQAUAAYACAAAACEA&#10;+Kkgq+AAAAAIAQAADwAAAAAAAAAAAAAAAAAwBAAAZHJzL2Rvd25yZXYueG1sUEsFBgAAAAAEAAQA&#10;8wAAAD0FAAAAAA==&#10;" strokecolor="#d81f26"/>
          </w:pict>
        </mc:Fallback>
      </mc:AlternateContent>
    </w:r>
    <w:r>
      <w:t xml:space="preserve">Document Title | </w:t>
    </w:r>
    <w:r w:rsidRPr="002D6560">
      <w:rPr>
        <w:b/>
        <w:bCs/>
        <w:color w:val="0056A9"/>
      </w:rPr>
      <w:fldChar w:fldCharType="begin"/>
    </w:r>
    <w:r w:rsidRPr="002D6560">
      <w:rPr>
        <w:b/>
        <w:bCs/>
        <w:color w:val="0056A9"/>
      </w:rPr>
      <w:instrText xml:space="preserve"> PAGE  \* Arabic  \* MERGEFORMAT </w:instrText>
    </w:r>
    <w:r w:rsidRPr="002D6560">
      <w:rPr>
        <w:b/>
        <w:bCs/>
        <w:color w:val="0056A9"/>
      </w:rPr>
      <w:fldChar w:fldCharType="separate"/>
    </w:r>
    <w:r>
      <w:rPr>
        <w:b/>
        <w:bCs/>
        <w:color w:val="0056A9"/>
      </w:rPr>
      <w:t>6</w:t>
    </w:r>
    <w:r w:rsidRPr="002D6560">
      <w:rPr>
        <w:b/>
        <w:bCs/>
        <w:color w:val="0056A9"/>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3CF3" w14:textId="77777777" w:rsidR="00B531C6" w:rsidRPr="008D72A6" w:rsidRDefault="00B531C6" w:rsidP="008D72A6">
    <w:pPr>
      <w:pStyle w:val="Footer"/>
      <w:tabs>
        <w:tab w:val="clear" w:pos="4680"/>
      </w:tabs>
      <w:jc w:val="right"/>
      <w:rPr>
        <w:b/>
        <w:bCs/>
        <w:color w:val="0056A9"/>
      </w:rPr>
    </w:pPr>
    <w:r>
      <w:rPr>
        <w:noProof/>
      </w:rPr>
      <mc:AlternateContent>
        <mc:Choice Requires="wps">
          <w:drawing>
            <wp:anchor distT="0" distB="0" distL="114300" distR="114300" simplePos="0" relativeHeight="251660290" behindDoc="0" locked="0" layoutInCell="1" allowOverlap="1" wp14:anchorId="44692DB7" wp14:editId="120B8D7D">
              <wp:simplePos x="0" y="0"/>
              <wp:positionH relativeFrom="column">
                <wp:posOffset>-18415</wp:posOffset>
              </wp:positionH>
              <wp:positionV relativeFrom="paragraph">
                <wp:posOffset>182880</wp:posOffset>
              </wp:positionV>
              <wp:extent cx="5971032" cy="0"/>
              <wp:effectExtent l="0" t="0" r="0" b="0"/>
              <wp:wrapNone/>
              <wp:docPr id="1340385850"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71032" cy="0"/>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012C76" id="_x0000_t32" coordsize="21600,21600" o:spt="32" o:oned="t" path="m,l21600,21600e" filled="f">
              <v:path arrowok="t" fillok="f" o:connecttype="none"/>
              <o:lock v:ext="edit" shapetype="t"/>
            </v:shapetype>
            <v:shape id="AutoShape 12" o:spid="_x0000_s1026" type="#_x0000_t32" alt="&quot;&quot;" style="position:absolute;margin-left:-1.45pt;margin-top:14.4pt;width:470.15pt;height:0;flip:x;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zK1gEAAJwDAAAOAAAAZHJzL2Uyb0RvYy54bWysU01vGyEQvVfqf0Dc6/2onCYrr3Ow6/aQ&#10;tpaS/gAM7C4qy6AZ7F3/+wJxnai9VFUviGFmHu89htX9PFp20kgGXMurRcmZdhKUcX3Lvz/t3t1y&#10;RkE4JSw43fKzJn6/fvtmNflG1zCAVRpZBHHUTL7lQwi+KQqSgx4FLcBrF5Md4ChCDLEvFIopoo+2&#10;qMvyppgAlUeQmiiebp+TfJ3xu07L8K3rSAdmWx65hbxiXg9pLdYr0fQo/GDkhYb4BxajMC5eeoXa&#10;iiDYEc0fUKORCARdWEgYC+g6I3XWENVU5W9qHgfhddYSzSF/tYn+H6z8etq4PSbqcnaP/gHkD2IO&#10;NoNwvc4Ens4+PlyVrComT821JQXk98gO0xdQsUYcA2QX5g5H1lnjP6fGBB6Vsjnbfr7arufAZDxc&#10;3n2oyvc1Z/JXrhBNgkiNHil80jCytGk5BRSmH8IGnIuPC/gML04PFBLBl4bU7GBnrM1vbB2bWn63&#10;rJeZD4E1KiVTGWF/2FhkJxGnZHtb7eqbrDZmXpchHJ3KYIMW6qNTLGRrXJxsntBHrTizOn6EtMuV&#10;QRj7N5WRuHUXg5OnaYCpOYA67zHpSlEcgazwMq5pxl7HuerlU61/AgAA//8DAFBLAwQUAAYACAAA&#10;ACEA+Kkgq+AAAAAIAQAADwAAAGRycy9kb3ducmV2LnhtbEyPzU7DMBCE70i8g7VI3FqH8NM2xKkq&#10;pCIkeqChKhzdeEkC8Tqy3Tbw9CziAMedGc1+k88H24kD+tA6UnAxTkAgVc60VCvYPC9HUxAhajK6&#10;c4QKPjHAvDg9yXVm3JHWeChjLbiEQqYVNDH2mZShatDqMHY9Entvzlsd+fS1NF4fudx2Mk2SG2l1&#10;S/yh0T3eNVh9lHur4Glxb7+WD6vXTbl+D9vrrX8cXiZKnZ8Ni1sQEYf4F4YffEaHgpl2bk8miE7B&#10;KJ1xUkE65QXszy4nVyB2v4Iscvl/QPENAAD//wMAUEsBAi0AFAAGAAgAAAAhALaDOJL+AAAA4QEA&#10;ABMAAAAAAAAAAAAAAAAAAAAAAFtDb250ZW50X1R5cGVzXS54bWxQSwECLQAUAAYACAAAACEAOP0h&#10;/9YAAACUAQAACwAAAAAAAAAAAAAAAAAvAQAAX3JlbHMvLnJlbHNQSwECLQAUAAYACAAAACEA89X8&#10;ytYBAACcAwAADgAAAAAAAAAAAAAAAAAuAgAAZHJzL2Uyb0RvYy54bWxQSwECLQAUAAYACAAAACEA&#10;+Kkgq+AAAAAIAQAADwAAAAAAAAAAAAAAAAAwBAAAZHJzL2Rvd25yZXYueG1sUEsFBgAAAAAEAAQA&#10;8wAAAD0FAAAAAA==&#10;" strokecolor="#d81f26"/>
          </w:pict>
        </mc:Fallback>
      </mc:AlternateContent>
    </w:r>
    <w:r>
      <w:t xml:space="preserve">Guidance: Preparing Air Quality Statements | </w:t>
    </w:r>
    <w:r w:rsidRPr="00B531C6">
      <w:rPr>
        <w:b/>
        <w:bCs/>
      </w:rPr>
      <w:fldChar w:fldCharType="begin"/>
    </w:r>
    <w:r w:rsidRPr="00B531C6">
      <w:rPr>
        <w:b/>
        <w:bCs/>
      </w:rPr>
      <w:instrText xml:space="preserve"> PAGE   \* MERGEFORMAT </w:instrText>
    </w:r>
    <w:r w:rsidRPr="00B531C6">
      <w:rPr>
        <w:b/>
        <w:bCs/>
      </w:rPr>
      <w:fldChar w:fldCharType="separate"/>
    </w:r>
    <w:r w:rsidRPr="00B531C6">
      <w:rPr>
        <w:b/>
        <w:bCs/>
        <w:noProof/>
      </w:rPr>
      <w:t>1</w:t>
    </w:r>
    <w:r w:rsidRPr="00B531C6">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26A92" w14:textId="77777777" w:rsidR="00AD5400" w:rsidRDefault="00AD5400" w:rsidP="00E9313B">
      <w:pPr>
        <w:spacing w:after="0" w:line="240" w:lineRule="auto"/>
      </w:pPr>
      <w:r>
        <w:separator/>
      </w:r>
    </w:p>
  </w:footnote>
  <w:footnote w:type="continuationSeparator" w:id="0">
    <w:p w14:paraId="1EEFF2E6" w14:textId="77777777" w:rsidR="00AD5400" w:rsidRDefault="00AD5400" w:rsidP="003D0A5B">
      <w:pPr>
        <w:spacing w:after="0" w:line="240" w:lineRule="auto"/>
      </w:pPr>
      <w:r>
        <w:continuationSeparator/>
      </w:r>
    </w:p>
    <w:p w14:paraId="76462776" w14:textId="77777777" w:rsidR="00AD5400" w:rsidRDefault="00AD5400"/>
    <w:p w14:paraId="7C64C5C3" w14:textId="77777777" w:rsidR="00AD5400" w:rsidRDefault="00AD5400" w:rsidP="008B0E37"/>
  </w:footnote>
  <w:footnote w:id="1">
    <w:p w14:paraId="23C5B50F" w14:textId="77777777" w:rsidR="00F42742" w:rsidRPr="003D344D" w:rsidRDefault="00F42742" w:rsidP="00F42742">
      <w:pPr>
        <w:pStyle w:val="FootnoteText"/>
        <w:spacing w:line="360" w:lineRule="auto"/>
        <w:rPr>
          <w:sz w:val="24"/>
          <w:szCs w:val="24"/>
        </w:rPr>
      </w:pPr>
      <w:r w:rsidRPr="003D344D">
        <w:rPr>
          <w:rStyle w:val="FootnoteReference"/>
          <w:sz w:val="24"/>
          <w:szCs w:val="24"/>
        </w:rPr>
        <w:footnoteRef/>
      </w:r>
      <w:r w:rsidRPr="003D344D">
        <w:rPr>
          <w:sz w:val="24"/>
          <w:szCs w:val="24"/>
        </w:rPr>
        <w:t xml:space="preserve"> Federal leads may include, but are not limited to, the Surface Transportation Board or the Federal Railroad Administration.</w:t>
      </w:r>
    </w:p>
  </w:footnote>
  <w:footnote w:id="2">
    <w:p w14:paraId="72BFBB44" w14:textId="77777777" w:rsidR="00F42742" w:rsidRPr="003D344D" w:rsidRDefault="00F42742" w:rsidP="00F42742">
      <w:pPr>
        <w:pStyle w:val="FootnoteText"/>
        <w:spacing w:line="360" w:lineRule="auto"/>
        <w:rPr>
          <w:sz w:val="24"/>
          <w:szCs w:val="24"/>
        </w:rPr>
      </w:pPr>
      <w:r w:rsidRPr="003D344D">
        <w:rPr>
          <w:rStyle w:val="FootnoteReference"/>
          <w:sz w:val="24"/>
          <w:szCs w:val="24"/>
        </w:rPr>
        <w:footnoteRef/>
      </w:r>
      <w:r w:rsidRPr="003D344D">
        <w:rPr>
          <w:sz w:val="24"/>
          <w:szCs w:val="24"/>
        </w:rPr>
        <w:t xml:space="preserve"> The project’s conformity report will be helpful in making this consistency determination.</w:t>
      </w:r>
    </w:p>
  </w:footnote>
  <w:footnote w:id="3">
    <w:p w14:paraId="40801019" w14:textId="77777777" w:rsidR="00F42742" w:rsidRDefault="00F42742" w:rsidP="00F42742">
      <w:pPr>
        <w:pStyle w:val="FootnoteText"/>
        <w:spacing w:line="360" w:lineRule="auto"/>
      </w:pPr>
      <w:r w:rsidRPr="00031756">
        <w:rPr>
          <w:rStyle w:val="FootnoteReference"/>
          <w:sz w:val="24"/>
          <w:szCs w:val="24"/>
        </w:rPr>
        <w:footnoteRef/>
      </w:r>
      <w:r w:rsidRPr="00031756">
        <w:rPr>
          <w:sz w:val="24"/>
          <w:szCs w:val="24"/>
        </w:rPr>
        <w:t xml:space="preserve"> The project’s conformity report or Consultation Partner meeting minutes will be helpful in identifying the Consultation Partner’s decision for this project.</w:t>
      </w:r>
    </w:p>
  </w:footnote>
  <w:footnote w:id="4">
    <w:p w14:paraId="0BF6543F" w14:textId="77777777" w:rsidR="00F42742" w:rsidRPr="00012C6E" w:rsidRDefault="00F42742" w:rsidP="00F42742">
      <w:pPr>
        <w:pStyle w:val="FootnoteText"/>
        <w:spacing w:after="120" w:line="360" w:lineRule="auto"/>
        <w:rPr>
          <w:sz w:val="24"/>
          <w:szCs w:val="24"/>
        </w:rPr>
      </w:pPr>
      <w:r w:rsidRPr="00012C6E">
        <w:rPr>
          <w:rStyle w:val="FootnoteReference"/>
          <w:sz w:val="24"/>
          <w:szCs w:val="24"/>
        </w:rPr>
        <w:footnoteRef/>
      </w:r>
      <w:r w:rsidRPr="00012C6E">
        <w:rPr>
          <w:sz w:val="24"/>
          <w:szCs w:val="24"/>
        </w:rPr>
        <w:t xml:space="preserve"> Note that if a CO hot-spot analysis is required for a project, then a CO TAQA would not be necessary since a hot- spot analysis would look at potential CO impacts in significantly more detail.</w:t>
      </w:r>
    </w:p>
  </w:footnote>
  <w:footnote w:id="5">
    <w:p w14:paraId="040A9B1B" w14:textId="77777777" w:rsidR="00F42742" w:rsidRPr="00012C6E" w:rsidRDefault="00F42742" w:rsidP="00F42742">
      <w:pPr>
        <w:pStyle w:val="FootnoteText"/>
        <w:spacing w:after="120" w:line="360" w:lineRule="auto"/>
        <w:rPr>
          <w:sz w:val="24"/>
          <w:szCs w:val="24"/>
        </w:rPr>
      </w:pPr>
      <w:r w:rsidRPr="00012C6E">
        <w:rPr>
          <w:rStyle w:val="FootnoteReference"/>
          <w:sz w:val="24"/>
          <w:szCs w:val="24"/>
        </w:rPr>
        <w:footnoteRef/>
      </w:r>
      <w:r w:rsidRPr="00012C6E">
        <w:rPr>
          <w:sz w:val="24"/>
          <w:szCs w:val="24"/>
        </w:rPr>
        <w:t xml:space="preserve"> Added capacity projects typically include but are not limited to new location roadways, adding main lanes, adding through lanes (high occupancy vehicle lanes, managed lanes, tolled lanes, collector-distributor lanes and frontage roads). Adding auxiliary lanes </w:t>
      </w:r>
      <w:r>
        <w:rPr>
          <w:sz w:val="24"/>
          <w:szCs w:val="24"/>
        </w:rPr>
        <w:t>greater than</w:t>
      </w:r>
      <w:r w:rsidRPr="00012C6E">
        <w:rPr>
          <w:sz w:val="24"/>
          <w:szCs w:val="24"/>
        </w:rPr>
        <w:t xml:space="preserve"> 1</w:t>
      </w:r>
      <w:r>
        <w:rPr>
          <w:sz w:val="24"/>
          <w:szCs w:val="24"/>
        </w:rPr>
        <w:t xml:space="preserve"> </w:t>
      </w:r>
      <w:r w:rsidRPr="00012C6E">
        <w:rPr>
          <w:sz w:val="24"/>
          <w:szCs w:val="24"/>
        </w:rPr>
        <w:t>mi</w:t>
      </w:r>
      <w:r>
        <w:rPr>
          <w:sz w:val="24"/>
          <w:szCs w:val="24"/>
        </w:rPr>
        <w:t>le,</w:t>
      </w:r>
      <w:r w:rsidRPr="00012C6E">
        <w:rPr>
          <w:sz w:val="24"/>
          <w:szCs w:val="24"/>
        </w:rPr>
        <w:t xml:space="preserve"> require a case-by-case decision, except that continuous center turn lanes are not added capacity.</w:t>
      </w:r>
    </w:p>
  </w:footnote>
  <w:footnote w:id="6">
    <w:p w14:paraId="25ED0059" w14:textId="77777777" w:rsidR="00F42742" w:rsidRPr="00012C6E" w:rsidRDefault="00F42742" w:rsidP="00F42742">
      <w:pPr>
        <w:pStyle w:val="FootnoteText"/>
        <w:spacing w:after="120" w:line="360" w:lineRule="auto"/>
        <w:rPr>
          <w:sz w:val="24"/>
          <w:szCs w:val="24"/>
        </w:rPr>
      </w:pPr>
      <w:r w:rsidRPr="00012C6E">
        <w:rPr>
          <w:rStyle w:val="FootnoteReference"/>
          <w:sz w:val="24"/>
          <w:szCs w:val="24"/>
        </w:rPr>
        <w:footnoteRef/>
      </w:r>
      <w:r w:rsidRPr="00012C6E">
        <w:rPr>
          <w:sz w:val="24"/>
          <w:szCs w:val="24"/>
        </w:rPr>
        <w:t xml:space="preserve"> Please note that the traffic data either needs to come from the TxDOT </w:t>
      </w:r>
      <w:r>
        <w:rPr>
          <w:sz w:val="24"/>
          <w:szCs w:val="24"/>
        </w:rPr>
        <w:t>Transportation Planning and Programming (</w:t>
      </w:r>
      <w:r w:rsidRPr="00012C6E">
        <w:rPr>
          <w:sz w:val="24"/>
          <w:szCs w:val="24"/>
        </w:rPr>
        <w:t>TPP</w:t>
      </w:r>
      <w:r>
        <w:rPr>
          <w:sz w:val="24"/>
          <w:szCs w:val="24"/>
        </w:rPr>
        <w:t>)</w:t>
      </w:r>
      <w:r w:rsidRPr="00012C6E">
        <w:rPr>
          <w:sz w:val="24"/>
          <w:szCs w:val="24"/>
        </w:rPr>
        <w:t xml:space="preserve"> Division or otherwise be found to be reasonable by the TxDOT TPP Division</w:t>
      </w:r>
    </w:p>
  </w:footnote>
  <w:footnote w:id="7">
    <w:p w14:paraId="10333040" w14:textId="77777777" w:rsidR="00F42742" w:rsidRPr="00012C6E" w:rsidRDefault="00F42742" w:rsidP="00F42742">
      <w:pPr>
        <w:pStyle w:val="FootnoteText"/>
        <w:spacing w:after="120" w:line="360" w:lineRule="auto"/>
        <w:rPr>
          <w:sz w:val="24"/>
          <w:szCs w:val="24"/>
        </w:rPr>
      </w:pPr>
      <w:r w:rsidRPr="00012C6E">
        <w:rPr>
          <w:rStyle w:val="FootnoteReference"/>
          <w:sz w:val="24"/>
          <w:szCs w:val="24"/>
        </w:rPr>
        <w:footnoteRef/>
      </w:r>
      <w:r w:rsidRPr="00012C6E">
        <w:rPr>
          <w:sz w:val="24"/>
          <w:szCs w:val="24"/>
        </w:rPr>
        <w:t xml:space="preserve"> The AADT shall be for the entire cross-section of the roadway, including main lanes and frontage roads.</w:t>
      </w:r>
    </w:p>
  </w:footnote>
  <w:footnote w:id="8">
    <w:p w14:paraId="16CEB988" w14:textId="77777777" w:rsidR="00F42742" w:rsidRPr="003C40FB" w:rsidRDefault="00F42742" w:rsidP="00F42742">
      <w:pPr>
        <w:pStyle w:val="FootnoteText"/>
        <w:spacing w:after="120" w:line="360" w:lineRule="auto"/>
        <w:rPr>
          <w:sz w:val="24"/>
          <w:szCs w:val="24"/>
        </w:rPr>
      </w:pPr>
      <w:r w:rsidRPr="003C40FB">
        <w:rPr>
          <w:rStyle w:val="FootnoteReference"/>
          <w:sz w:val="24"/>
          <w:szCs w:val="24"/>
        </w:rPr>
        <w:footnoteRef/>
      </w:r>
      <w:r w:rsidRPr="003C40FB">
        <w:rPr>
          <w:sz w:val="24"/>
          <w:szCs w:val="24"/>
        </w:rPr>
        <w:t xml:space="preserve"> Widening projects are defined as those projects that are adding capacity to an existing roadway.</w:t>
      </w:r>
    </w:p>
  </w:footnote>
  <w:footnote w:id="9">
    <w:p w14:paraId="13B04550" w14:textId="77777777" w:rsidR="00F42742" w:rsidRPr="003C40FB" w:rsidRDefault="00F42742" w:rsidP="00F42742">
      <w:pPr>
        <w:pStyle w:val="FootnoteText"/>
        <w:spacing w:after="120" w:line="360" w:lineRule="auto"/>
        <w:rPr>
          <w:sz w:val="24"/>
          <w:szCs w:val="24"/>
        </w:rPr>
      </w:pPr>
      <w:r w:rsidRPr="003C40FB">
        <w:rPr>
          <w:rStyle w:val="FootnoteReference"/>
          <w:sz w:val="24"/>
          <w:szCs w:val="24"/>
        </w:rPr>
        <w:footnoteRef/>
      </w:r>
      <w:r w:rsidRPr="003C40FB">
        <w:rPr>
          <w:sz w:val="24"/>
          <w:szCs w:val="24"/>
        </w:rPr>
        <w:t xml:space="preserve"> This is oriented toward projects where a new roadway segment connects to an existing limited access highway. The purpose of the roadway is primarily to meet regional travel needs, </w:t>
      </w:r>
      <w:r>
        <w:rPr>
          <w:sz w:val="24"/>
          <w:szCs w:val="24"/>
        </w:rPr>
        <w:t xml:space="preserve">for example, </w:t>
      </w:r>
      <w:r w:rsidRPr="003C40FB">
        <w:rPr>
          <w:sz w:val="24"/>
          <w:szCs w:val="24"/>
        </w:rPr>
        <w:t>by providing a more direct route between locations.</w:t>
      </w:r>
    </w:p>
  </w:footnote>
  <w:footnote w:id="10">
    <w:p w14:paraId="6C5FDCA9" w14:textId="77777777" w:rsidR="00F42742" w:rsidRPr="003C40FB" w:rsidRDefault="00F42742" w:rsidP="00F42742">
      <w:pPr>
        <w:pStyle w:val="FootnoteText"/>
        <w:spacing w:after="120" w:line="360" w:lineRule="auto"/>
        <w:rPr>
          <w:sz w:val="24"/>
          <w:szCs w:val="24"/>
        </w:rPr>
      </w:pPr>
      <w:r w:rsidRPr="003C40FB">
        <w:rPr>
          <w:rStyle w:val="FootnoteReference"/>
          <w:sz w:val="24"/>
          <w:szCs w:val="24"/>
        </w:rPr>
        <w:footnoteRef/>
      </w:r>
      <w:r w:rsidRPr="003C40FB">
        <w:rPr>
          <w:sz w:val="24"/>
          <w:szCs w:val="24"/>
        </w:rPr>
        <w:t xml:space="preserve"> This scenario is oriented toward interchange projects developed in response to or in anticipation of economic development, </w:t>
      </w:r>
      <w:r>
        <w:rPr>
          <w:sz w:val="24"/>
          <w:szCs w:val="24"/>
        </w:rPr>
        <w:t>for example</w:t>
      </w:r>
      <w:r w:rsidRPr="003C40FB">
        <w:rPr>
          <w:sz w:val="24"/>
          <w:szCs w:val="24"/>
        </w:rPr>
        <w:t>, a new interchange to serve a new shopping</w:t>
      </w:r>
      <w:r>
        <w:rPr>
          <w:sz w:val="24"/>
          <w:szCs w:val="24"/>
        </w:rPr>
        <w:t xml:space="preserve"> or </w:t>
      </w:r>
      <w:r w:rsidRPr="003C40FB">
        <w:rPr>
          <w:sz w:val="24"/>
          <w:szCs w:val="24"/>
        </w:rPr>
        <w:t>residential development.</w:t>
      </w:r>
    </w:p>
  </w:footnote>
  <w:footnote w:id="11">
    <w:p w14:paraId="34A12DFD" w14:textId="77777777" w:rsidR="00F42742" w:rsidRPr="003C40FB" w:rsidRDefault="00F42742" w:rsidP="00F42742">
      <w:pPr>
        <w:pStyle w:val="FootnoteText"/>
        <w:spacing w:after="120" w:line="360" w:lineRule="auto"/>
        <w:rPr>
          <w:sz w:val="24"/>
          <w:szCs w:val="24"/>
        </w:rPr>
      </w:pPr>
      <w:r w:rsidRPr="003C40FB">
        <w:rPr>
          <w:rStyle w:val="FootnoteReference"/>
          <w:sz w:val="24"/>
          <w:szCs w:val="24"/>
        </w:rPr>
        <w:footnoteRef/>
      </w:r>
      <w:r w:rsidRPr="003C40FB">
        <w:rPr>
          <w:sz w:val="24"/>
          <w:szCs w:val="24"/>
        </w:rPr>
        <w:t xml:space="preserve"> The description for these types of projects depends on the nature of the project. The key factor from an MSAT standpoint is the change in truck and rail activity and the resulting change in MSAT emissions patterns.</w:t>
      </w:r>
    </w:p>
  </w:footnote>
  <w:footnote w:id="12">
    <w:p w14:paraId="266E20A6" w14:textId="77777777" w:rsidR="00F42742" w:rsidRPr="003C40FB" w:rsidRDefault="00F42742" w:rsidP="00F42742">
      <w:pPr>
        <w:pStyle w:val="FootnoteText"/>
        <w:spacing w:after="120" w:line="360" w:lineRule="auto"/>
        <w:rPr>
          <w:sz w:val="24"/>
          <w:szCs w:val="24"/>
        </w:rPr>
      </w:pPr>
      <w:r w:rsidRPr="003C40FB">
        <w:rPr>
          <w:rStyle w:val="FootnoteReference"/>
          <w:sz w:val="24"/>
          <w:szCs w:val="24"/>
        </w:rPr>
        <w:footnoteRef/>
      </w:r>
      <w:r w:rsidRPr="003C40FB">
        <w:rPr>
          <w:sz w:val="24"/>
          <w:szCs w:val="24"/>
        </w:rPr>
        <w:t xml:space="preserve"> Because each project is different, and some projects contain elements covered in more than one of these examples, the statements are a starting point only for the final project specific statement.</w:t>
      </w:r>
    </w:p>
  </w:footnote>
  <w:footnote w:id="13">
    <w:p w14:paraId="69E73CB2" w14:textId="77777777" w:rsidR="00F42742" w:rsidRDefault="00F42742" w:rsidP="00F42742">
      <w:pPr>
        <w:pStyle w:val="FootnoteText"/>
        <w:spacing w:line="360" w:lineRule="auto"/>
      </w:pPr>
      <w:r w:rsidRPr="003C40FB">
        <w:rPr>
          <w:rStyle w:val="FootnoteReference"/>
          <w:sz w:val="24"/>
          <w:szCs w:val="24"/>
        </w:rPr>
        <w:footnoteRef/>
      </w:r>
      <w:r w:rsidRPr="003C40FB">
        <w:rPr>
          <w:sz w:val="24"/>
          <w:szCs w:val="24"/>
        </w:rPr>
        <w:t xml:space="preserve"> This should be a combined conclusion for the both the qualitative and quantitative MSAT analyses</w:t>
      </w:r>
      <w:r>
        <w:rPr>
          <w:sz w:val="24"/>
          <w:szCs w:val="24"/>
        </w:rPr>
        <w:t>.</w:t>
      </w:r>
    </w:p>
  </w:footnote>
  <w:footnote w:id="14">
    <w:p w14:paraId="7877A398" w14:textId="77777777" w:rsidR="00B23894" w:rsidRPr="00637920" w:rsidRDefault="00B23894" w:rsidP="00B23894">
      <w:r w:rsidRPr="00637920">
        <w:rPr>
          <w:rStyle w:val="FootnoteReference"/>
        </w:rPr>
        <w:footnoteRef/>
      </w:r>
      <w:r w:rsidRPr="00637920">
        <w:t xml:space="preserve"> If the projects </w:t>
      </w:r>
      <w:proofErr w:type="gramStart"/>
      <w:r w:rsidRPr="00637920">
        <w:t>is</w:t>
      </w:r>
      <w:proofErr w:type="gramEnd"/>
      <w:r w:rsidRPr="00637920">
        <w:t xml:space="preserve"> in both the 2008 and 2015 ozone nonattainment area, include both designations (</w:t>
      </w:r>
      <w:r>
        <w:t>for example</w:t>
      </w:r>
      <w:r w:rsidRPr="00637920">
        <w:t xml:space="preserve">, </w:t>
      </w:r>
      <w:proofErr w:type="gramStart"/>
      <w:r w:rsidRPr="00637920">
        <w:t>This</w:t>
      </w:r>
      <w:proofErr w:type="gramEnd"/>
      <w:r w:rsidRPr="00637920">
        <w:t xml:space="preserve"> project is located within an area that has been designated by EPA as a moderate and marginal nonattainment area for the 2008 and 2015 ozone NAAQS, respectively; therefore, transportation conformity rules apply.)</w:t>
      </w:r>
    </w:p>
    <w:p w14:paraId="20CC03E5" w14:textId="77777777" w:rsidR="00B23894" w:rsidRPr="00CA4F81" w:rsidRDefault="00B23894" w:rsidP="00B23894">
      <w:pPr>
        <w:pStyle w:val="FootnoteText"/>
      </w:pPr>
    </w:p>
  </w:footnote>
  <w:footnote w:id="15">
    <w:p w14:paraId="4DBE1D77" w14:textId="6674C45F" w:rsidR="00B23894" w:rsidRDefault="00B23894" w:rsidP="00B23894">
      <w:pPr>
        <w:pStyle w:val="FootnoteText"/>
        <w:spacing w:line="360" w:lineRule="auto"/>
      </w:pPr>
    </w:p>
  </w:footnote>
  <w:footnote w:id="16">
    <w:p w14:paraId="117D3DB1" w14:textId="1758897F" w:rsidR="00B23894" w:rsidRDefault="00B23894" w:rsidP="00B23894">
      <w:pPr>
        <w:pStyle w:val="FootnoteText"/>
        <w:spacing w:line="360" w:lineRule="auto"/>
      </w:pPr>
    </w:p>
  </w:footnote>
  <w:footnote w:id="17">
    <w:p w14:paraId="0CB47284" w14:textId="0B353515" w:rsidR="00B23894" w:rsidRDefault="00B23894" w:rsidP="00B23894">
      <w:pPr>
        <w:pStyle w:val="FootnoteText"/>
        <w:spacing w:after="240" w:line="360" w:lineRule="auto"/>
      </w:pPr>
    </w:p>
  </w:footnote>
  <w:footnote w:id="18">
    <w:p w14:paraId="0199E2CF" w14:textId="77777777" w:rsidR="00B23894" w:rsidRPr="008E44B9" w:rsidRDefault="00B23894" w:rsidP="00B23894">
      <w:pPr>
        <w:pStyle w:val="FootnoteText"/>
        <w:spacing w:after="240" w:line="360" w:lineRule="auto"/>
        <w:contextualSpacing/>
        <w:rPr>
          <w:sz w:val="24"/>
          <w:szCs w:val="24"/>
        </w:rPr>
      </w:pPr>
      <w:r w:rsidRPr="008E44B9">
        <w:rPr>
          <w:rStyle w:val="FootnoteReference"/>
          <w:sz w:val="24"/>
          <w:szCs w:val="24"/>
        </w:rPr>
        <w:footnoteRef/>
      </w:r>
      <w:r w:rsidRPr="008E44B9">
        <w:rPr>
          <w:sz w:val="24"/>
          <w:szCs w:val="24"/>
        </w:rPr>
        <w:t xml:space="preserve"> </w:t>
      </w:r>
      <w:hyperlink r:id="rId1" w:history="1">
        <w:r w:rsidRPr="008E44B9">
          <w:rPr>
            <w:rStyle w:val="Hyperlink"/>
            <w:sz w:val="24"/>
            <w:szCs w:val="24"/>
          </w:rPr>
          <w:t>Updated Interim Guidance on Mobile Source Air Toxic Analysis in NEPA Documents</w:t>
        </w:r>
      </w:hyperlink>
      <w:r w:rsidRPr="008E44B9">
        <w:rPr>
          <w:sz w:val="24"/>
          <w:szCs w:val="24"/>
        </w:rPr>
        <w:t>.</w:t>
      </w:r>
    </w:p>
  </w:footnote>
  <w:footnote w:id="19">
    <w:p w14:paraId="079EE32A" w14:textId="77777777" w:rsidR="00B23894" w:rsidRPr="00B317BD" w:rsidRDefault="00B23894" w:rsidP="00B23894">
      <w:pPr>
        <w:pStyle w:val="FootnoteText"/>
        <w:spacing w:line="360" w:lineRule="auto"/>
        <w:contextualSpacing/>
        <w:rPr>
          <w:sz w:val="24"/>
          <w:szCs w:val="24"/>
        </w:rPr>
      </w:pPr>
      <w:r w:rsidRPr="00B317BD">
        <w:rPr>
          <w:rStyle w:val="FootnoteReference"/>
          <w:sz w:val="24"/>
          <w:szCs w:val="24"/>
        </w:rPr>
        <w:footnoteRef/>
      </w:r>
      <w:r w:rsidRPr="00B317BD">
        <w:rPr>
          <w:sz w:val="24"/>
          <w:szCs w:val="24"/>
        </w:rPr>
        <w:t xml:space="preserve"> </w:t>
      </w:r>
      <w:hyperlink r:id="rId2" w:history="1">
        <w:r w:rsidRPr="00B317BD">
          <w:rPr>
            <w:rStyle w:val="Hyperlink"/>
            <w:sz w:val="24"/>
            <w:szCs w:val="24"/>
          </w:rPr>
          <w:t>EPA Integrated Risk Information System</w:t>
        </w:r>
      </w:hyperlink>
    </w:p>
  </w:footnote>
  <w:footnote w:id="20">
    <w:p w14:paraId="757D6C11" w14:textId="77777777" w:rsidR="00B23894" w:rsidRPr="00CA4F81" w:rsidRDefault="00B23894" w:rsidP="00B23894">
      <w:pPr>
        <w:pStyle w:val="FootnoteText"/>
        <w:spacing w:line="360" w:lineRule="auto"/>
        <w:contextualSpacing/>
      </w:pPr>
      <w:r w:rsidRPr="00B317BD">
        <w:rPr>
          <w:rStyle w:val="FootnoteReference"/>
          <w:sz w:val="24"/>
          <w:szCs w:val="24"/>
        </w:rPr>
        <w:footnoteRef/>
      </w:r>
      <w:r w:rsidRPr="00B317BD">
        <w:rPr>
          <w:sz w:val="24"/>
          <w:szCs w:val="24"/>
        </w:rPr>
        <w:t xml:space="preserve"> </w:t>
      </w:r>
      <w:hyperlink r:id="rId3" w:history="1">
        <w:r w:rsidRPr="00B317BD">
          <w:rPr>
            <w:rStyle w:val="Hyperlink"/>
            <w:sz w:val="24"/>
            <w:szCs w:val="24"/>
          </w:rPr>
          <w:t>EPA National Air Toxics Assessment</w:t>
        </w:r>
      </w:hyperlink>
    </w:p>
  </w:footnote>
  <w:footnote w:id="21">
    <w:p w14:paraId="67A7BB27" w14:textId="77777777" w:rsidR="00B23894" w:rsidRPr="00CA4F81" w:rsidRDefault="00B23894" w:rsidP="00B23894">
      <w:pPr>
        <w:pStyle w:val="FootnoteText"/>
      </w:pPr>
      <w:r w:rsidRPr="00CA4F81">
        <w:rPr>
          <w:rStyle w:val="FootnoteReference"/>
        </w:rPr>
        <w:footnoteRef/>
      </w:r>
      <w:r w:rsidRPr="00CA4F81">
        <w:t xml:space="preserve"> </w:t>
      </w:r>
      <w:hyperlink r:id="rId4" w:history="1">
        <w:r w:rsidRPr="008E44B9">
          <w:rPr>
            <w:rStyle w:val="Hyperlink"/>
            <w:sz w:val="24"/>
            <w:szCs w:val="24"/>
          </w:rPr>
          <w:t>EPA Releases MOVES3 Mobile Source Emissions Model: Questions and Answers</w:t>
        </w:r>
      </w:hyperlink>
      <w:r w:rsidRPr="008E44B9">
        <w:rPr>
          <w:sz w:val="24"/>
          <w:szCs w:val="24"/>
        </w:rPr>
        <w:t xml:space="preserve"> </w:t>
      </w:r>
    </w:p>
  </w:footnote>
  <w:footnote w:id="22">
    <w:p w14:paraId="195C4BBD" w14:textId="77777777" w:rsidR="00F16217" w:rsidRPr="005F1466" w:rsidRDefault="00F16217" w:rsidP="00F16217">
      <w:pPr>
        <w:pStyle w:val="FootnoteText"/>
        <w:spacing w:line="360" w:lineRule="auto"/>
        <w:rPr>
          <w:sz w:val="24"/>
          <w:szCs w:val="24"/>
        </w:rPr>
      </w:pPr>
      <w:r w:rsidRPr="005F1466">
        <w:rPr>
          <w:rStyle w:val="FootnoteReference"/>
          <w:sz w:val="24"/>
          <w:szCs w:val="24"/>
        </w:rPr>
        <w:footnoteRef/>
      </w:r>
      <w:r w:rsidRPr="005F1466">
        <w:rPr>
          <w:sz w:val="24"/>
          <w:szCs w:val="24"/>
        </w:rPr>
        <w:t xml:space="preserve"> Trends for specific locations may be different, depending on locally derived information representing vehicle-miles travelled, vehicle speeds, vehicle mix, fuels, emission control programs, meteorological, and other factors.</w:t>
      </w:r>
      <w:r>
        <w:rPr>
          <w:sz w:val="24"/>
          <w:szCs w:val="24"/>
        </w:rPr>
        <w:t xml:space="preserve"> Source: EPA MOVES 3 model runs conducted by FHWA, March 2021.</w:t>
      </w:r>
    </w:p>
  </w:footnote>
  <w:footnote w:id="23">
    <w:p w14:paraId="7557CC23" w14:textId="77777777" w:rsidR="00B23894" w:rsidRPr="00CA4F81" w:rsidRDefault="00B23894" w:rsidP="00B23894">
      <w:pPr>
        <w:pStyle w:val="FootnoteText"/>
        <w:rPr>
          <w:b/>
          <w:bCs/>
        </w:rPr>
      </w:pPr>
      <w:r w:rsidRPr="00CA4F81">
        <w:rPr>
          <w:rStyle w:val="FootnoteReference"/>
        </w:rPr>
        <w:footnoteRef/>
      </w:r>
      <w:r w:rsidRPr="00CA4F81">
        <w:t xml:space="preserve"> </w:t>
      </w:r>
      <w:hyperlink r:id="rId5" w:history="1">
        <w:r w:rsidRPr="00637920">
          <w:rPr>
            <w:rStyle w:val="Hyperlink"/>
            <w:sz w:val="24"/>
            <w:szCs w:val="24"/>
          </w:rPr>
          <w:t>Recent Examinations of Mobile Source Air Toxics</w:t>
        </w:r>
      </w:hyperlink>
    </w:p>
    <w:p w14:paraId="443F408B" w14:textId="77777777" w:rsidR="00B23894" w:rsidRPr="00CA4F81" w:rsidRDefault="00B23894" w:rsidP="00B23894">
      <w:pPr>
        <w:pStyle w:val="FootnoteText"/>
      </w:pPr>
    </w:p>
  </w:footnote>
  <w:footnote w:id="24">
    <w:p w14:paraId="499BE8A4" w14:textId="77777777" w:rsidR="00B23894" w:rsidRPr="00CA4F81" w:rsidRDefault="00B23894" w:rsidP="00B23894">
      <w:pPr>
        <w:pStyle w:val="FootnoteText"/>
        <w:spacing w:line="360" w:lineRule="auto"/>
      </w:pPr>
      <w:r w:rsidRPr="00CA4F81">
        <w:rPr>
          <w:rStyle w:val="FootnoteReference"/>
        </w:rPr>
        <w:footnoteRef/>
      </w:r>
      <w:r w:rsidRPr="00CA4F81">
        <w:t xml:space="preserve"> </w:t>
      </w:r>
      <w:hyperlink r:id="rId6" w:history="1">
        <w:r w:rsidRPr="00637920">
          <w:rPr>
            <w:rStyle w:val="Hyperlink"/>
            <w:sz w:val="24"/>
            <w:szCs w:val="24"/>
          </w:rPr>
          <w:t>Updated Interim Guidance on Mobile Source Air Toxic Analysis in NEPA Documents, Federal Highway Administration, January 2023</w:t>
        </w:r>
      </w:hyperlink>
    </w:p>
  </w:footnote>
  <w:footnote w:id="25">
    <w:p w14:paraId="7D38B4BD" w14:textId="77777777" w:rsidR="00B23894" w:rsidRPr="00CA4F81" w:rsidRDefault="00B23894" w:rsidP="00B23894">
      <w:pPr>
        <w:pStyle w:val="FootnoteText"/>
        <w:spacing w:line="360" w:lineRule="auto"/>
      </w:pPr>
      <w:r w:rsidRPr="00CA4F81">
        <w:rPr>
          <w:rStyle w:val="FootnoteReference"/>
        </w:rPr>
        <w:footnoteRef/>
      </w:r>
      <w:r w:rsidRPr="00CA4F81">
        <w:t xml:space="preserve"> </w:t>
      </w:r>
      <w:hyperlink r:id="rId7" w:history="1">
        <w:r w:rsidRPr="00637920">
          <w:rPr>
            <w:rStyle w:val="Hyperlink"/>
            <w:sz w:val="24"/>
            <w:szCs w:val="24"/>
          </w:rPr>
          <w:t>Updated Interim Guidance on Mobile Source Air Toxic Analysis in NEPA Documents, Federal Highway Administration, January 2023</w:t>
        </w:r>
      </w:hyperlink>
    </w:p>
  </w:footnote>
  <w:footnote w:id="26">
    <w:p w14:paraId="037ABCB6" w14:textId="77777777" w:rsidR="00B23894" w:rsidRPr="00B317BD" w:rsidRDefault="00B23894" w:rsidP="00B23894">
      <w:pPr>
        <w:pStyle w:val="FootnoteText"/>
        <w:spacing w:line="360" w:lineRule="auto"/>
        <w:rPr>
          <w:sz w:val="24"/>
          <w:szCs w:val="24"/>
        </w:rPr>
      </w:pPr>
      <w:r w:rsidRPr="00B317BD">
        <w:rPr>
          <w:rStyle w:val="FootnoteReference"/>
          <w:sz w:val="24"/>
          <w:szCs w:val="24"/>
        </w:rPr>
        <w:footnoteRef/>
      </w:r>
      <w:r w:rsidRPr="00B317BD">
        <w:rPr>
          <w:sz w:val="24"/>
          <w:szCs w:val="24"/>
        </w:rPr>
        <w:t xml:space="preserve"> </w:t>
      </w:r>
      <w:hyperlink r:id="rId8" w:history="1">
        <w:r w:rsidRPr="00B317BD">
          <w:rPr>
            <w:rStyle w:val="Hyperlink"/>
            <w:sz w:val="24"/>
            <w:szCs w:val="24"/>
          </w:rPr>
          <w:t>Updated Interim Guidance on Mobile Source Air Toxic Analysis in NEPA Documents, Federal Highway Administration, January 2023</w:t>
        </w:r>
      </w:hyperlink>
    </w:p>
  </w:footnote>
  <w:footnote w:id="27">
    <w:p w14:paraId="16A643F3" w14:textId="77777777" w:rsidR="00B23894" w:rsidRPr="00B317BD" w:rsidRDefault="00B23894" w:rsidP="00B23894">
      <w:pPr>
        <w:pStyle w:val="FootnoteText"/>
        <w:spacing w:line="360" w:lineRule="auto"/>
        <w:rPr>
          <w:sz w:val="24"/>
          <w:szCs w:val="24"/>
        </w:rPr>
      </w:pPr>
      <w:r w:rsidRPr="00CA4F81">
        <w:rPr>
          <w:rStyle w:val="FootnoteReference"/>
        </w:rPr>
        <w:footnoteRef/>
      </w:r>
      <w:r w:rsidRPr="00CA4F81">
        <w:t xml:space="preserve"> </w:t>
      </w:r>
      <w:hyperlink r:id="rId9" w:history="1">
        <w:r w:rsidRPr="00B317BD">
          <w:rPr>
            <w:rStyle w:val="Hyperlink"/>
            <w:sz w:val="24"/>
            <w:szCs w:val="24"/>
          </w:rPr>
          <w:t>Updated Interim Guidance on Mobile Source Air Toxic (MSAT) Analysis in National Environmental Policy Act (NEPA) Documents</w:t>
        </w:r>
      </w:hyperlink>
    </w:p>
  </w:footnote>
  <w:footnote w:id="28">
    <w:p w14:paraId="03896CBD" w14:textId="77777777" w:rsidR="00B23894" w:rsidRPr="00CA4F81" w:rsidRDefault="00B23894" w:rsidP="00B23894">
      <w:pPr>
        <w:pStyle w:val="FootnoteText"/>
        <w:spacing w:line="360" w:lineRule="auto"/>
      </w:pPr>
      <w:r w:rsidRPr="00B317BD">
        <w:rPr>
          <w:rStyle w:val="FootnoteReference"/>
          <w:sz w:val="24"/>
          <w:szCs w:val="24"/>
        </w:rPr>
        <w:footnoteRef/>
      </w:r>
      <w:r w:rsidRPr="00B317BD">
        <w:rPr>
          <w:sz w:val="24"/>
          <w:szCs w:val="24"/>
        </w:rPr>
        <w:t xml:space="preserve"> </w:t>
      </w:r>
      <w:hyperlink r:id="rId10" w:history="1">
        <w:r w:rsidRPr="00B317BD">
          <w:rPr>
            <w:rStyle w:val="Hyperlink"/>
            <w:sz w:val="24"/>
            <w:szCs w:val="24"/>
          </w:rPr>
          <w:t>Mobile-Source Air Toxics: A Critical Review of the Literature on Exposure and Health Effects, Special Report 16</w:t>
        </w:r>
      </w:hyperlink>
    </w:p>
  </w:footnote>
  <w:footnote w:id="29">
    <w:p w14:paraId="4A1D4F9F" w14:textId="77777777" w:rsidR="00B23894" w:rsidRPr="00B317BD" w:rsidRDefault="00B23894" w:rsidP="00B23894">
      <w:pPr>
        <w:pStyle w:val="FootnoteText"/>
        <w:spacing w:line="360" w:lineRule="auto"/>
        <w:rPr>
          <w:sz w:val="24"/>
          <w:szCs w:val="24"/>
        </w:rPr>
      </w:pPr>
      <w:r w:rsidRPr="00F16217">
        <w:rPr>
          <w:rStyle w:val="FootnoteReference"/>
          <w:sz w:val="24"/>
          <w:szCs w:val="24"/>
        </w:rPr>
        <w:footnoteRef/>
      </w:r>
      <w:r w:rsidRPr="00CA4F81">
        <w:t xml:space="preserve"> </w:t>
      </w:r>
      <w:hyperlink r:id="rId11" w:history="1">
        <w:r w:rsidRPr="00B317BD">
          <w:rPr>
            <w:rStyle w:val="Hyperlink"/>
            <w:sz w:val="24"/>
            <w:szCs w:val="24"/>
          </w:rPr>
          <w:t>Mobile-Source Air Toxics: A Critical Review of the Literature on Exposure and Health Effects, Special Report 16</w:t>
        </w:r>
      </w:hyperlink>
    </w:p>
  </w:footnote>
  <w:footnote w:id="30">
    <w:p w14:paraId="6184731B" w14:textId="77777777" w:rsidR="00B23894" w:rsidRPr="00CA4F81" w:rsidRDefault="00B23894" w:rsidP="00B23894">
      <w:pPr>
        <w:pStyle w:val="FootnoteText"/>
        <w:spacing w:line="360" w:lineRule="auto"/>
      </w:pPr>
      <w:r w:rsidRPr="00B317BD">
        <w:rPr>
          <w:rStyle w:val="FootnoteReference"/>
          <w:sz w:val="24"/>
          <w:szCs w:val="24"/>
        </w:rPr>
        <w:footnoteRef/>
      </w:r>
      <w:r w:rsidRPr="00B317BD">
        <w:rPr>
          <w:sz w:val="24"/>
          <w:szCs w:val="24"/>
        </w:rPr>
        <w:t xml:space="preserve"> </w:t>
      </w:r>
      <w:hyperlink r:id="rId12" w:history="1">
        <w:r w:rsidRPr="00B317BD">
          <w:rPr>
            <w:rStyle w:val="Hyperlink"/>
            <w:sz w:val="24"/>
            <w:szCs w:val="24"/>
          </w:rPr>
          <w:t>EPA IRIS database, Diesel Engine Exhaust, Section II.C</w:t>
        </w:r>
      </w:hyperlink>
    </w:p>
  </w:footnote>
  <w:footnote w:id="31">
    <w:p w14:paraId="3140C5AD" w14:textId="77777777" w:rsidR="00B23894" w:rsidRDefault="00B23894" w:rsidP="00B23894">
      <w:pPr>
        <w:pStyle w:val="FootnoteText"/>
      </w:pPr>
      <w:r w:rsidRPr="00CA4F81">
        <w:rPr>
          <w:rStyle w:val="FootnoteReference"/>
        </w:rPr>
        <w:footnoteRef/>
      </w:r>
      <w:r w:rsidRPr="00637920">
        <w:t xml:space="preserve"> </w:t>
      </w:r>
      <w:hyperlink r:id="rId13" w:history="1">
        <w:r w:rsidRPr="00637920">
          <w:rPr>
            <w:rStyle w:val="Hyperlink"/>
            <w:sz w:val="24"/>
            <w:szCs w:val="24"/>
          </w:rPr>
          <w:t>Texas Emissions Reduction Plan</w:t>
        </w:r>
      </w:hyperlink>
    </w:p>
  </w:footnote>
  <w:footnote w:id="32">
    <w:p w14:paraId="1D5E7497" w14:textId="410BC7AE" w:rsidR="00D74606" w:rsidRDefault="00D74606" w:rsidP="00F633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4277"/>
    <w:multiLevelType w:val="hybridMultilevel"/>
    <w:tmpl w:val="46081ED4"/>
    <w:lvl w:ilvl="0" w:tplc="FC6EA1AC">
      <w:start w:val="1"/>
      <w:numFmt w:val="bullet"/>
      <w:lvlText w:val=""/>
      <w:lvlJc w:val="left"/>
      <w:pPr>
        <w:ind w:left="1080" w:hanging="360"/>
      </w:pPr>
      <w:rPr>
        <w:rFonts w:ascii="Symbol" w:hAnsi="Symbol"/>
      </w:rPr>
    </w:lvl>
    <w:lvl w:ilvl="1" w:tplc="B660FE5E">
      <w:start w:val="1"/>
      <w:numFmt w:val="bullet"/>
      <w:lvlText w:val=""/>
      <w:lvlJc w:val="left"/>
      <w:pPr>
        <w:ind w:left="1080" w:hanging="360"/>
      </w:pPr>
      <w:rPr>
        <w:rFonts w:ascii="Symbol" w:hAnsi="Symbol"/>
      </w:rPr>
    </w:lvl>
    <w:lvl w:ilvl="2" w:tplc="E1D2CF52">
      <w:start w:val="1"/>
      <w:numFmt w:val="bullet"/>
      <w:lvlText w:val=""/>
      <w:lvlJc w:val="left"/>
      <w:pPr>
        <w:ind w:left="1080" w:hanging="360"/>
      </w:pPr>
      <w:rPr>
        <w:rFonts w:ascii="Symbol" w:hAnsi="Symbol"/>
      </w:rPr>
    </w:lvl>
    <w:lvl w:ilvl="3" w:tplc="F4503218">
      <w:start w:val="1"/>
      <w:numFmt w:val="bullet"/>
      <w:lvlText w:val=""/>
      <w:lvlJc w:val="left"/>
      <w:pPr>
        <w:ind w:left="1080" w:hanging="360"/>
      </w:pPr>
      <w:rPr>
        <w:rFonts w:ascii="Symbol" w:hAnsi="Symbol"/>
      </w:rPr>
    </w:lvl>
    <w:lvl w:ilvl="4" w:tplc="38B02318">
      <w:start w:val="1"/>
      <w:numFmt w:val="bullet"/>
      <w:lvlText w:val=""/>
      <w:lvlJc w:val="left"/>
      <w:pPr>
        <w:ind w:left="1080" w:hanging="360"/>
      </w:pPr>
      <w:rPr>
        <w:rFonts w:ascii="Symbol" w:hAnsi="Symbol"/>
      </w:rPr>
    </w:lvl>
    <w:lvl w:ilvl="5" w:tplc="CB72526C">
      <w:start w:val="1"/>
      <w:numFmt w:val="bullet"/>
      <w:lvlText w:val=""/>
      <w:lvlJc w:val="left"/>
      <w:pPr>
        <w:ind w:left="1080" w:hanging="360"/>
      </w:pPr>
      <w:rPr>
        <w:rFonts w:ascii="Symbol" w:hAnsi="Symbol"/>
      </w:rPr>
    </w:lvl>
    <w:lvl w:ilvl="6" w:tplc="8978620C">
      <w:start w:val="1"/>
      <w:numFmt w:val="bullet"/>
      <w:lvlText w:val=""/>
      <w:lvlJc w:val="left"/>
      <w:pPr>
        <w:ind w:left="1080" w:hanging="360"/>
      </w:pPr>
      <w:rPr>
        <w:rFonts w:ascii="Symbol" w:hAnsi="Symbol"/>
      </w:rPr>
    </w:lvl>
    <w:lvl w:ilvl="7" w:tplc="BA5E5DDC">
      <w:start w:val="1"/>
      <w:numFmt w:val="bullet"/>
      <w:lvlText w:val=""/>
      <w:lvlJc w:val="left"/>
      <w:pPr>
        <w:ind w:left="1080" w:hanging="360"/>
      </w:pPr>
      <w:rPr>
        <w:rFonts w:ascii="Symbol" w:hAnsi="Symbol"/>
      </w:rPr>
    </w:lvl>
    <w:lvl w:ilvl="8" w:tplc="1456A3FC">
      <w:start w:val="1"/>
      <w:numFmt w:val="bullet"/>
      <w:lvlText w:val=""/>
      <w:lvlJc w:val="left"/>
      <w:pPr>
        <w:ind w:left="1080" w:hanging="360"/>
      </w:pPr>
      <w:rPr>
        <w:rFonts w:ascii="Symbol" w:hAnsi="Symbol"/>
      </w:rPr>
    </w:lvl>
  </w:abstractNum>
  <w:abstractNum w:abstractNumId="1" w15:restartNumberingAfterBreak="0">
    <w:nsid w:val="09966A8F"/>
    <w:multiLevelType w:val="multilevel"/>
    <w:tmpl w:val="F4ECC256"/>
    <w:lvl w:ilvl="0">
      <w:start w:val="2"/>
      <w:numFmt w:val="decimal"/>
      <w:lvlText w:val="%1"/>
      <w:lvlJc w:val="left"/>
      <w:pPr>
        <w:ind w:left="390" w:hanging="39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2" w15:restartNumberingAfterBreak="0">
    <w:nsid w:val="0D214C86"/>
    <w:multiLevelType w:val="hybridMultilevel"/>
    <w:tmpl w:val="C880618E"/>
    <w:lvl w:ilvl="0" w:tplc="07B89984">
      <w:start w:val="1"/>
      <w:numFmt w:val="bullet"/>
      <w:lvlText w:val=""/>
      <w:lvlJc w:val="left"/>
      <w:pPr>
        <w:ind w:left="1080" w:hanging="360"/>
      </w:pPr>
      <w:rPr>
        <w:rFonts w:ascii="Symbol" w:hAnsi="Symbol"/>
      </w:rPr>
    </w:lvl>
    <w:lvl w:ilvl="1" w:tplc="D4F2E8D2">
      <w:start w:val="1"/>
      <w:numFmt w:val="bullet"/>
      <w:lvlText w:val=""/>
      <w:lvlJc w:val="left"/>
      <w:pPr>
        <w:ind w:left="1080" w:hanging="360"/>
      </w:pPr>
      <w:rPr>
        <w:rFonts w:ascii="Symbol" w:hAnsi="Symbol"/>
      </w:rPr>
    </w:lvl>
    <w:lvl w:ilvl="2" w:tplc="463A8D8C">
      <w:start w:val="1"/>
      <w:numFmt w:val="bullet"/>
      <w:lvlText w:val=""/>
      <w:lvlJc w:val="left"/>
      <w:pPr>
        <w:ind w:left="1080" w:hanging="360"/>
      </w:pPr>
      <w:rPr>
        <w:rFonts w:ascii="Symbol" w:hAnsi="Symbol"/>
      </w:rPr>
    </w:lvl>
    <w:lvl w:ilvl="3" w:tplc="B8844DFE">
      <w:start w:val="1"/>
      <w:numFmt w:val="bullet"/>
      <w:lvlText w:val=""/>
      <w:lvlJc w:val="left"/>
      <w:pPr>
        <w:ind w:left="1080" w:hanging="360"/>
      </w:pPr>
      <w:rPr>
        <w:rFonts w:ascii="Symbol" w:hAnsi="Symbol"/>
      </w:rPr>
    </w:lvl>
    <w:lvl w:ilvl="4" w:tplc="981E575C">
      <w:start w:val="1"/>
      <w:numFmt w:val="bullet"/>
      <w:lvlText w:val=""/>
      <w:lvlJc w:val="left"/>
      <w:pPr>
        <w:ind w:left="1080" w:hanging="360"/>
      </w:pPr>
      <w:rPr>
        <w:rFonts w:ascii="Symbol" w:hAnsi="Symbol"/>
      </w:rPr>
    </w:lvl>
    <w:lvl w:ilvl="5" w:tplc="C1FC6546">
      <w:start w:val="1"/>
      <w:numFmt w:val="bullet"/>
      <w:lvlText w:val=""/>
      <w:lvlJc w:val="left"/>
      <w:pPr>
        <w:ind w:left="1080" w:hanging="360"/>
      </w:pPr>
      <w:rPr>
        <w:rFonts w:ascii="Symbol" w:hAnsi="Symbol"/>
      </w:rPr>
    </w:lvl>
    <w:lvl w:ilvl="6" w:tplc="8856D8D4">
      <w:start w:val="1"/>
      <w:numFmt w:val="bullet"/>
      <w:lvlText w:val=""/>
      <w:lvlJc w:val="left"/>
      <w:pPr>
        <w:ind w:left="1080" w:hanging="360"/>
      </w:pPr>
      <w:rPr>
        <w:rFonts w:ascii="Symbol" w:hAnsi="Symbol"/>
      </w:rPr>
    </w:lvl>
    <w:lvl w:ilvl="7" w:tplc="FBEADCE6">
      <w:start w:val="1"/>
      <w:numFmt w:val="bullet"/>
      <w:lvlText w:val=""/>
      <w:lvlJc w:val="left"/>
      <w:pPr>
        <w:ind w:left="1080" w:hanging="360"/>
      </w:pPr>
      <w:rPr>
        <w:rFonts w:ascii="Symbol" w:hAnsi="Symbol"/>
      </w:rPr>
    </w:lvl>
    <w:lvl w:ilvl="8" w:tplc="F9666A36">
      <w:start w:val="1"/>
      <w:numFmt w:val="bullet"/>
      <w:lvlText w:val=""/>
      <w:lvlJc w:val="left"/>
      <w:pPr>
        <w:ind w:left="1080" w:hanging="360"/>
      </w:pPr>
      <w:rPr>
        <w:rFonts w:ascii="Symbol" w:hAnsi="Symbol"/>
      </w:rPr>
    </w:lvl>
  </w:abstractNum>
  <w:abstractNum w:abstractNumId="3" w15:restartNumberingAfterBreak="0">
    <w:nsid w:val="1D15619C"/>
    <w:multiLevelType w:val="multilevel"/>
    <w:tmpl w:val="78C20E28"/>
    <w:lvl w:ilvl="0">
      <w:start w:val="1"/>
      <w:numFmt w:val="decimal"/>
      <w:lvlText w:val="%1."/>
      <w:lvlJc w:val="left"/>
      <w:pPr>
        <w:ind w:left="390" w:hanging="39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4" w15:restartNumberingAfterBreak="0">
    <w:nsid w:val="247604F2"/>
    <w:multiLevelType w:val="multilevel"/>
    <w:tmpl w:val="F4ECC256"/>
    <w:lvl w:ilvl="0">
      <w:start w:val="2"/>
      <w:numFmt w:val="decimal"/>
      <w:lvlText w:val="%1"/>
      <w:lvlJc w:val="left"/>
      <w:pPr>
        <w:ind w:left="390" w:hanging="39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5" w15:restartNumberingAfterBreak="0">
    <w:nsid w:val="24911903"/>
    <w:multiLevelType w:val="hybridMultilevel"/>
    <w:tmpl w:val="7CD09AC2"/>
    <w:lvl w:ilvl="0" w:tplc="936E6B62">
      <w:start w:val="1"/>
      <w:numFmt w:val="decimal"/>
      <w:lvlText w:val="Step %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D70CB4"/>
    <w:multiLevelType w:val="multilevel"/>
    <w:tmpl w:val="EEC0D362"/>
    <w:lvl w:ilvl="0">
      <w:start w:val="1"/>
      <w:numFmt w:val="decimal"/>
      <w:lvlText w:val="%1."/>
      <w:lvlJc w:val="left"/>
      <w:pPr>
        <w:ind w:left="390" w:hanging="39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7" w15:restartNumberingAfterBreak="0">
    <w:nsid w:val="2C4C12DE"/>
    <w:multiLevelType w:val="multilevel"/>
    <w:tmpl w:val="2D72BC32"/>
    <w:lvl w:ilvl="0">
      <w:start w:val="1"/>
      <w:numFmt w:val="decimal"/>
      <w:lvlText w:val="Step %1"/>
      <w:lvlJc w:val="left"/>
      <w:pPr>
        <w:ind w:left="360" w:hanging="360"/>
      </w:pPr>
      <w:rPr>
        <w:rFonts w:hint="default"/>
      </w:rPr>
    </w:lvl>
    <w:lvl w:ilvl="1">
      <w:start w:val="1"/>
      <w:numFmt w:val="decimal"/>
      <w:lvlText w:val="Step %2.&lt;Level 2 number&gt;"/>
      <w:lvlJc w:val="left"/>
      <w:pPr>
        <w:ind w:left="1080" w:hanging="360"/>
      </w:pPr>
      <w:rPr>
        <w:rFonts w:hint="default"/>
      </w:rPr>
    </w:lvl>
    <w:lvl w:ilvl="2">
      <w:start w:val="1"/>
      <w:numFmt w:val="lowerRoman"/>
      <w:lvlText w:val="Step %3)"/>
      <w:lvlJc w:val="left"/>
      <w:pPr>
        <w:ind w:left="1440" w:hanging="360"/>
      </w:pPr>
      <w:rPr>
        <w:rFonts w:hint="default"/>
      </w:rPr>
    </w:lvl>
    <w:lvl w:ilvl="3">
      <w:start w:val="1"/>
      <w:numFmt w:val="decimal"/>
      <w:lvlText w:val="Step (%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3294047C"/>
    <w:multiLevelType w:val="hybridMultilevel"/>
    <w:tmpl w:val="7F76504A"/>
    <w:lvl w:ilvl="0" w:tplc="B6BE1E10">
      <w:start w:val="1"/>
      <w:numFmt w:val="decimal"/>
      <w:lvlText w:val="%1."/>
      <w:lvlJc w:val="left"/>
      <w:pPr>
        <w:ind w:left="1440" w:hanging="360"/>
      </w:pPr>
    </w:lvl>
    <w:lvl w:ilvl="1" w:tplc="A4F6085A">
      <w:start w:val="1"/>
      <w:numFmt w:val="decimal"/>
      <w:lvlText w:val="%2."/>
      <w:lvlJc w:val="left"/>
      <w:pPr>
        <w:ind w:left="1440" w:hanging="360"/>
      </w:pPr>
    </w:lvl>
    <w:lvl w:ilvl="2" w:tplc="E700872E">
      <w:start w:val="1"/>
      <w:numFmt w:val="decimal"/>
      <w:lvlText w:val="%3."/>
      <w:lvlJc w:val="left"/>
      <w:pPr>
        <w:ind w:left="1440" w:hanging="360"/>
      </w:pPr>
    </w:lvl>
    <w:lvl w:ilvl="3" w:tplc="78E8E9C2">
      <w:start w:val="1"/>
      <w:numFmt w:val="decimal"/>
      <w:lvlText w:val="%4."/>
      <w:lvlJc w:val="left"/>
      <w:pPr>
        <w:ind w:left="1440" w:hanging="360"/>
      </w:pPr>
    </w:lvl>
    <w:lvl w:ilvl="4" w:tplc="70D86B2E">
      <w:start w:val="1"/>
      <w:numFmt w:val="decimal"/>
      <w:lvlText w:val="%5."/>
      <w:lvlJc w:val="left"/>
      <w:pPr>
        <w:ind w:left="1440" w:hanging="360"/>
      </w:pPr>
    </w:lvl>
    <w:lvl w:ilvl="5" w:tplc="4BFECA0E">
      <w:start w:val="1"/>
      <w:numFmt w:val="decimal"/>
      <w:lvlText w:val="%6."/>
      <w:lvlJc w:val="left"/>
      <w:pPr>
        <w:ind w:left="1440" w:hanging="360"/>
      </w:pPr>
    </w:lvl>
    <w:lvl w:ilvl="6" w:tplc="F9EA2F54">
      <w:start w:val="1"/>
      <w:numFmt w:val="decimal"/>
      <w:lvlText w:val="%7."/>
      <w:lvlJc w:val="left"/>
      <w:pPr>
        <w:ind w:left="1440" w:hanging="360"/>
      </w:pPr>
    </w:lvl>
    <w:lvl w:ilvl="7" w:tplc="346EA76C">
      <w:start w:val="1"/>
      <w:numFmt w:val="decimal"/>
      <w:lvlText w:val="%8."/>
      <w:lvlJc w:val="left"/>
      <w:pPr>
        <w:ind w:left="1440" w:hanging="360"/>
      </w:pPr>
    </w:lvl>
    <w:lvl w:ilvl="8" w:tplc="4F060260">
      <w:start w:val="1"/>
      <w:numFmt w:val="decimal"/>
      <w:lvlText w:val="%9."/>
      <w:lvlJc w:val="left"/>
      <w:pPr>
        <w:ind w:left="1440" w:hanging="360"/>
      </w:pPr>
    </w:lvl>
  </w:abstractNum>
  <w:abstractNum w:abstractNumId="9" w15:restartNumberingAfterBreak="0">
    <w:nsid w:val="34B00EBE"/>
    <w:multiLevelType w:val="multilevel"/>
    <w:tmpl w:val="99F02C6C"/>
    <w:lvl w:ilvl="0">
      <w:start w:val="1"/>
      <w:numFmt w:val="decimal"/>
      <w:pStyle w:val="SOPLevelONEauto-numbering"/>
      <w:lvlText w:val="%1."/>
      <w:lvlJc w:val="left"/>
      <w:pPr>
        <w:ind w:left="540" w:hanging="360"/>
      </w:pPr>
      <w:rPr>
        <w:rFonts w:hint="default"/>
        <w:b w:val="0"/>
      </w:rPr>
    </w:lvl>
    <w:lvl w:ilvl="1">
      <w:start w:val="1"/>
      <w:numFmt w:val="decimal"/>
      <w:pStyle w:val="SOPLevelTWOauto-numbering"/>
      <w:lvlText w:val="%1.%2."/>
      <w:lvlJc w:val="left"/>
      <w:pPr>
        <w:ind w:left="97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OPLevelTHREEauto-number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8C57551"/>
    <w:multiLevelType w:val="hybridMultilevel"/>
    <w:tmpl w:val="D812D70E"/>
    <w:lvl w:ilvl="0" w:tplc="36D625E8">
      <w:start w:val="1"/>
      <w:numFmt w:val="decimal"/>
      <w:lvlText w:val="Step %1.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075E67"/>
    <w:multiLevelType w:val="multilevel"/>
    <w:tmpl w:val="D01A240E"/>
    <w:lvl w:ilvl="0">
      <w:start w:val="1"/>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2" w15:restartNumberingAfterBreak="0">
    <w:nsid w:val="54381DC6"/>
    <w:multiLevelType w:val="multilevel"/>
    <w:tmpl w:val="E7D2274E"/>
    <w:lvl w:ilvl="0">
      <w:start w:val="5"/>
      <w:numFmt w:val="decimal"/>
      <w:lvlText w:val="%1."/>
      <w:lvlJc w:val="left"/>
      <w:pPr>
        <w:ind w:left="720" w:hanging="720"/>
      </w:pPr>
      <w:rPr>
        <w:rFonts w:hint="default"/>
      </w:rPr>
    </w:lvl>
    <w:lvl w:ilvl="1">
      <w:start w:val="2"/>
      <w:numFmt w:val="decimal"/>
      <w:lvlText w:val="%1.%2."/>
      <w:lvlJc w:val="left"/>
      <w:pPr>
        <w:ind w:left="1080" w:hanging="720"/>
      </w:pPr>
      <w:rPr>
        <w:rFonts w:hint="default"/>
      </w:rPr>
    </w:lvl>
    <w:lvl w:ilvl="2">
      <w:start w:val="3"/>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3" w15:restartNumberingAfterBreak="0">
    <w:nsid w:val="558C2251"/>
    <w:multiLevelType w:val="multilevel"/>
    <w:tmpl w:val="A3324E88"/>
    <w:lvl w:ilvl="0">
      <w:start w:val="2"/>
      <w:numFmt w:val="decimal"/>
      <w:lvlText w:val="Step %1"/>
      <w:lvlJc w:val="left"/>
      <w:pPr>
        <w:ind w:left="390" w:hanging="39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4" w15:restartNumberingAfterBreak="0">
    <w:nsid w:val="594C7156"/>
    <w:multiLevelType w:val="multilevel"/>
    <w:tmpl w:val="274CF3BA"/>
    <w:lvl w:ilvl="0">
      <w:start w:val="1"/>
      <w:numFmt w:val="decimal"/>
      <w:pStyle w:val="StepLevel1"/>
      <w:lvlText w:val="Step %1"/>
      <w:lvlJc w:val="left"/>
      <w:pPr>
        <w:ind w:left="390" w:hanging="390"/>
      </w:pPr>
      <w:rPr>
        <w:rFonts w:hint="default"/>
      </w:rPr>
    </w:lvl>
    <w:lvl w:ilvl="1">
      <w:start w:val="1"/>
      <w:numFmt w:val="decimal"/>
      <w:pStyle w:val="StepLevel2"/>
      <w:lvlText w:val="Step %1.%2"/>
      <w:lvlJc w:val="left"/>
      <w:pPr>
        <w:ind w:left="1440" w:hanging="720"/>
      </w:pPr>
      <w:rPr>
        <w:rFonts w:hint="default"/>
      </w:rPr>
    </w:lvl>
    <w:lvl w:ilvl="2">
      <w:start w:val="1"/>
      <w:numFmt w:val="decimal"/>
      <w:pStyle w:val="StepLevel3"/>
      <w:lvlText w:val="Step %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5" w15:restartNumberingAfterBreak="0">
    <w:nsid w:val="676F601C"/>
    <w:multiLevelType w:val="hybridMultilevel"/>
    <w:tmpl w:val="67A0E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27085D"/>
    <w:multiLevelType w:val="hybridMultilevel"/>
    <w:tmpl w:val="5260AB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FD11F3"/>
    <w:multiLevelType w:val="multilevel"/>
    <w:tmpl w:val="D8747472"/>
    <w:lvl w:ilvl="0">
      <w:start w:val="1"/>
      <w:numFmt w:val="bullet"/>
      <w:pStyle w:val="ListBullet"/>
      <w:lvlText w:val=""/>
      <w:lvlJc w:val="left"/>
      <w:pPr>
        <w:ind w:left="1530" w:hanging="360"/>
      </w:pPr>
      <w:rPr>
        <w:rFonts w:ascii="Symbol" w:hAnsi="Symbol" w:hint="default"/>
        <w:color w:val="0056A9" w:themeColor="accent1"/>
      </w:rPr>
    </w:lvl>
    <w:lvl w:ilvl="1">
      <w:start w:val="1"/>
      <w:numFmt w:val="bullet"/>
      <w:lvlText w:val="–"/>
      <w:lvlJc w:val="left"/>
      <w:pPr>
        <w:ind w:left="1890" w:hanging="360"/>
      </w:pPr>
      <w:rPr>
        <w:rFonts w:ascii="Franklin Gothic Book" w:hAnsi="Franklin Gothic Book" w:hint="default"/>
        <w:color w:val="0056A9" w:themeColor="accent1"/>
      </w:rPr>
    </w:lvl>
    <w:lvl w:ilvl="2">
      <w:start w:val="1"/>
      <w:numFmt w:val="bullet"/>
      <w:lvlText w:val=""/>
      <w:lvlJc w:val="left"/>
      <w:pPr>
        <w:ind w:left="2250" w:hanging="360"/>
      </w:pPr>
      <w:rPr>
        <w:rFonts w:ascii="Wingdings" w:hAnsi="Wingdings" w:hint="default"/>
        <w:color w:val="0056A9" w:themeColor="accent1"/>
      </w:rPr>
    </w:lvl>
    <w:lvl w:ilvl="3">
      <w:start w:val="1"/>
      <w:numFmt w:val="bullet"/>
      <w:lvlText w:val=""/>
      <w:lvlJc w:val="left"/>
      <w:pPr>
        <w:ind w:left="2610" w:hanging="360"/>
      </w:pPr>
      <w:rPr>
        <w:rFonts w:ascii="Symbol" w:hAnsi="Symbol" w:hint="default"/>
        <w:color w:val="0056A9" w:themeColor="accent1"/>
      </w:rPr>
    </w:lvl>
    <w:lvl w:ilvl="4">
      <w:start w:val="1"/>
      <w:numFmt w:val="bullet"/>
      <w:lvlText w:val="°"/>
      <w:lvlJc w:val="left"/>
      <w:pPr>
        <w:ind w:left="2970" w:hanging="360"/>
      </w:pPr>
      <w:rPr>
        <w:rFonts w:ascii="Verdana" w:hAnsi="Verdana" w:hint="default"/>
        <w:color w:val="0056A9" w:themeColor="accent1"/>
      </w:rPr>
    </w:lvl>
    <w:lvl w:ilvl="5">
      <w:start w:val="1"/>
      <w:numFmt w:val="bullet"/>
      <w:lvlText w:val=""/>
      <w:lvlJc w:val="left"/>
      <w:pPr>
        <w:ind w:left="3330" w:hanging="360"/>
      </w:pPr>
      <w:rPr>
        <w:rFonts w:ascii="Wingdings" w:hAnsi="Wingdings" w:hint="default"/>
      </w:rPr>
    </w:lvl>
    <w:lvl w:ilvl="6">
      <w:start w:val="1"/>
      <w:numFmt w:val="bullet"/>
      <w:lvlText w:val=""/>
      <w:lvlJc w:val="left"/>
      <w:pPr>
        <w:ind w:left="3690" w:hanging="360"/>
      </w:pPr>
      <w:rPr>
        <w:rFonts w:ascii="Wingdings" w:hAnsi="Wingdings" w:hint="default"/>
      </w:rPr>
    </w:lvl>
    <w:lvl w:ilvl="7">
      <w:start w:val="1"/>
      <w:numFmt w:val="bullet"/>
      <w:lvlText w:val=""/>
      <w:lvlJc w:val="left"/>
      <w:pPr>
        <w:ind w:left="4050" w:hanging="360"/>
      </w:pPr>
      <w:rPr>
        <w:rFonts w:ascii="Symbol" w:hAnsi="Symbol" w:hint="default"/>
      </w:rPr>
    </w:lvl>
    <w:lvl w:ilvl="8">
      <w:start w:val="1"/>
      <w:numFmt w:val="bullet"/>
      <w:lvlText w:val=""/>
      <w:lvlJc w:val="left"/>
      <w:pPr>
        <w:ind w:left="4410" w:hanging="360"/>
      </w:pPr>
      <w:rPr>
        <w:rFonts w:ascii="Symbol" w:hAnsi="Symbol" w:hint="default"/>
      </w:rPr>
    </w:lvl>
  </w:abstractNum>
  <w:abstractNum w:abstractNumId="18" w15:restartNumberingAfterBreak="0">
    <w:nsid w:val="7D1272D0"/>
    <w:multiLevelType w:val="hybridMultilevel"/>
    <w:tmpl w:val="C242E198"/>
    <w:lvl w:ilvl="0" w:tplc="4126AB96">
      <w:start w:val="1"/>
      <w:numFmt w:val="bullet"/>
      <w:lvlText w:val=""/>
      <w:lvlJc w:val="left"/>
      <w:pPr>
        <w:ind w:left="1080" w:hanging="360"/>
      </w:pPr>
      <w:rPr>
        <w:rFonts w:ascii="Symbol" w:hAnsi="Symbol"/>
      </w:rPr>
    </w:lvl>
    <w:lvl w:ilvl="1" w:tplc="3A44B6F8">
      <w:start w:val="1"/>
      <w:numFmt w:val="bullet"/>
      <w:lvlText w:val=""/>
      <w:lvlJc w:val="left"/>
      <w:pPr>
        <w:ind w:left="1080" w:hanging="360"/>
      </w:pPr>
      <w:rPr>
        <w:rFonts w:ascii="Symbol" w:hAnsi="Symbol"/>
      </w:rPr>
    </w:lvl>
    <w:lvl w:ilvl="2" w:tplc="D28618D0">
      <w:start w:val="1"/>
      <w:numFmt w:val="bullet"/>
      <w:lvlText w:val=""/>
      <w:lvlJc w:val="left"/>
      <w:pPr>
        <w:ind w:left="1080" w:hanging="360"/>
      </w:pPr>
      <w:rPr>
        <w:rFonts w:ascii="Symbol" w:hAnsi="Symbol"/>
      </w:rPr>
    </w:lvl>
    <w:lvl w:ilvl="3" w:tplc="498E3982">
      <w:start w:val="1"/>
      <w:numFmt w:val="bullet"/>
      <w:lvlText w:val=""/>
      <w:lvlJc w:val="left"/>
      <w:pPr>
        <w:ind w:left="1080" w:hanging="360"/>
      </w:pPr>
      <w:rPr>
        <w:rFonts w:ascii="Symbol" w:hAnsi="Symbol"/>
      </w:rPr>
    </w:lvl>
    <w:lvl w:ilvl="4" w:tplc="BECC4628">
      <w:start w:val="1"/>
      <w:numFmt w:val="bullet"/>
      <w:lvlText w:val=""/>
      <w:lvlJc w:val="left"/>
      <w:pPr>
        <w:ind w:left="1080" w:hanging="360"/>
      </w:pPr>
      <w:rPr>
        <w:rFonts w:ascii="Symbol" w:hAnsi="Symbol"/>
      </w:rPr>
    </w:lvl>
    <w:lvl w:ilvl="5" w:tplc="D21632D6">
      <w:start w:val="1"/>
      <w:numFmt w:val="bullet"/>
      <w:lvlText w:val=""/>
      <w:lvlJc w:val="left"/>
      <w:pPr>
        <w:ind w:left="1080" w:hanging="360"/>
      </w:pPr>
      <w:rPr>
        <w:rFonts w:ascii="Symbol" w:hAnsi="Symbol"/>
      </w:rPr>
    </w:lvl>
    <w:lvl w:ilvl="6" w:tplc="8390CCCC">
      <w:start w:val="1"/>
      <w:numFmt w:val="bullet"/>
      <w:lvlText w:val=""/>
      <w:lvlJc w:val="left"/>
      <w:pPr>
        <w:ind w:left="1080" w:hanging="360"/>
      </w:pPr>
      <w:rPr>
        <w:rFonts w:ascii="Symbol" w:hAnsi="Symbol"/>
      </w:rPr>
    </w:lvl>
    <w:lvl w:ilvl="7" w:tplc="3210F08E">
      <w:start w:val="1"/>
      <w:numFmt w:val="bullet"/>
      <w:lvlText w:val=""/>
      <w:lvlJc w:val="left"/>
      <w:pPr>
        <w:ind w:left="1080" w:hanging="360"/>
      </w:pPr>
      <w:rPr>
        <w:rFonts w:ascii="Symbol" w:hAnsi="Symbol"/>
      </w:rPr>
    </w:lvl>
    <w:lvl w:ilvl="8" w:tplc="0C740750">
      <w:start w:val="1"/>
      <w:numFmt w:val="bullet"/>
      <w:lvlText w:val=""/>
      <w:lvlJc w:val="left"/>
      <w:pPr>
        <w:ind w:left="1080" w:hanging="360"/>
      </w:pPr>
      <w:rPr>
        <w:rFonts w:ascii="Symbol" w:hAnsi="Symbol"/>
      </w:rPr>
    </w:lvl>
  </w:abstractNum>
  <w:num w:numId="1" w16cid:durableId="945039576">
    <w:abstractNumId w:val="7"/>
  </w:num>
  <w:num w:numId="2" w16cid:durableId="486940803">
    <w:abstractNumId w:val="17"/>
  </w:num>
  <w:num w:numId="3" w16cid:durableId="1131048890">
    <w:abstractNumId w:val="11"/>
  </w:num>
  <w:num w:numId="4" w16cid:durableId="1430733691">
    <w:abstractNumId w:val="9"/>
  </w:num>
  <w:num w:numId="5" w16cid:durableId="4825534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4502744">
    <w:abstractNumId w:val="6"/>
  </w:num>
  <w:num w:numId="7" w16cid:durableId="1291590537">
    <w:abstractNumId w:val="13"/>
  </w:num>
  <w:num w:numId="8" w16cid:durableId="713231724">
    <w:abstractNumId w:val="7"/>
  </w:num>
  <w:num w:numId="9" w16cid:durableId="1618950461">
    <w:abstractNumId w:val="7"/>
  </w:num>
  <w:num w:numId="10" w16cid:durableId="2006738697">
    <w:abstractNumId w:val="7"/>
  </w:num>
  <w:num w:numId="11" w16cid:durableId="833909154">
    <w:abstractNumId w:val="7"/>
  </w:num>
  <w:num w:numId="12" w16cid:durableId="687174963">
    <w:abstractNumId w:val="12"/>
  </w:num>
  <w:num w:numId="13" w16cid:durableId="1511487041">
    <w:abstractNumId w:val="7"/>
  </w:num>
  <w:num w:numId="14" w16cid:durableId="231165688">
    <w:abstractNumId w:val="7"/>
  </w:num>
  <w:num w:numId="15" w16cid:durableId="1439446798">
    <w:abstractNumId w:val="4"/>
  </w:num>
  <w:num w:numId="16" w16cid:durableId="1618103189">
    <w:abstractNumId w:val="7"/>
  </w:num>
  <w:num w:numId="17" w16cid:durableId="1264530644">
    <w:abstractNumId w:val="7"/>
  </w:num>
  <w:num w:numId="18" w16cid:durableId="1722291815">
    <w:abstractNumId w:val="7"/>
  </w:num>
  <w:num w:numId="19" w16cid:durableId="1634287448">
    <w:abstractNumId w:val="7"/>
  </w:num>
  <w:num w:numId="20" w16cid:durableId="973170628">
    <w:abstractNumId w:val="1"/>
  </w:num>
  <w:num w:numId="21" w16cid:durableId="1542324938">
    <w:abstractNumId w:val="3"/>
  </w:num>
  <w:num w:numId="22" w16cid:durableId="162549598">
    <w:abstractNumId w:val="7"/>
  </w:num>
  <w:num w:numId="23" w16cid:durableId="21000597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5783919">
    <w:abstractNumId w:val="15"/>
  </w:num>
  <w:num w:numId="25" w16cid:durableId="867449683">
    <w:abstractNumId w:val="17"/>
  </w:num>
  <w:num w:numId="26" w16cid:durableId="1146969573">
    <w:abstractNumId w:val="7"/>
  </w:num>
  <w:num w:numId="27" w16cid:durableId="1524973615">
    <w:abstractNumId w:val="7"/>
  </w:num>
  <w:num w:numId="28" w16cid:durableId="432285950">
    <w:abstractNumId w:val="17"/>
  </w:num>
  <w:num w:numId="29" w16cid:durableId="1453358092">
    <w:abstractNumId w:val="7"/>
  </w:num>
  <w:num w:numId="30" w16cid:durableId="1503280166">
    <w:abstractNumId w:val="7"/>
  </w:num>
  <w:num w:numId="31" w16cid:durableId="1793816218">
    <w:abstractNumId w:val="17"/>
  </w:num>
  <w:num w:numId="32" w16cid:durableId="1228229839">
    <w:abstractNumId w:val="8"/>
  </w:num>
  <w:num w:numId="33" w16cid:durableId="915475659">
    <w:abstractNumId w:val="7"/>
  </w:num>
  <w:num w:numId="34" w16cid:durableId="624045002">
    <w:abstractNumId w:val="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20443298">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68601666">
    <w:abstractNumId w:val="18"/>
  </w:num>
  <w:num w:numId="37" w16cid:durableId="486168840">
    <w:abstractNumId w:val="2"/>
  </w:num>
  <w:num w:numId="38" w16cid:durableId="1430782335">
    <w:abstractNumId w:val="0"/>
  </w:num>
  <w:num w:numId="39" w16cid:durableId="326517448">
    <w:abstractNumId w:val="5"/>
  </w:num>
  <w:num w:numId="40" w16cid:durableId="1485464337">
    <w:abstractNumId w:val="10"/>
  </w:num>
  <w:num w:numId="41" w16cid:durableId="5172781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5420291">
    <w:abstractNumId w:val="14"/>
  </w:num>
  <w:num w:numId="43" w16cid:durableId="779686851">
    <w:abstractNumId w:val="14"/>
  </w:num>
  <w:num w:numId="44" w16cid:durableId="1051880666">
    <w:abstractNumId w:val="14"/>
  </w:num>
  <w:num w:numId="45" w16cid:durableId="632250831">
    <w:abstractNumId w:val="14"/>
  </w:num>
  <w:num w:numId="46" w16cid:durableId="898587834">
    <w:abstractNumId w:val="14"/>
  </w:num>
  <w:num w:numId="47" w16cid:durableId="12326959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embedTrueTypeFonts/>
  <w:saveSubset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7F6"/>
    <w:rsid w:val="00006D35"/>
    <w:rsid w:val="000115D9"/>
    <w:rsid w:val="000117AB"/>
    <w:rsid w:val="00012C6E"/>
    <w:rsid w:val="00014CBC"/>
    <w:rsid w:val="000205A8"/>
    <w:rsid w:val="00020E5C"/>
    <w:rsid w:val="00021FF8"/>
    <w:rsid w:val="00031756"/>
    <w:rsid w:val="000342F3"/>
    <w:rsid w:val="00034308"/>
    <w:rsid w:val="00037F08"/>
    <w:rsid w:val="000402C5"/>
    <w:rsid w:val="00041868"/>
    <w:rsid w:val="000424F1"/>
    <w:rsid w:val="000446C8"/>
    <w:rsid w:val="0004726E"/>
    <w:rsid w:val="00051887"/>
    <w:rsid w:val="0005255C"/>
    <w:rsid w:val="00055469"/>
    <w:rsid w:val="000637A6"/>
    <w:rsid w:val="0006452B"/>
    <w:rsid w:val="00064619"/>
    <w:rsid w:val="00064A5E"/>
    <w:rsid w:val="00065954"/>
    <w:rsid w:val="00065A7D"/>
    <w:rsid w:val="000665F9"/>
    <w:rsid w:val="00071403"/>
    <w:rsid w:val="000748B0"/>
    <w:rsid w:val="00084E5B"/>
    <w:rsid w:val="00085906"/>
    <w:rsid w:val="00087797"/>
    <w:rsid w:val="00092745"/>
    <w:rsid w:val="00093105"/>
    <w:rsid w:val="00094F84"/>
    <w:rsid w:val="000A1FB8"/>
    <w:rsid w:val="000A4EA5"/>
    <w:rsid w:val="000A604D"/>
    <w:rsid w:val="000B1A7D"/>
    <w:rsid w:val="000B67B1"/>
    <w:rsid w:val="000C0221"/>
    <w:rsid w:val="000C0D5B"/>
    <w:rsid w:val="000C1B07"/>
    <w:rsid w:val="000D0F11"/>
    <w:rsid w:val="000D2298"/>
    <w:rsid w:val="000D5927"/>
    <w:rsid w:val="000D777C"/>
    <w:rsid w:val="000D78CE"/>
    <w:rsid w:val="000E0D7D"/>
    <w:rsid w:val="000E32FC"/>
    <w:rsid w:val="000F126D"/>
    <w:rsid w:val="000F1DA1"/>
    <w:rsid w:val="000F27B0"/>
    <w:rsid w:val="000F4505"/>
    <w:rsid w:val="001027F6"/>
    <w:rsid w:val="00102D50"/>
    <w:rsid w:val="00102E1D"/>
    <w:rsid w:val="00105625"/>
    <w:rsid w:val="001066F9"/>
    <w:rsid w:val="001117C6"/>
    <w:rsid w:val="001149B9"/>
    <w:rsid w:val="00125517"/>
    <w:rsid w:val="001275F6"/>
    <w:rsid w:val="0013003E"/>
    <w:rsid w:val="001323F4"/>
    <w:rsid w:val="00136D18"/>
    <w:rsid w:val="00145F56"/>
    <w:rsid w:val="00150AA7"/>
    <w:rsid w:val="00152035"/>
    <w:rsid w:val="00152945"/>
    <w:rsid w:val="001532B7"/>
    <w:rsid w:val="00155E89"/>
    <w:rsid w:val="00171E1C"/>
    <w:rsid w:val="001765BC"/>
    <w:rsid w:val="001809BD"/>
    <w:rsid w:val="0018186E"/>
    <w:rsid w:val="00182D3B"/>
    <w:rsid w:val="0018433E"/>
    <w:rsid w:val="00185FCD"/>
    <w:rsid w:val="001868BB"/>
    <w:rsid w:val="00192705"/>
    <w:rsid w:val="001A37D5"/>
    <w:rsid w:val="001A39E5"/>
    <w:rsid w:val="001A55E1"/>
    <w:rsid w:val="001A71E6"/>
    <w:rsid w:val="001A7671"/>
    <w:rsid w:val="001B0BB9"/>
    <w:rsid w:val="001B5742"/>
    <w:rsid w:val="001C12E5"/>
    <w:rsid w:val="001C69A1"/>
    <w:rsid w:val="001C7AC3"/>
    <w:rsid w:val="001D09DF"/>
    <w:rsid w:val="001D276C"/>
    <w:rsid w:val="001D3522"/>
    <w:rsid w:val="001E00F8"/>
    <w:rsid w:val="001E4744"/>
    <w:rsid w:val="001F3E0C"/>
    <w:rsid w:val="001F439C"/>
    <w:rsid w:val="001F4B08"/>
    <w:rsid w:val="001F628E"/>
    <w:rsid w:val="001F665E"/>
    <w:rsid w:val="001F74EA"/>
    <w:rsid w:val="001F7DC5"/>
    <w:rsid w:val="00204A51"/>
    <w:rsid w:val="00211BC0"/>
    <w:rsid w:val="00212EB9"/>
    <w:rsid w:val="00213A11"/>
    <w:rsid w:val="00215F2D"/>
    <w:rsid w:val="00216D5D"/>
    <w:rsid w:val="00222997"/>
    <w:rsid w:val="002301AB"/>
    <w:rsid w:val="002324B1"/>
    <w:rsid w:val="00232D1C"/>
    <w:rsid w:val="00233302"/>
    <w:rsid w:val="00233682"/>
    <w:rsid w:val="00234EA3"/>
    <w:rsid w:val="00236CDD"/>
    <w:rsid w:val="00240B34"/>
    <w:rsid w:val="0024431D"/>
    <w:rsid w:val="0024512C"/>
    <w:rsid w:val="00247C66"/>
    <w:rsid w:val="00247CB8"/>
    <w:rsid w:val="00254A96"/>
    <w:rsid w:val="002615EF"/>
    <w:rsid w:val="00261D50"/>
    <w:rsid w:val="00265488"/>
    <w:rsid w:val="0027067B"/>
    <w:rsid w:val="00273946"/>
    <w:rsid w:val="00276866"/>
    <w:rsid w:val="00283C12"/>
    <w:rsid w:val="002852DB"/>
    <w:rsid w:val="00287019"/>
    <w:rsid w:val="0028769B"/>
    <w:rsid w:val="00291359"/>
    <w:rsid w:val="00292798"/>
    <w:rsid w:val="00295654"/>
    <w:rsid w:val="00296441"/>
    <w:rsid w:val="002A04D8"/>
    <w:rsid w:val="002A05A5"/>
    <w:rsid w:val="002A072B"/>
    <w:rsid w:val="002A2E52"/>
    <w:rsid w:val="002A3C78"/>
    <w:rsid w:val="002A7EAA"/>
    <w:rsid w:val="002B0BA2"/>
    <w:rsid w:val="002B2BC5"/>
    <w:rsid w:val="002B37CB"/>
    <w:rsid w:val="002C000C"/>
    <w:rsid w:val="002C461B"/>
    <w:rsid w:val="002C5305"/>
    <w:rsid w:val="002C5905"/>
    <w:rsid w:val="002D4E37"/>
    <w:rsid w:val="002D6560"/>
    <w:rsid w:val="002D6ED4"/>
    <w:rsid w:val="002E0BA4"/>
    <w:rsid w:val="002E29E6"/>
    <w:rsid w:val="002F1E8A"/>
    <w:rsid w:val="002F43B8"/>
    <w:rsid w:val="002F621A"/>
    <w:rsid w:val="002F687E"/>
    <w:rsid w:val="00300CD1"/>
    <w:rsid w:val="00300E0C"/>
    <w:rsid w:val="00300E82"/>
    <w:rsid w:val="00303F95"/>
    <w:rsid w:val="00304B8D"/>
    <w:rsid w:val="0030616E"/>
    <w:rsid w:val="003076A0"/>
    <w:rsid w:val="00311868"/>
    <w:rsid w:val="00315FB2"/>
    <w:rsid w:val="00320892"/>
    <w:rsid w:val="00321109"/>
    <w:rsid w:val="00324242"/>
    <w:rsid w:val="0032470E"/>
    <w:rsid w:val="00325EAB"/>
    <w:rsid w:val="00330402"/>
    <w:rsid w:val="00333FB6"/>
    <w:rsid w:val="00336AE2"/>
    <w:rsid w:val="00340593"/>
    <w:rsid w:val="003421C0"/>
    <w:rsid w:val="00345AEF"/>
    <w:rsid w:val="00347305"/>
    <w:rsid w:val="00347ED7"/>
    <w:rsid w:val="00350EE3"/>
    <w:rsid w:val="003518FB"/>
    <w:rsid w:val="00352514"/>
    <w:rsid w:val="00360B97"/>
    <w:rsid w:val="00364DDC"/>
    <w:rsid w:val="00367B44"/>
    <w:rsid w:val="0037126B"/>
    <w:rsid w:val="00371BA8"/>
    <w:rsid w:val="003736B8"/>
    <w:rsid w:val="00373718"/>
    <w:rsid w:val="00375959"/>
    <w:rsid w:val="003773F5"/>
    <w:rsid w:val="00380B00"/>
    <w:rsid w:val="003852FC"/>
    <w:rsid w:val="00387F2F"/>
    <w:rsid w:val="00393254"/>
    <w:rsid w:val="003A708E"/>
    <w:rsid w:val="003B270A"/>
    <w:rsid w:val="003B40CF"/>
    <w:rsid w:val="003B5698"/>
    <w:rsid w:val="003B6CAE"/>
    <w:rsid w:val="003C2A4C"/>
    <w:rsid w:val="003C40FB"/>
    <w:rsid w:val="003C71B7"/>
    <w:rsid w:val="003D0036"/>
    <w:rsid w:val="003D0A5B"/>
    <w:rsid w:val="003D192A"/>
    <w:rsid w:val="003D327C"/>
    <w:rsid w:val="003D344D"/>
    <w:rsid w:val="003D4749"/>
    <w:rsid w:val="003D6135"/>
    <w:rsid w:val="003E43D0"/>
    <w:rsid w:val="003F46DE"/>
    <w:rsid w:val="003F767E"/>
    <w:rsid w:val="003F7E90"/>
    <w:rsid w:val="00400F33"/>
    <w:rsid w:val="00402F1A"/>
    <w:rsid w:val="00403398"/>
    <w:rsid w:val="004048E7"/>
    <w:rsid w:val="004053A6"/>
    <w:rsid w:val="004064BC"/>
    <w:rsid w:val="0041293E"/>
    <w:rsid w:val="00412BB6"/>
    <w:rsid w:val="00421CA0"/>
    <w:rsid w:val="00422FCB"/>
    <w:rsid w:val="00423ED7"/>
    <w:rsid w:val="00426025"/>
    <w:rsid w:val="00431416"/>
    <w:rsid w:val="00435F70"/>
    <w:rsid w:val="00442A67"/>
    <w:rsid w:val="00442D5B"/>
    <w:rsid w:val="00444DED"/>
    <w:rsid w:val="00445393"/>
    <w:rsid w:val="004465A8"/>
    <w:rsid w:val="00450ADC"/>
    <w:rsid w:val="004512C5"/>
    <w:rsid w:val="00451E44"/>
    <w:rsid w:val="00465796"/>
    <w:rsid w:val="00466FDF"/>
    <w:rsid w:val="0046726C"/>
    <w:rsid w:val="00467EBE"/>
    <w:rsid w:val="0047523A"/>
    <w:rsid w:val="004815E0"/>
    <w:rsid w:val="00483A4E"/>
    <w:rsid w:val="00485D0C"/>
    <w:rsid w:val="00486253"/>
    <w:rsid w:val="00487D8D"/>
    <w:rsid w:val="00490361"/>
    <w:rsid w:val="0049081A"/>
    <w:rsid w:val="00491419"/>
    <w:rsid w:val="004935C4"/>
    <w:rsid w:val="004937E1"/>
    <w:rsid w:val="00497BB6"/>
    <w:rsid w:val="004A1C2E"/>
    <w:rsid w:val="004A2973"/>
    <w:rsid w:val="004A66B5"/>
    <w:rsid w:val="004A7CE4"/>
    <w:rsid w:val="004B0DE9"/>
    <w:rsid w:val="004B52F6"/>
    <w:rsid w:val="004C1461"/>
    <w:rsid w:val="004C1B0C"/>
    <w:rsid w:val="004C474C"/>
    <w:rsid w:val="004C7C1D"/>
    <w:rsid w:val="004D3590"/>
    <w:rsid w:val="004D525F"/>
    <w:rsid w:val="004D656C"/>
    <w:rsid w:val="004E2857"/>
    <w:rsid w:val="004E55E7"/>
    <w:rsid w:val="004F05DE"/>
    <w:rsid w:val="004F5075"/>
    <w:rsid w:val="004F61EC"/>
    <w:rsid w:val="0050061F"/>
    <w:rsid w:val="00505247"/>
    <w:rsid w:val="00505CA3"/>
    <w:rsid w:val="00511B18"/>
    <w:rsid w:val="00511DF6"/>
    <w:rsid w:val="005218C4"/>
    <w:rsid w:val="00522B64"/>
    <w:rsid w:val="00523946"/>
    <w:rsid w:val="005260EC"/>
    <w:rsid w:val="005267F6"/>
    <w:rsid w:val="005275CB"/>
    <w:rsid w:val="00530FDE"/>
    <w:rsid w:val="0053143B"/>
    <w:rsid w:val="00532225"/>
    <w:rsid w:val="0053271B"/>
    <w:rsid w:val="00546918"/>
    <w:rsid w:val="005470AB"/>
    <w:rsid w:val="00547E82"/>
    <w:rsid w:val="0055018B"/>
    <w:rsid w:val="00551C8B"/>
    <w:rsid w:val="00556326"/>
    <w:rsid w:val="005569ED"/>
    <w:rsid w:val="00561EA3"/>
    <w:rsid w:val="005622ED"/>
    <w:rsid w:val="00574731"/>
    <w:rsid w:val="0057526D"/>
    <w:rsid w:val="0057545F"/>
    <w:rsid w:val="005757DE"/>
    <w:rsid w:val="00582328"/>
    <w:rsid w:val="005911D7"/>
    <w:rsid w:val="00591DCA"/>
    <w:rsid w:val="00592876"/>
    <w:rsid w:val="00593050"/>
    <w:rsid w:val="005951FC"/>
    <w:rsid w:val="005A1E61"/>
    <w:rsid w:val="005A37F0"/>
    <w:rsid w:val="005A76F4"/>
    <w:rsid w:val="005B14DA"/>
    <w:rsid w:val="005B295F"/>
    <w:rsid w:val="005C03E9"/>
    <w:rsid w:val="005C2664"/>
    <w:rsid w:val="005C2BFE"/>
    <w:rsid w:val="005C4AB2"/>
    <w:rsid w:val="005C5281"/>
    <w:rsid w:val="005C61F7"/>
    <w:rsid w:val="005D202F"/>
    <w:rsid w:val="005D2983"/>
    <w:rsid w:val="005D3011"/>
    <w:rsid w:val="005D38BE"/>
    <w:rsid w:val="005D5FAB"/>
    <w:rsid w:val="005D60EB"/>
    <w:rsid w:val="005E1995"/>
    <w:rsid w:val="005E527C"/>
    <w:rsid w:val="005F1466"/>
    <w:rsid w:val="005F35D9"/>
    <w:rsid w:val="005F59D2"/>
    <w:rsid w:val="00604295"/>
    <w:rsid w:val="00604D2C"/>
    <w:rsid w:val="00605FE8"/>
    <w:rsid w:val="006077A5"/>
    <w:rsid w:val="00614895"/>
    <w:rsid w:val="006158A6"/>
    <w:rsid w:val="006209C0"/>
    <w:rsid w:val="006216FC"/>
    <w:rsid w:val="0062190E"/>
    <w:rsid w:val="00623321"/>
    <w:rsid w:val="00626F7E"/>
    <w:rsid w:val="00630F07"/>
    <w:rsid w:val="00630F3F"/>
    <w:rsid w:val="006336FA"/>
    <w:rsid w:val="0063569F"/>
    <w:rsid w:val="00640D1F"/>
    <w:rsid w:val="00642BC1"/>
    <w:rsid w:val="00643F24"/>
    <w:rsid w:val="006440DC"/>
    <w:rsid w:val="006502CF"/>
    <w:rsid w:val="00651507"/>
    <w:rsid w:val="006516DC"/>
    <w:rsid w:val="006550CD"/>
    <w:rsid w:val="0065532A"/>
    <w:rsid w:val="00657B37"/>
    <w:rsid w:val="00661416"/>
    <w:rsid w:val="00665839"/>
    <w:rsid w:val="00665951"/>
    <w:rsid w:val="0067067A"/>
    <w:rsid w:val="006718F1"/>
    <w:rsid w:val="00674FC1"/>
    <w:rsid w:val="0068078C"/>
    <w:rsid w:val="00682535"/>
    <w:rsid w:val="00685C66"/>
    <w:rsid w:val="00686FC8"/>
    <w:rsid w:val="00692067"/>
    <w:rsid w:val="006949C5"/>
    <w:rsid w:val="00695128"/>
    <w:rsid w:val="00695D0B"/>
    <w:rsid w:val="00695DF8"/>
    <w:rsid w:val="0069776B"/>
    <w:rsid w:val="006A06BA"/>
    <w:rsid w:val="006A3515"/>
    <w:rsid w:val="006A4190"/>
    <w:rsid w:val="006A60EA"/>
    <w:rsid w:val="006B07E9"/>
    <w:rsid w:val="006B2846"/>
    <w:rsid w:val="006B7081"/>
    <w:rsid w:val="006C0864"/>
    <w:rsid w:val="006C68C6"/>
    <w:rsid w:val="006D0442"/>
    <w:rsid w:val="006E23B2"/>
    <w:rsid w:val="006E3B49"/>
    <w:rsid w:val="006F27E3"/>
    <w:rsid w:val="00705B69"/>
    <w:rsid w:val="007108A5"/>
    <w:rsid w:val="0071145C"/>
    <w:rsid w:val="007142F9"/>
    <w:rsid w:val="00714390"/>
    <w:rsid w:val="00714E04"/>
    <w:rsid w:val="00715F60"/>
    <w:rsid w:val="007202E7"/>
    <w:rsid w:val="00720574"/>
    <w:rsid w:val="00723362"/>
    <w:rsid w:val="00725BE7"/>
    <w:rsid w:val="00725DE3"/>
    <w:rsid w:val="00726C49"/>
    <w:rsid w:val="00731632"/>
    <w:rsid w:val="007338BA"/>
    <w:rsid w:val="00734194"/>
    <w:rsid w:val="00740CCA"/>
    <w:rsid w:val="00745D4A"/>
    <w:rsid w:val="00750835"/>
    <w:rsid w:val="00751AF6"/>
    <w:rsid w:val="00753E0D"/>
    <w:rsid w:val="00756BCE"/>
    <w:rsid w:val="007570B7"/>
    <w:rsid w:val="00757F83"/>
    <w:rsid w:val="00760D4F"/>
    <w:rsid w:val="00775C5E"/>
    <w:rsid w:val="007778C7"/>
    <w:rsid w:val="00783A8D"/>
    <w:rsid w:val="00792EC7"/>
    <w:rsid w:val="00795D53"/>
    <w:rsid w:val="0079663D"/>
    <w:rsid w:val="007975FA"/>
    <w:rsid w:val="007A0079"/>
    <w:rsid w:val="007A05C4"/>
    <w:rsid w:val="007A17F5"/>
    <w:rsid w:val="007A3C90"/>
    <w:rsid w:val="007B43DC"/>
    <w:rsid w:val="007B5BBB"/>
    <w:rsid w:val="007B6F2E"/>
    <w:rsid w:val="007B6FDA"/>
    <w:rsid w:val="007B7628"/>
    <w:rsid w:val="007C04E7"/>
    <w:rsid w:val="007C0B6D"/>
    <w:rsid w:val="007C7010"/>
    <w:rsid w:val="007D2B01"/>
    <w:rsid w:val="007D485D"/>
    <w:rsid w:val="007D74A0"/>
    <w:rsid w:val="007E131B"/>
    <w:rsid w:val="007E51BB"/>
    <w:rsid w:val="007F0E0A"/>
    <w:rsid w:val="007F37A1"/>
    <w:rsid w:val="007F5C89"/>
    <w:rsid w:val="007F7D5E"/>
    <w:rsid w:val="00806F48"/>
    <w:rsid w:val="00811EED"/>
    <w:rsid w:val="008146DA"/>
    <w:rsid w:val="00816001"/>
    <w:rsid w:val="00816691"/>
    <w:rsid w:val="008168E5"/>
    <w:rsid w:val="00820444"/>
    <w:rsid w:val="008230B2"/>
    <w:rsid w:val="0082353B"/>
    <w:rsid w:val="00824D19"/>
    <w:rsid w:val="00830DDB"/>
    <w:rsid w:val="00845339"/>
    <w:rsid w:val="008509D3"/>
    <w:rsid w:val="00856749"/>
    <w:rsid w:val="00857EE1"/>
    <w:rsid w:val="008642C4"/>
    <w:rsid w:val="00870C44"/>
    <w:rsid w:val="0088087A"/>
    <w:rsid w:val="00881DFC"/>
    <w:rsid w:val="00882CE4"/>
    <w:rsid w:val="00886C8A"/>
    <w:rsid w:val="0089176F"/>
    <w:rsid w:val="00892C90"/>
    <w:rsid w:val="00892E8E"/>
    <w:rsid w:val="008968A3"/>
    <w:rsid w:val="008A57EA"/>
    <w:rsid w:val="008A64D2"/>
    <w:rsid w:val="008A6EB8"/>
    <w:rsid w:val="008B0E37"/>
    <w:rsid w:val="008B122C"/>
    <w:rsid w:val="008B2CB8"/>
    <w:rsid w:val="008B3AE8"/>
    <w:rsid w:val="008B5BC5"/>
    <w:rsid w:val="008B7630"/>
    <w:rsid w:val="008C4099"/>
    <w:rsid w:val="008C6664"/>
    <w:rsid w:val="008C6C53"/>
    <w:rsid w:val="008C7048"/>
    <w:rsid w:val="008D2811"/>
    <w:rsid w:val="008D311B"/>
    <w:rsid w:val="008D4B69"/>
    <w:rsid w:val="008D72A6"/>
    <w:rsid w:val="008E346A"/>
    <w:rsid w:val="008E36B0"/>
    <w:rsid w:val="008E44B9"/>
    <w:rsid w:val="008E4682"/>
    <w:rsid w:val="008E6365"/>
    <w:rsid w:val="008E6AA5"/>
    <w:rsid w:val="008F5CE5"/>
    <w:rsid w:val="008F5D2A"/>
    <w:rsid w:val="00900413"/>
    <w:rsid w:val="009021D7"/>
    <w:rsid w:val="009036D5"/>
    <w:rsid w:val="00906434"/>
    <w:rsid w:val="00907379"/>
    <w:rsid w:val="00910CC7"/>
    <w:rsid w:val="00912003"/>
    <w:rsid w:val="009124E1"/>
    <w:rsid w:val="00913DF0"/>
    <w:rsid w:val="00915484"/>
    <w:rsid w:val="0091552B"/>
    <w:rsid w:val="00934814"/>
    <w:rsid w:val="00935DFA"/>
    <w:rsid w:val="00937163"/>
    <w:rsid w:val="00937873"/>
    <w:rsid w:val="00937A0C"/>
    <w:rsid w:val="0094044E"/>
    <w:rsid w:val="00940F3A"/>
    <w:rsid w:val="009414D6"/>
    <w:rsid w:val="00941F40"/>
    <w:rsid w:val="0094235B"/>
    <w:rsid w:val="00945B5B"/>
    <w:rsid w:val="00952F15"/>
    <w:rsid w:val="00953721"/>
    <w:rsid w:val="00961877"/>
    <w:rsid w:val="00963E8D"/>
    <w:rsid w:val="009640B4"/>
    <w:rsid w:val="009671B0"/>
    <w:rsid w:val="009678C0"/>
    <w:rsid w:val="00975475"/>
    <w:rsid w:val="00980550"/>
    <w:rsid w:val="0098529F"/>
    <w:rsid w:val="009B0A5A"/>
    <w:rsid w:val="009B184D"/>
    <w:rsid w:val="009B5831"/>
    <w:rsid w:val="009B7544"/>
    <w:rsid w:val="009C3AE7"/>
    <w:rsid w:val="009C460F"/>
    <w:rsid w:val="009C6405"/>
    <w:rsid w:val="009D1F42"/>
    <w:rsid w:val="009D3D76"/>
    <w:rsid w:val="009D6EB9"/>
    <w:rsid w:val="009E02BD"/>
    <w:rsid w:val="009E140F"/>
    <w:rsid w:val="009E1957"/>
    <w:rsid w:val="009E1AF0"/>
    <w:rsid w:val="009E5068"/>
    <w:rsid w:val="009F1DD4"/>
    <w:rsid w:val="00A02B24"/>
    <w:rsid w:val="00A03509"/>
    <w:rsid w:val="00A0726A"/>
    <w:rsid w:val="00A1002F"/>
    <w:rsid w:val="00A11052"/>
    <w:rsid w:val="00A11404"/>
    <w:rsid w:val="00A12023"/>
    <w:rsid w:val="00A13CC2"/>
    <w:rsid w:val="00A1426D"/>
    <w:rsid w:val="00A157E7"/>
    <w:rsid w:val="00A20271"/>
    <w:rsid w:val="00A20EB1"/>
    <w:rsid w:val="00A22A41"/>
    <w:rsid w:val="00A2634F"/>
    <w:rsid w:val="00A26F43"/>
    <w:rsid w:val="00A27BA6"/>
    <w:rsid w:val="00A4067C"/>
    <w:rsid w:val="00A412FB"/>
    <w:rsid w:val="00A509A0"/>
    <w:rsid w:val="00A52D29"/>
    <w:rsid w:val="00A565CA"/>
    <w:rsid w:val="00A6495A"/>
    <w:rsid w:val="00A66AF4"/>
    <w:rsid w:val="00A67A4C"/>
    <w:rsid w:val="00A7166F"/>
    <w:rsid w:val="00A73608"/>
    <w:rsid w:val="00A7505E"/>
    <w:rsid w:val="00A7674C"/>
    <w:rsid w:val="00A76F6B"/>
    <w:rsid w:val="00A80824"/>
    <w:rsid w:val="00A91B1F"/>
    <w:rsid w:val="00A922FA"/>
    <w:rsid w:val="00A93EBE"/>
    <w:rsid w:val="00A95C3A"/>
    <w:rsid w:val="00AA10E8"/>
    <w:rsid w:val="00AA49FA"/>
    <w:rsid w:val="00AA4F86"/>
    <w:rsid w:val="00AA5084"/>
    <w:rsid w:val="00AA6589"/>
    <w:rsid w:val="00AA7658"/>
    <w:rsid w:val="00AB00CF"/>
    <w:rsid w:val="00AB2916"/>
    <w:rsid w:val="00AB310E"/>
    <w:rsid w:val="00AB34DD"/>
    <w:rsid w:val="00AB41E2"/>
    <w:rsid w:val="00AB5B04"/>
    <w:rsid w:val="00AC0C71"/>
    <w:rsid w:val="00AC6B12"/>
    <w:rsid w:val="00AD0466"/>
    <w:rsid w:val="00AD0ECC"/>
    <w:rsid w:val="00AD237E"/>
    <w:rsid w:val="00AD386A"/>
    <w:rsid w:val="00AD5400"/>
    <w:rsid w:val="00AE01B8"/>
    <w:rsid w:val="00AE0F68"/>
    <w:rsid w:val="00AE3057"/>
    <w:rsid w:val="00AE4C68"/>
    <w:rsid w:val="00AE57C8"/>
    <w:rsid w:val="00AF0B68"/>
    <w:rsid w:val="00AF5788"/>
    <w:rsid w:val="00AF7A35"/>
    <w:rsid w:val="00B0002B"/>
    <w:rsid w:val="00B03E6E"/>
    <w:rsid w:val="00B0765D"/>
    <w:rsid w:val="00B11631"/>
    <w:rsid w:val="00B11660"/>
    <w:rsid w:val="00B11D16"/>
    <w:rsid w:val="00B13E46"/>
    <w:rsid w:val="00B15547"/>
    <w:rsid w:val="00B1760E"/>
    <w:rsid w:val="00B177CE"/>
    <w:rsid w:val="00B20C2D"/>
    <w:rsid w:val="00B21046"/>
    <w:rsid w:val="00B227C9"/>
    <w:rsid w:val="00B23857"/>
    <w:rsid w:val="00B23894"/>
    <w:rsid w:val="00B272A7"/>
    <w:rsid w:val="00B274FE"/>
    <w:rsid w:val="00B321C8"/>
    <w:rsid w:val="00B32F0D"/>
    <w:rsid w:val="00B3441A"/>
    <w:rsid w:val="00B428C6"/>
    <w:rsid w:val="00B448A6"/>
    <w:rsid w:val="00B46828"/>
    <w:rsid w:val="00B527B7"/>
    <w:rsid w:val="00B52A78"/>
    <w:rsid w:val="00B531C6"/>
    <w:rsid w:val="00B54B4A"/>
    <w:rsid w:val="00B5572D"/>
    <w:rsid w:val="00B61908"/>
    <w:rsid w:val="00B70D42"/>
    <w:rsid w:val="00B71464"/>
    <w:rsid w:val="00B71F7F"/>
    <w:rsid w:val="00B72119"/>
    <w:rsid w:val="00B72A51"/>
    <w:rsid w:val="00B72EAF"/>
    <w:rsid w:val="00B771C8"/>
    <w:rsid w:val="00B7786F"/>
    <w:rsid w:val="00B77F0B"/>
    <w:rsid w:val="00B814F3"/>
    <w:rsid w:val="00B83CDA"/>
    <w:rsid w:val="00B84643"/>
    <w:rsid w:val="00B84E3F"/>
    <w:rsid w:val="00B85783"/>
    <w:rsid w:val="00B85F68"/>
    <w:rsid w:val="00B920FB"/>
    <w:rsid w:val="00B93B4F"/>
    <w:rsid w:val="00BA016E"/>
    <w:rsid w:val="00BA63DC"/>
    <w:rsid w:val="00BA75D5"/>
    <w:rsid w:val="00BA7B15"/>
    <w:rsid w:val="00BB0C19"/>
    <w:rsid w:val="00BB29D7"/>
    <w:rsid w:val="00BB3B6E"/>
    <w:rsid w:val="00BB4982"/>
    <w:rsid w:val="00BB4E13"/>
    <w:rsid w:val="00BB4E99"/>
    <w:rsid w:val="00BC2A0C"/>
    <w:rsid w:val="00BC2FB8"/>
    <w:rsid w:val="00BC3F06"/>
    <w:rsid w:val="00BC7158"/>
    <w:rsid w:val="00BD282F"/>
    <w:rsid w:val="00BD375A"/>
    <w:rsid w:val="00BD7E28"/>
    <w:rsid w:val="00BE35D5"/>
    <w:rsid w:val="00BE3E16"/>
    <w:rsid w:val="00BE5A57"/>
    <w:rsid w:val="00BF443E"/>
    <w:rsid w:val="00C001A8"/>
    <w:rsid w:val="00C10456"/>
    <w:rsid w:val="00C13FCB"/>
    <w:rsid w:val="00C16BFD"/>
    <w:rsid w:val="00C20447"/>
    <w:rsid w:val="00C227EF"/>
    <w:rsid w:val="00C271DE"/>
    <w:rsid w:val="00C27891"/>
    <w:rsid w:val="00C27E00"/>
    <w:rsid w:val="00C33034"/>
    <w:rsid w:val="00C368D0"/>
    <w:rsid w:val="00C41BAA"/>
    <w:rsid w:val="00C423F6"/>
    <w:rsid w:val="00C431EA"/>
    <w:rsid w:val="00C436ED"/>
    <w:rsid w:val="00C445B3"/>
    <w:rsid w:val="00C45E7E"/>
    <w:rsid w:val="00C47317"/>
    <w:rsid w:val="00C478F4"/>
    <w:rsid w:val="00C548C9"/>
    <w:rsid w:val="00C5601B"/>
    <w:rsid w:val="00C603CB"/>
    <w:rsid w:val="00C619F5"/>
    <w:rsid w:val="00C639EB"/>
    <w:rsid w:val="00C64139"/>
    <w:rsid w:val="00C65449"/>
    <w:rsid w:val="00C7042C"/>
    <w:rsid w:val="00C7128E"/>
    <w:rsid w:val="00C72DFE"/>
    <w:rsid w:val="00C72F08"/>
    <w:rsid w:val="00C74B3E"/>
    <w:rsid w:val="00C776E4"/>
    <w:rsid w:val="00C830DA"/>
    <w:rsid w:val="00C86AF4"/>
    <w:rsid w:val="00C9141C"/>
    <w:rsid w:val="00C9178E"/>
    <w:rsid w:val="00CA2C8F"/>
    <w:rsid w:val="00CA3967"/>
    <w:rsid w:val="00CA3C37"/>
    <w:rsid w:val="00CA52A4"/>
    <w:rsid w:val="00CA5BAA"/>
    <w:rsid w:val="00CC1F1A"/>
    <w:rsid w:val="00CC2BDA"/>
    <w:rsid w:val="00CC2E76"/>
    <w:rsid w:val="00CC4542"/>
    <w:rsid w:val="00CC7BA1"/>
    <w:rsid w:val="00CD008E"/>
    <w:rsid w:val="00CF3FC9"/>
    <w:rsid w:val="00CF6855"/>
    <w:rsid w:val="00D04CBF"/>
    <w:rsid w:val="00D05595"/>
    <w:rsid w:val="00D15EDA"/>
    <w:rsid w:val="00D166EF"/>
    <w:rsid w:val="00D20236"/>
    <w:rsid w:val="00D212BC"/>
    <w:rsid w:val="00D21588"/>
    <w:rsid w:val="00D21754"/>
    <w:rsid w:val="00D21F8F"/>
    <w:rsid w:val="00D2651A"/>
    <w:rsid w:val="00D306AE"/>
    <w:rsid w:val="00D3104D"/>
    <w:rsid w:val="00D3120B"/>
    <w:rsid w:val="00D35397"/>
    <w:rsid w:val="00D376D8"/>
    <w:rsid w:val="00D47744"/>
    <w:rsid w:val="00D50D1F"/>
    <w:rsid w:val="00D51EA2"/>
    <w:rsid w:val="00D52BF0"/>
    <w:rsid w:val="00D61568"/>
    <w:rsid w:val="00D62B32"/>
    <w:rsid w:val="00D63583"/>
    <w:rsid w:val="00D63A51"/>
    <w:rsid w:val="00D66AF1"/>
    <w:rsid w:val="00D70CDA"/>
    <w:rsid w:val="00D74606"/>
    <w:rsid w:val="00D775EA"/>
    <w:rsid w:val="00D77FA5"/>
    <w:rsid w:val="00D938D8"/>
    <w:rsid w:val="00D93AA4"/>
    <w:rsid w:val="00D94063"/>
    <w:rsid w:val="00DB0766"/>
    <w:rsid w:val="00DB13D2"/>
    <w:rsid w:val="00DC7A5A"/>
    <w:rsid w:val="00DC7C03"/>
    <w:rsid w:val="00DD0C5C"/>
    <w:rsid w:val="00DD53D3"/>
    <w:rsid w:val="00DD6226"/>
    <w:rsid w:val="00DD7ED1"/>
    <w:rsid w:val="00DE3092"/>
    <w:rsid w:val="00DE34F5"/>
    <w:rsid w:val="00DE5111"/>
    <w:rsid w:val="00DE69FF"/>
    <w:rsid w:val="00DE76D2"/>
    <w:rsid w:val="00DE77D3"/>
    <w:rsid w:val="00DF0E25"/>
    <w:rsid w:val="00DF20C2"/>
    <w:rsid w:val="00DF2C13"/>
    <w:rsid w:val="00DF380E"/>
    <w:rsid w:val="00DF5C46"/>
    <w:rsid w:val="00DF77EB"/>
    <w:rsid w:val="00E00839"/>
    <w:rsid w:val="00E01037"/>
    <w:rsid w:val="00E0509D"/>
    <w:rsid w:val="00E10CBE"/>
    <w:rsid w:val="00E112C3"/>
    <w:rsid w:val="00E12036"/>
    <w:rsid w:val="00E13DF0"/>
    <w:rsid w:val="00E156AA"/>
    <w:rsid w:val="00E21354"/>
    <w:rsid w:val="00E22BB5"/>
    <w:rsid w:val="00E246CD"/>
    <w:rsid w:val="00E26567"/>
    <w:rsid w:val="00E31C67"/>
    <w:rsid w:val="00E34E32"/>
    <w:rsid w:val="00E35621"/>
    <w:rsid w:val="00E4064E"/>
    <w:rsid w:val="00E43CD8"/>
    <w:rsid w:val="00E452F9"/>
    <w:rsid w:val="00E455A8"/>
    <w:rsid w:val="00E50358"/>
    <w:rsid w:val="00E57EAE"/>
    <w:rsid w:val="00E601AF"/>
    <w:rsid w:val="00E63FFA"/>
    <w:rsid w:val="00E664F5"/>
    <w:rsid w:val="00E67DFF"/>
    <w:rsid w:val="00E70B71"/>
    <w:rsid w:val="00E723B4"/>
    <w:rsid w:val="00E75EBD"/>
    <w:rsid w:val="00E861C8"/>
    <w:rsid w:val="00E867FA"/>
    <w:rsid w:val="00E91985"/>
    <w:rsid w:val="00E91EF3"/>
    <w:rsid w:val="00E9313B"/>
    <w:rsid w:val="00E93141"/>
    <w:rsid w:val="00E938E7"/>
    <w:rsid w:val="00E94A93"/>
    <w:rsid w:val="00E95A0E"/>
    <w:rsid w:val="00EA087C"/>
    <w:rsid w:val="00EA372E"/>
    <w:rsid w:val="00EA4356"/>
    <w:rsid w:val="00EA7AC8"/>
    <w:rsid w:val="00EA7F4D"/>
    <w:rsid w:val="00EB1C33"/>
    <w:rsid w:val="00EB3C3E"/>
    <w:rsid w:val="00EB42DB"/>
    <w:rsid w:val="00EB56FA"/>
    <w:rsid w:val="00EB67AD"/>
    <w:rsid w:val="00EB6AE0"/>
    <w:rsid w:val="00EB78FA"/>
    <w:rsid w:val="00EC1C9F"/>
    <w:rsid w:val="00EC1EB0"/>
    <w:rsid w:val="00EC2F76"/>
    <w:rsid w:val="00EC3AEC"/>
    <w:rsid w:val="00EC57F3"/>
    <w:rsid w:val="00ED0775"/>
    <w:rsid w:val="00ED1C5D"/>
    <w:rsid w:val="00ED41D0"/>
    <w:rsid w:val="00ED5131"/>
    <w:rsid w:val="00EE102D"/>
    <w:rsid w:val="00EF0839"/>
    <w:rsid w:val="00EF1531"/>
    <w:rsid w:val="00EF5B22"/>
    <w:rsid w:val="00EF5CB9"/>
    <w:rsid w:val="00F0096D"/>
    <w:rsid w:val="00F0369D"/>
    <w:rsid w:val="00F123F4"/>
    <w:rsid w:val="00F140A6"/>
    <w:rsid w:val="00F1414B"/>
    <w:rsid w:val="00F15181"/>
    <w:rsid w:val="00F16217"/>
    <w:rsid w:val="00F25FF0"/>
    <w:rsid w:val="00F26647"/>
    <w:rsid w:val="00F32C7A"/>
    <w:rsid w:val="00F3353D"/>
    <w:rsid w:val="00F33860"/>
    <w:rsid w:val="00F3482F"/>
    <w:rsid w:val="00F42742"/>
    <w:rsid w:val="00F468F5"/>
    <w:rsid w:val="00F5013F"/>
    <w:rsid w:val="00F51806"/>
    <w:rsid w:val="00F54D14"/>
    <w:rsid w:val="00F54F5B"/>
    <w:rsid w:val="00F602D4"/>
    <w:rsid w:val="00F6336C"/>
    <w:rsid w:val="00F66D09"/>
    <w:rsid w:val="00F7219E"/>
    <w:rsid w:val="00F747ED"/>
    <w:rsid w:val="00F76B23"/>
    <w:rsid w:val="00F77E34"/>
    <w:rsid w:val="00F81840"/>
    <w:rsid w:val="00F84154"/>
    <w:rsid w:val="00F85548"/>
    <w:rsid w:val="00F86202"/>
    <w:rsid w:val="00F91323"/>
    <w:rsid w:val="00F919D6"/>
    <w:rsid w:val="00F92530"/>
    <w:rsid w:val="00F92EB7"/>
    <w:rsid w:val="00F96D2C"/>
    <w:rsid w:val="00FA20EC"/>
    <w:rsid w:val="00FA6528"/>
    <w:rsid w:val="00FA75B6"/>
    <w:rsid w:val="00FA7644"/>
    <w:rsid w:val="00FB2011"/>
    <w:rsid w:val="00FB42B3"/>
    <w:rsid w:val="00FB4FD6"/>
    <w:rsid w:val="00FB5BFC"/>
    <w:rsid w:val="00FB66FB"/>
    <w:rsid w:val="00FB6EB5"/>
    <w:rsid w:val="00FC23F5"/>
    <w:rsid w:val="00FC262D"/>
    <w:rsid w:val="00FC4774"/>
    <w:rsid w:val="00FC4FF0"/>
    <w:rsid w:val="00FD0EAF"/>
    <w:rsid w:val="00FD1AEE"/>
    <w:rsid w:val="00FD568D"/>
    <w:rsid w:val="00FE0689"/>
    <w:rsid w:val="00FE0ECB"/>
    <w:rsid w:val="00FE5D65"/>
    <w:rsid w:val="00FF1E23"/>
    <w:rsid w:val="00FF57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A1C49"/>
  <w15:chartTrackingRefBased/>
  <w15:docId w15:val="{0A2F9626-2D8D-408A-AE70-7B2B23DD5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F56"/>
    <w:pPr>
      <w:spacing w:after="200" w:line="360" w:lineRule="auto"/>
    </w:pPr>
    <w:rPr>
      <w:szCs w:val="20"/>
    </w:rPr>
  </w:style>
  <w:style w:type="paragraph" w:styleId="Heading1">
    <w:name w:val="heading 1"/>
    <w:next w:val="Normal"/>
    <w:link w:val="Heading1Char"/>
    <w:uiPriority w:val="9"/>
    <w:qFormat/>
    <w:rsid w:val="0091552B"/>
    <w:pPr>
      <w:spacing w:after="240"/>
      <w:ind w:left="1267" w:right="1267"/>
      <w:outlineLvl w:val="0"/>
    </w:pPr>
    <w:rPr>
      <w:b/>
      <w:bCs/>
      <w:color w:val="FFFFFF" w:themeColor="background1"/>
      <w:sz w:val="48"/>
      <w:szCs w:val="48"/>
    </w:rPr>
  </w:style>
  <w:style w:type="paragraph" w:styleId="Heading2">
    <w:name w:val="heading 2"/>
    <w:next w:val="Normal"/>
    <w:link w:val="Heading2Char"/>
    <w:uiPriority w:val="9"/>
    <w:unhideWhenUsed/>
    <w:qFormat/>
    <w:rsid w:val="00BB4982"/>
    <w:pPr>
      <w:keepNext/>
      <w:keepLines/>
      <w:widowControl w:val="0"/>
      <w:spacing w:before="240" w:line="336" w:lineRule="auto"/>
      <w:outlineLvl w:val="1"/>
    </w:pPr>
    <w:rPr>
      <w:rFonts w:asciiTheme="majorHAnsi" w:hAnsiTheme="majorHAnsi"/>
      <w:b/>
      <w:color w:val="0056A9"/>
      <w:sz w:val="32"/>
      <w:szCs w:val="32"/>
    </w:rPr>
  </w:style>
  <w:style w:type="paragraph" w:styleId="Heading3">
    <w:name w:val="heading 3"/>
    <w:next w:val="Normal"/>
    <w:link w:val="Heading3Char"/>
    <w:uiPriority w:val="9"/>
    <w:unhideWhenUsed/>
    <w:qFormat/>
    <w:rsid w:val="00BB4982"/>
    <w:pPr>
      <w:keepNext/>
      <w:keepLines/>
      <w:widowControl w:val="0"/>
      <w:spacing w:before="40" w:line="336" w:lineRule="auto"/>
      <w:outlineLvl w:val="2"/>
    </w:pPr>
    <w:rPr>
      <w:rFonts w:asciiTheme="majorHAnsi" w:eastAsiaTheme="majorEastAsia" w:hAnsiTheme="majorHAnsi" w:cstheme="majorBidi"/>
      <w:b/>
      <w:color w:val="002E69"/>
      <w:sz w:val="28"/>
      <w:szCs w:val="32"/>
    </w:rPr>
  </w:style>
  <w:style w:type="paragraph" w:styleId="Heading4">
    <w:name w:val="heading 4"/>
    <w:next w:val="Normal"/>
    <w:link w:val="Heading4Char"/>
    <w:uiPriority w:val="9"/>
    <w:unhideWhenUsed/>
    <w:qFormat/>
    <w:rsid w:val="00BB4982"/>
    <w:pPr>
      <w:keepNext/>
      <w:keepLines/>
      <w:widowControl w:val="0"/>
      <w:spacing w:before="40" w:line="336" w:lineRule="auto"/>
      <w:outlineLvl w:val="3"/>
    </w:pPr>
    <w:rPr>
      <w:rFonts w:asciiTheme="majorHAnsi" w:eastAsiaTheme="majorEastAsia" w:hAnsiTheme="majorHAnsi" w:cstheme="majorBidi"/>
      <w:b/>
      <w:i/>
      <w:color w:val="002E69"/>
      <w:sz w:val="26"/>
      <w:szCs w:val="28"/>
    </w:rPr>
  </w:style>
  <w:style w:type="paragraph" w:styleId="Heading5">
    <w:name w:val="heading 5"/>
    <w:basedOn w:val="Heading4"/>
    <w:next w:val="Normal"/>
    <w:link w:val="Heading5Char"/>
    <w:uiPriority w:val="9"/>
    <w:unhideWhenUsed/>
    <w:qFormat/>
    <w:rsid w:val="00C423F6"/>
    <w:pPr>
      <w:spacing w:before="300"/>
      <w:outlineLvl w:val="4"/>
    </w:pPr>
    <w:rPr>
      <w:i w:val="0"/>
      <w:iCs/>
      <w:color w:val="0056A9" w:themeColor="accent1"/>
      <w:szCs w:val="26"/>
    </w:rPr>
  </w:style>
  <w:style w:type="paragraph" w:styleId="Heading6">
    <w:name w:val="heading 6"/>
    <w:next w:val="Normal"/>
    <w:link w:val="Heading6Char"/>
    <w:uiPriority w:val="9"/>
    <w:unhideWhenUsed/>
    <w:qFormat/>
    <w:rsid w:val="00B93B4F"/>
    <w:pPr>
      <w:spacing w:after="120" w:line="360" w:lineRule="auto"/>
      <w:outlineLvl w:val="5"/>
    </w:pPr>
    <w:rPr>
      <w:rFonts w:asciiTheme="majorHAnsi" w:hAnsiTheme="majorHAnsi"/>
      <w:b/>
      <w:bCs/>
      <w:iCs/>
      <w:color w:val="0056A9" w:themeColor="accent1"/>
    </w:rPr>
  </w:style>
  <w:style w:type="paragraph" w:styleId="Heading7">
    <w:name w:val="heading 7"/>
    <w:basedOn w:val="Normal"/>
    <w:next w:val="Normal"/>
    <w:link w:val="Heading7Char"/>
    <w:uiPriority w:val="9"/>
    <w:unhideWhenUsed/>
    <w:qFormat/>
    <w:rsid w:val="003C2A4C"/>
    <w:pPr>
      <w:pBdr>
        <w:top w:val="single" w:sz="48" w:space="1" w:color="0056A9" w:themeColor="accent1"/>
        <w:left w:val="single" w:sz="48" w:space="4" w:color="0056A9" w:themeColor="accent1"/>
        <w:bottom w:val="single" w:sz="48" w:space="1" w:color="0056A9" w:themeColor="accent1"/>
        <w:right w:val="single" w:sz="48" w:space="4" w:color="0056A9" w:themeColor="accent1"/>
      </w:pBdr>
      <w:shd w:val="clear" w:color="auto" w:fill="0056A9" w:themeFill="accent1"/>
      <w:outlineLvl w:val="6"/>
    </w:pPr>
    <w:rPr>
      <w:b/>
      <w:bCs/>
      <w:color w:val="FFFFFF" w:themeColor="background1"/>
    </w:rPr>
  </w:style>
  <w:style w:type="paragraph" w:styleId="Heading8">
    <w:name w:val="heading 8"/>
    <w:basedOn w:val="Normal"/>
    <w:next w:val="Normal"/>
    <w:link w:val="Heading8Char"/>
    <w:uiPriority w:val="9"/>
    <w:semiHidden/>
    <w:unhideWhenUsed/>
    <w:qFormat/>
    <w:rsid w:val="003D0A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A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52B"/>
    <w:rPr>
      <w:b/>
      <w:bCs/>
      <w:color w:val="FFFFFF" w:themeColor="background1"/>
      <w:sz w:val="48"/>
      <w:szCs w:val="48"/>
    </w:rPr>
  </w:style>
  <w:style w:type="character" w:customStyle="1" w:styleId="Heading2Char">
    <w:name w:val="Heading 2 Char"/>
    <w:basedOn w:val="DefaultParagraphFont"/>
    <w:link w:val="Heading2"/>
    <w:uiPriority w:val="9"/>
    <w:rsid w:val="00BB4982"/>
    <w:rPr>
      <w:rFonts w:asciiTheme="majorHAnsi" w:hAnsiTheme="majorHAnsi"/>
      <w:b/>
      <w:color w:val="0056A9"/>
      <w:sz w:val="32"/>
      <w:szCs w:val="32"/>
    </w:rPr>
  </w:style>
  <w:style w:type="character" w:customStyle="1" w:styleId="Heading3Char">
    <w:name w:val="Heading 3 Char"/>
    <w:basedOn w:val="DefaultParagraphFont"/>
    <w:link w:val="Heading3"/>
    <w:uiPriority w:val="9"/>
    <w:rsid w:val="00BB4982"/>
    <w:rPr>
      <w:rFonts w:asciiTheme="majorHAnsi" w:eastAsiaTheme="majorEastAsia" w:hAnsiTheme="majorHAnsi" w:cstheme="majorBidi"/>
      <w:b/>
      <w:color w:val="002E69"/>
      <w:sz w:val="28"/>
      <w:szCs w:val="32"/>
    </w:rPr>
  </w:style>
  <w:style w:type="character" w:customStyle="1" w:styleId="Heading4Char">
    <w:name w:val="Heading 4 Char"/>
    <w:basedOn w:val="DefaultParagraphFont"/>
    <w:link w:val="Heading4"/>
    <w:uiPriority w:val="9"/>
    <w:rsid w:val="00BB4982"/>
    <w:rPr>
      <w:rFonts w:asciiTheme="majorHAnsi" w:eastAsiaTheme="majorEastAsia" w:hAnsiTheme="majorHAnsi" w:cstheme="majorBidi"/>
      <w:b/>
      <w:i/>
      <w:color w:val="002E69"/>
      <w:sz w:val="26"/>
      <w:szCs w:val="28"/>
    </w:rPr>
  </w:style>
  <w:style w:type="character" w:customStyle="1" w:styleId="Heading5Char">
    <w:name w:val="Heading 5 Char"/>
    <w:basedOn w:val="DefaultParagraphFont"/>
    <w:link w:val="Heading5"/>
    <w:uiPriority w:val="9"/>
    <w:rsid w:val="00C423F6"/>
    <w:rPr>
      <w:rFonts w:asciiTheme="majorHAnsi" w:eastAsiaTheme="majorEastAsia" w:hAnsiTheme="majorHAnsi" w:cstheme="majorBidi"/>
      <w:b/>
      <w:i/>
      <w:iCs/>
      <w:color w:val="0056A9" w:themeColor="accent1"/>
      <w:sz w:val="26"/>
      <w:szCs w:val="26"/>
    </w:rPr>
  </w:style>
  <w:style w:type="character" w:customStyle="1" w:styleId="Heading6Char">
    <w:name w:val="Heading 6 Char"/>
    <w:basedOn w:val="DefaultParagraphFont"/>
    <w:link w:val="Heading6"/>
    <w:uiPriority w:val="9"/>
    <w:rsid w:val="00B93B4F"/>
    <w:rPr>
      <w:rFonts w:asciiTheme="majorHAnsi" w:hAnsiTheme="majorHAnsi"/>
      <w:b/>
      <w:bCs/>
      <w:iCs/>
      <w:color w:val="0056A9" w:themeColor="accent1"/>
    </w:rPr>
  </w:style>
  <w:style w:type="character" w:customStyle="1" w:styleId="Heading7Char">
    <w:name w:val="Heading 7 Char"/>
    <w:basedOn w:val="DefaultParagraphFont"/>
    <w:link w:val="Heading7"/>
    <w:uiPriority w:val="9"/>
    <w:rsid w:val="003C2A4C"/>
    <w:rPr>
      <w:b/>
      <w:bCs/>
      <w:color w:val="FFFFFF" w:themeColor="background1"/>
      <w:szCs w:val="20"/>
      <w:shd w:val="clear" w:color="auto" w:fill="0056A9" w:themeFill="accent1"/>
    </w:rPr>
  </w:style>
  <w:style w:type="character" w:customStyle="1" w:styleId="Heading8Char">
    <w:name w:val="Heading 8 Char"/>
    <w:basedOn w:val="DefaultParagraphFont"/>
    <w:link w:val="Heading8"/>
    <w:uiPriority w:val="9"/>
    <w:semiHidden/>
    <w:rsid w:val="003D0A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A5B"/>
    <w:rPr>
      <w:rFonts w:eastAsiaTheme="majorEastAsia" w:cstheme="majorBidi"/>
      <w:color w:val="272727" w:themeColor="text1" w:themeTint="D8"/>
    </w:rPr>
  </w:style>
  <w:style w:type="paragraph" w:customStyle="1" w:styleId="TableHeadingSingle">
    <w:name w:val="Table Heading (Single"/>
    <w:aliases w:val="No Space After)"/>
    <w:basedOn w:val="Normal"/>
    <w:rsid w:val="005D38BE"/>
    <w:pPr>
      <w:framePr w:wrap="around" w:vAnchor="text" w:hAnchor="text" w:y="1"/>
      <w:spacing w:after="0" w:line="240" w:lineRule="auto"/>
      <w:suppressOverlap/>
    </w:pPr>
    <w:rPr>
      <w:rFonts w:asciiTheme="majorHAnsi" w:hAnsiTheme="majorHAnsi"/>
      <w:b/>
      <w:color w:val="FFFFFF" w:themeColor="background1"/>
    </w:rPr>
  </w:style>
  <w:style w:type="paragraph" w:styleId="Footer">
    <w:name w:val="footer"/>
    <w:basedOn w:val="Normal"/>
    <w:link w:val="FooterChar"/>
    <w:uiPriority w:val="99"/>
    <w:unhideWhenUsed/>
    <w:rsid w:val="00EB78FA"/>
    <w:pPr>
      <w:tabs>
        <w:tab w:val="center" w:pos="4680"/>
        <w:tab w:val="right" w:pos="9360"/>
      </w:tabs>
      <w:spacing w:before="360" w:after="0"/>
    </w:pPr>
    <w:rPr>
      <w:color w:val="0056A9" w:themeColor="accent1"/>
    </w:rPr>
  </w:style>
  <w:style w:type="character" w:customStyle="1" w:styleId="FooterChar">
    <w:name w:val="Footer Char"/>
    <w:basedOn w:val="DefaultParagraphFont"/>
    <w:link w:val="Footer"/>
    <w:uiPriority w:val="99"/>
    <w:rsid w:val="00EB78FA"/>
    <w:rPr>
      <w:color w:val="0056A9" w:themeColor="accent1"/>
      <w:szCs w:val="20"/>
    </w:rPr>
  </w:style>
  <w:style w:type="table" w:customStyle="1" w:styleId="ATFTxDOTTable">
    <w:name w:val="ATF TxDOT Table"/>
    <w:basedOn w:val="TableNormal"/>
    <w:uiPriority w:val="99"/>
    <w:rsid w:val="00211BC0"/>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cPr>
      <w:vAlign w:val="center"/>
    </w:tcPr>
    <w:tblStylePr w:type="firstRow">
      <w:rPr>
        <w:b/>
        <w:color w:val="FFFFFF" w:themeColor="background1"/>
      </w:rPr>
      <w:tblPr/>
      <w:tcPr>
        <w:shd w:val="clear" w:color="auto" w:fill="0056A9" w:themeFill="accent1"/>
      </w:tcPr>
    </w:tblStylePr>
    <w:tblStylePr w:type="band1Horz">
      <w:tblPr/>
      <w:tcPr>
        <w:shd w:val="clear" w:color="auto" w:fill="FFFFFF" w:themeFill="background1"/>
      </w:tcPr>
    </w:tblStylePr>
    <w:tblStylePr w:type="band2Horz">
      <w:tblPr/>
      <w:tcPr>
        <w:shd w:val="clear" w:color="auto" w:fill="DADEE5"/>
      </w:tcPr>
    </w:tblStylePr>
  </w:style>
  <w:style w:type="paragraph" w:styleId="Caption">
    <w:name w:val="caption"/>
    <w:basedOn w:val="Normal"/>
    <w:next w:val="Normal"/>
    <w:autoRedefine/>
    <w:uiPriority w:val="35"/>
    <w:unhideWhenUsed/>
    <w:rsid w:val="00EA372E"/>
    <w:pPr>
      <w:keepNext/>
      <w:spacing w:line="240" w:lineRule="auto"/>
    </w:pPr>
    <w:rPr>
      <w:rFonts w:eastAsia="MS Mincho" w:cs="Traditional Arabic"/>
      <w:b/>
      <w:bCs/>
      <w:iCs/>
      <w:color w:val="000000" w:themeColor="text2"/>
      <w:kern w:val="0"/>
      <w:szCs w:val="18"/>
      <w14:ligatures w14:val="none"/>
    </w:rPr>
  </w:style>
  <w:style w:type="paragraph" w:customStyle="1" w:styleId="SpecialCentered">
    <w:name w:val="Special Centered"/>
    <w:basedOn w:val="Normal"/>
    <w:link w:val="SpecialCenteredChar"/>
    <w:rsid w:val="00145F56"/>
    <w:pPr>
      <w:jc w:val="center"/>
    </w:pPr>
    <w:rPr>
      <w:kern w:val="0"/>
      <w:szCs w:val="28"/>
      <w14:ligatures w14:val="none"/>
    </w:rPr>
  </w:style>
  <w:style w:type="paragraph" w:customStyle="1" w:styleId="TableNormalNoSpaceAfter">
    <w:name w:val="Table Normal (No Space After)"/>
    <w:basedOn w:val="Normal"/>
    <w:rsid w:val="00AB41E2"/>
    <w:pPr>
      <w:spacing w:after="0"/>
    </w:pPr>
  </w:style>
  <w:style w:type="character" w:customStyle="1" w:styleId="SpecialCenteredChar">
    <w:name w:val="Special Centered Char"/>
    <w:basedOn w:val="DefaultParagraphFont"/>
    <w:link w:val="SpecialCentered"/>
    <w:rsid w:val="00145F56"/>
    <w:rPr>
      <w:kern w:val="0"/>
      <w:szCs w:val="28"/>
      <w14:ligatures w14:val="none"/>
    </w:rPr>
  </w:style>
  <w:style w:type="paragraph" w:styleId="NoSpacing">
    <w:name w:val="No Spacing"/>
    <w:basedOn w:val="Normal"/>
    <w:uiPriority w:val="1"/>
    <w:rsid w:val="00B11660"/>
    <w:rPr>
      <w:sz w:val="18"/>
    </w:rPr>
  </w:style>
  <w:style w:type="table" w:customStyle="1" w:styleId="TxDOTsimpleleftaxistable">
    <w:name w:val="TxDOT simple left axis table"/>
    <w:basedOn w:val="TableNormal"/>
    <w:uiPriority w:val="99"/>
    <w:rsid w:val="00953721"/>
    <w:rPr>
      <w:sz w:val="18"/>
    </w:rPr>
    <w:tblPr>
      <w:tblCellMar>
        <w:top w:w="115" w:type="dxa"/>
        <w:left w:w="58" w:type="dxa"/>
        <w:bottom w:w="115" w:type="dxa"/>
        <w:right w:w="58" w:type="dxa"/>
      </w:tblCellMar>
    </w:tblPr>
    <w:tblStylePr w:type="firstRow">
      <w:rPr>
        <w:b/>
        <w:sz w:val="18"/>
      </w:rPr>
      <w:tblPr/>
      <w:tcPr>
        <w:tcBorders>
          <w:top w:val="nil"/>
          <w:left w:val="nil"/>
          <w:bottom w:val="single" w:sz="24" w:space="0" w:color="000000" w:themeColor="text1"/>
          <w:right w:val="nil"/>
          <w:insideH w:val="nil"/>
          <w:insideV w:val="nil"/>
          <w:tl2br w:val="nil"/>
          <w:tr2bl w:val="nil"/>
        </w:tcBorders>
      </w:tcPr>
    </w:tblStylePr>
    <w:tblStylePr w:type="firstCol">
      <w:rPr>
        <w:b/>
        <w:sz w:val="18"/>
      </w:rPr>
    </w:tblStylePr>
  </w:style>
  <w:style w:type="paragraph" w:styleId="TOC1">
    <w:name w:val="toc 1"/>
    <w:basedOn w:val="Normal"/>
    <w:next w:val="Normal"/>
    <w:autoRedefine/>
    <w:uiPriority w:val="39"/>
    <w:rsid w:val="00295654"/>
    <w:pPr>
      <w:tabs>
        <w:tab w:val="right" w:leader="dot" w:pos="9360"/>
      </w:tabs>
      <w:spacing w:before="120" w:after="120" w:line="312" w:lineRule="auto"/>
    </w:pPr>
    <w:rPr>
      <w:rFonts w:ascii="Verdana" w:eastAsia="MS Mincho" w:hAnsi="Verdana" w:cs="Traditional Arabic"/>
      <w:b/>
      <w:noProof/>
      <w:color w:val="0056A9"/>
      <w:kern w:val="0"/>
      <w:szCs w:val="28"/>
      <w14:ligatures w14:val="none"/>
    </w:rPr>
  </w:style>
  <w:style w:type="character" w:styleId="Hyperlink">
    <w:name w:val="Hyperlink"/>
    <w:basedOn w:val="DefaultParagraphFont"/>
    <w:uiPriority w:val="99"/>
    <w:rsid w:val="00BC7158"/>
    <w:rPr>
      <w:rFonts w:cs="Times New Roman"/>
      <w:color w:val="0056A9" w:themeColor="accent1"/>
      <w:u w:val="single"/>
    </w:rPr>
  </w:style>
  <w:style w:type="paragraph" w:styleId="TOCHeading">
    <w:name w:val="TOC Heading"/>
    <w:basedOn w:val="Heading1"/>
    <w:next w:val="Normal"/>
    <w:uiPriority w:val="39"/>
    <w:unhideWhenUsed/>
    <w:qFormat/>
    <w:rsid w:val="00AA10E8"/>
    <w:pPr>
      <w:spacing w:after="200" w:line="259" w:lineRule="auto"/>
      <w:ind w:left="0" w:right="0"/>
      <w:outlineLvl w:val="9"/>
    </w:pPr>
    <w:rPr>
      <w:rFonts w:asciiTheme="majorHAnsi" w:hAnsiTheme="majorHAnsi"/>
      <w:color w:val="0056A9" w:themeColor="accent1"/>
      <w:kern w:val="0"/>
      <w:szCs w:val="32"/>
      <w14:ligatures w14:val="none"/>
    </w:rPr>
  </w:style>
  <w:style w:type="table" w:styleId="TableGrid">
    <w:name w:val="Table Grid"/>
    <w:basedOn w:val="TableNormal"/>
    <w:uiPriority w:val="39"/>
    <w:rsid w:val="00C44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EB3C3E"/>
    <w:pPr>
      <w:spacing w:after="100"/>
      <w:ind w:left="360"/>
    </w:pPr>
    <w:rPr>
      <w:bCs/>
      <w:noProof/>
    </w:rPr>
  </w:style>
  <w:style w:type="paragraph" w:customStyle="1" w:styleId="NormalSingleSpaceNoSpaceAfter">
    <w:name w:val="Normal Single Space (No Space After)"/>
    <w:basedOn w:val="Normal"/>
    <w:rsid w:val="0046726C"/>
    <w:pPr>
      <w:spacing w:after="0"/>
    </w:pPr>
    <w:rPr>
      <w:noProof/>
    </w:rPr>
  </w:style>
  <w:style w:type="paragraph" w:styleId="TOC2">
    <w:name w:val="toc 2"/>
    <w:basedOn w:val="Normal"/>
    <w:next w:val="Normal"/>
    <w:autoRedefine/>
    <w:uiPriority w:val="39"/>
    <w:unhideWhenUsed/>
    <w:rsid w:val="00B84643"/>
    <w:pPr>
      <w:spacing w:after="100"/>
      <w:ind w:left="180"/>
    </w:pPr>
  </w:style>
  <w:style w:type="paragraph" w:styleId="Header">
    <w:name w:val="header"/>
    <w:basedOn w:val="Normal"/>
    <w:link w:val="HeaderChar"/>
    <w:uiPriority w:val="99"/>
    <w:unhideWhenUsed/>
    <w:rsid w:val="00505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CA3"/>
    <w:rPr>
      <w:sz w:val="18"/>
      <w:szCs w:val="20"/>
    </w:rPr>
  </w:style>
  <w:style w:type="character" w:styleId="PageNumber">
    <w:name w:val="page number"/>
    <w:basedOn w:val="DefaultParagraphFont"/>
    <w:uiPriority w:val="99"/>
    <w:semiHidden/>
    <w:unhideWhenUsed/>
    <w:rsid w:val="00505CA3"/>
  </w:style>
  <w:style w:type="paragraph" w:styleId="ListBullet">
    <w:name w:val="List Bullet"/>
    <w:basedOn w:val="Normal"/>
    <w:uiPriority w:val="1"/>
    <w:qFormat/>
    <w:rsid w:val="007D485D"/>
    <w:pPr>
      <w:numPr>
        <w:numId w:val="2"/>
      </w:numPr>
      <w:ind w:left="1166" w:hanging="446"/>
    </w:pPr>
    <w:rPr>
      <w:rFonts w:ascii="Verdana" w:eastAsia="MS Mincho" w:hAnsi="Verdana" w:cs="Times New Roman"/>
      <w:color w:val="000000"/>
      <w:kern w:val="0"/>
      <w:szCs w:val="22"/>
      <w14:ligatures w14:val="none"/>
    </w:rPr>
  </w:style>
  <w:style w:type="paragraph" w:styleId="ListNumber">
    <w:name w:val="List Number"/>
    <w:basedOn w:val="BodyText"/>
    <w:uiPriority w:val="99"/>
    <w:qFormat/>
    <w:rsid w:val="00C74B3E"/>
    <w:pPr>
      <w:spacing w:after="200"/>
      <w:contextualSpacing/>
    </w:pPr>
    <w:rPr>
      <w:rFonts w:ascii="Verdana" w:eastAsia="MS Mincho" w:hAnsi="Verdana" w:cs="Times New Roman"/>
      <w:color w:val="000000"/>
      <w:kern w:val="0"/>
      <w:szCs w:val="22"/>
      <w14:ligatures w14:val="none"/>
    </w:rPr>
  </w:style>
  <w:style w:type="paragraph" w:styleId="BodyText">
    <w:name w:val="Body Text"/>
    <w:basedOn w:val="Normal"/>
    <w:link w:val="BodyTextChar"/>
    <w:uiPriority w:val="99"/>
    <w:semiHidden/>
    <w:unhideWhenUsed/>
    <w:rsid w:val="00F96D2C"/>
    <w:pPr>
      <w:spacing w:after="120"/>
    </w:pPr>
  </w:style>
  <w:style w:type="character" w:customStyle="1" w:styleId="BodyTextChar">
    <w:name w:val="Body Text Char"/>
    <w:basedOn w:val="DefaultParagraphFont"/>
    <w:link w:val="BodyText"/>
    <w:uiPriority w:val="99"/>
    <w:semiHidden/>
    <w:rsid w:val="00F96D2C"/>
    <w:rPr>
      <w:sz w:val="18"/>
      <w:szCs w:val="20"/>
    </w:rPr>
  </w:style>
  <w:style w:type="paragraph" w:customStyle="1" w:styleId="CVRTxDOTLogoSpacing">
    <w:name w:val="CVR TxDOT Logo Spacing"/>
    <w:rsid w:val="004D3590"/>
    <w:pPr>
      <w:spacing w:before="1000" w:after="360"/>
      <w:ind w:left="1267" w:right="1267"/>
    </w:pPr>
    <w:rPr>
      <w:noProof/>
      <w:color w:val="FFFFFF" w:themeColor="background1"/>
      <w:sz w:val="32"/>
      <w:szCs w:val="32"/>
    </w:rPr>
  </w:style>
  <w:style w:type="paragraph" w:styleId="FootnoteText">
    <w:name w:val="footnote text"/>
    <w:basedOn w:val="Normal"/>
    <w:link w:val="FootnoteTextChar"/>
    <w:uiPriority w:val="99"/>
    <w:unhideWhenUsed/>
    <w:qFormat/>
    <w:rsid w:val="00E9313B"/>
    <w:pPr>
      <w:spacing w:after="0" w:line="240" w:lineRule="auto"/>
    </w:pPr>
    <w:rPr>
      <w:sz w:val="20"/>
    </w:rPr>
  </w:style>
  <w:style w:type="character" w:customStyle="1" w:styleId="FootnoteTextChar">
    <w:name w:val="Footnote Text Char"/>
    <w:basedOn w:val="DefaultParagraphFont"/>
    <w:link w:val="FootnoteText"/>
    <w:uiPriority w:val="99"/>
    <w:rsid w:val="00E9313B"/>
    <w:rPr>
      <w:sz w:val="20"/>
      <w:szCs w:val="20"/>
    </w:rPr>
  </w:style>
  <w:style w:type="character" w:styleId="FootnoteReference">
    <w:name w:val="footnote reference"/>
    <w:basedOn w:val="DefaultParagraphFont"/>
    <w:uiPriority w:val="99"/>
    <w:unhideWhenUsed/>
    <w:qFormat/>
    <w:rsid w:val="00E9313B"/>
    <w:rPr>
      <w:vertAlign w:val="superscript"/>
    </w:rPr>
  </w:style>
  <w:style w:type="paragraph" w:styleId="EndnoteText">
    <w:name w:val="endnote text"/>
    <w:basedOn w:val="Normal"/>
    <w:link w:val="EndnoteTextChar"/>
    <w:uiPriority w:val="99"/>
    <w:semiHidden/>
    <w:unhideWhenUsed/>
    <w:rsid w:val="00E9313B"/>
    <w:pPr>
      <w:spacing w:after="0" w:line="240" w:lineRule="auto"/>
    </w:pPr>
    <w:rPr>
      <w:sz w:val="20"/>
    </w:rPr>
  </w:style>
  <w:style w:type="character" w:customStyle="1" w:styleId="EndnoteTextChar">
    <w:name w:val="Endnote Text Char"/>
    <w:basedOn w:val="DefaultParagraphFont"/>
    <w:link w:val="EndnoteText"/>
    <w:uiPriority w:val="99"/>
    <w:semiHidden/>
    <w:rsid w:val="00E9313B"/>
    <w:rPr>
      <w:sz w:val="20"/>
      <w:szCs w:val="20"/>
    </w:rPr>
  </w:style>
  <w:style w:type="character" w:styleId="EndnoteReference">
    <w:name w:val="endnote reference"/>
    <w:basedOn w:val="DefaultParagraphFont"/>
    <w:uiPriority w:val="99"/>
    <w:semiHidden/>
    <w:unhideWhenUsed/>
    <w:rsid w:val="00E9313B"/>
    <w:rPr>
      <w:vertAlign w:val="superscript"/>
    </w:rPr>
  </w:style>
  <w:style w:type="paragraph" w:customStyle="1" w:styleId="CoverPageNormal">
    <w:name w:val="Cover Page Normal"/>
    <w:qFormat/>
    <w:rsid w:val="00F92530"/>
    <w:pPr>
      <w:widowControl w:val="0"/>
      <w:spacing w:before="480" w:line="360" w:lineRule="auto"/>
      <w:ind w:left="1267" w:right="1267"/>
    </w:pPr>
    <w:rPr>
      <w:rFonts w:ascii="Verdana" w:eastAsia="MS Mincho" w:hAnsi="Verdana" w:cs="Traditional Arabic"/>
      <w:bCs/>
      <w:noProof/>
      <w:color w:val="FFFFFF" w:themeColor="background1"/>
      <w:kern w:val="0"/>
      <w:sz w:val="32"/>
      <w:szCs w:val="28"/>
      <w14:ligatures w14:val="none"/>
    </w:rPr>
  </w:style>
  <w:style w:type="paragraph" w:styleId="TOC9">
    <w:name w:val="toc 9"/>
    <w:basedOn w:val="Normal"/>
    <w:next w:val="Normal"/>
    <w:autoRedefine/>
    <w:uiPriority w:val="39"/>
    <w:semiHidden/>
    <w:unhideWhenUsed/>
    <w:rsid w:val="00295654"/>
    <w:pPr>
      <w:spacing w:after="100"/>
      <w:ind w:left="1920"/>
    </w:pPr>
  </w:style>
  <w:style w:type="paragraph" w:styleId="TOC4">
    <w:name w:val="toc 4"/>
    <w:basedOn w:val="Normal"/>
    <w:next w:val="Normal"/>
    <w:autoRedefine/>
    <w:uiPriority w:val="39"/>
    <w:unhideWhenUsed/>
    <w:rsid w:val="00295654"/>
    <w:pPr>
      <w:spacing w:after="100"/>
      <w:ind w:left="720"/>
    </w:pPr>
  </w:style>
  <w:style w:type="paragraph" w:styleId="TableofFigures">
    <w:name w:val="table of figures"/>
    <w:basedOn w:val="Normal"/>
    <w:next w:val="Normal"/>
    <w:uiPriority w:val="99"/>
    <w:unhideWhenUsed/>
    <w:rsid w:val="00340593"/>
    <w:pPr>
      <w:spacing w:after="0"/>
    </w:pPr>
  </w:style>
  <w:style w:type="paragraph" w:styleId="ListParagraph">
    <w:name w:val="List Paragraph"/>
    <w:basedOn w:val="Normal"/>
    <w:uiPriority w:val="34"/>
    <w:qFormat/>
    <w:rsid w:val="00185FCD"/>
    <w:pPr>
      <w:spacing w:before="120"/>
      <w:ind w:left="720"/>
      <w:contextualSpacing/>
    </w:pPr>
    <w:rPr>
      <w:color w:val="000000" w:themeColor="text1"/>
      <w:szCs w:val="24"/>
    </w:rPr>
  </w:style>
  <w:style w:type="paragraph" w:customStyle="1" w:styleId="SOPLevelONEauto-numbering">
    <w:name w:val="SOP Level ONE auto-numbering"/>
    <w:basedOn w:val="Normal"/>
    <w:rsid w:val="001027F6"/>
    <w:pPr>
      <w:numPr>
        <w:numId w:val="4"/>
      </w:numPr>
      <w:spacing w:after="120" w:line="276" w:lineRule="auto"/>
    </w:pPr>
    <w:rPr>
      <w:rFonts w:ascii="Arial" w:eastAsia="Times New Roman" w:hAnsi="Arial" w:cs="Arial"/>
      <w:kern w:val="0"/>
      <w:sz w:val="20"/>
      <w:szCs w:val="22"/>
      <w14:ligatures w14:val="none"/>
    </w:rPr>
  </w:style>
  <w:style w:type="paragraph" w:customStyle="1" w:styleId="SOPLevelTWOauto-numbering">
    <w:name w:val="SOP Level TWO auto-numbering"/>
    <w:basedOn w:val="Normal"/>
    <w:locked/>
    <w:rsid w:val="001027F6"/>
    <w:pPr>
      <w:numPr>
        <w:ilvl w:val="1"/>
        <w:numId w:val="4"/>
      </w:numPr>
      <w:spacing w:after="120" w:line="276" w:lineRule="auto"/>
    </w:pPr>
    <w:rPr>
      <w:rFonts w:ascii="Arial" w:eastAsia="Calibri" w:hAnsi="Arial" w:cs="Arial"/>
      <w:kern w:val="0"/>
      <w:sz w:val="20"/>
      <w14:ligatures w14:val="none"/>
    </w:rPr>
  </w:style>
  <w:style w:type="paragraph" w:customStyle="1" w:styleId="SOPLevelTHREEauto-numbering">
    <w:name w:val="SOP Level THREE auto-numbering"/>
    <w:basedOn w:val="Normal"/>
    <w:rsid w:val="001027F6"/>
    <w:pPr>
      <w:numPr>
        <w:ilvl w:val="2"/>
        <w:numId w:val="4"/>
      </w:numPr>
      <w:tabs>
        <w:tab w:val="left" w:pos="1818"/>
      </w:tabs>
      <w:spacing w:after="120" w:line="240" w:lineRule="auto"/>
      <w:ind w:left="1350" w:hanging="630"/>
    </w:pPr>
    <w:rPr>
      <w:rFonts w:ascii="Arial" w:eastAsia="Times New Roman" w:hAnsi="Arial" w:cs="Arial"/>
      <w:kern w:val="0"/>
      <w:sz w:val="20"/>
      <w:szCs w:val="22"/>
      <w14:ligatures w14:val="none"/>
    </w:rPr>
  </w:style>
  <w:style w:type="character" w:styleId="UnresolvedMention">
    <w:name w:val="Unresolved Mention"/>
    <w:basedOn w:val="DefaultParagraphFont"/>
    <w:uiPriority w:val="99"/>
    <w:semiHidden/>
    <w:unhideWhenUsed/>
    <w:rsid w:val="003D344D"/>
    <w:rPr>
      <w:color w:val="605E5C"/>
      <w:shd w:val="clear" w:color="auto" w:fill="E1DFDD"/>
    </w:rPr>
  </w:style>
  <w:style w:type="character" w:styleId="FollowedHyperlink">
    <w:name w:val="FollowedHyperlink"/>
    <w:basedOn w:val="DefaultParagraphFont"/>
    <w:uiPriority w:val="99"/>
    <w:semiHidden/>
    <w:unhideWhenUsed/>
    <w:rsid w:val="003D344D"/>
    <w:rPr>
      <w:color w:val="5F0F40" w:themeColor="followedHyperlink"/>
      <w:u w:val="single"/>
    </w:rPr>
  </w:style>
  <w:style w:type="table" w:customStyle="1" w:styleId="ATFTxDOTTable1">
    <w:name w:val="ATF TxDOT Table1"/>
    <w:basedOn w:val="TableNormal"/>
    <w:uiPriority w:val="99"/>
    <w:rsid w:val="00A7505E"/>
    <w:rPr>
      <w:rFonts w:ascii="Verdana" w:eastAsia="Verdana" w:hAnsi="Verdana" w:cs="Times New Roman"/>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cPr>
      <w:vAlign w:val="center"/>
    </w:tcPr>
    <w:tblStylePr w:type="firstRow">
      <w:rPr>
        <w:b/>
        <w:color w:val="FFFFFF" w:themeColor="background1"/>
      </w:rPr>
      <w:tblPr/>
      <w:tcPr>
        <w:shd w:val="clear" w:color="auto" w:fill="0056A9" w:themeFill="accent1"/>
      </w:tcPr>
    </w:tblStylePr>
    <w:tblStylePr w:type="band1Horz">
      <w:tblPr/>
      <w:tcPr>
        <w:shd w:val="clear" w:color="auto" w:fill="FFFFFF" w:themeFill="background1"/>
      </w:tcPr>
    </w:tblStylePr>
    <w:tblStylePr w:type="band2Horz">
      <w:tblPr/>
      <w:tcPr>
        <w:shd w:val="clear" w:color="auto" w:fill="DADEE5"/>
      </w:tcPr>
    </w:tblStylePr>
  </w:style>
  <w:style w:type="character" w:styleId="CommentReference">
    <w:name w:val="annotation reference"/>
    <w:basedOn w:val="DefaultParagraphFont"/>
    <w:uiPriority w:val="99"/>
    <w:semiHidden/>
    <w:unhideWhenUsed/>
    <w:rsid w:val="00A7505E"/>
    <w:rPr>
      <w:sz w:val="16"/>
      <w:szCs w:val="16"/>
    </w:rPr>
  </w:style>
  <w:style w:type="paragraph" w:styleId="CommentText">
    <w:name w:val="annotation text"/>
    <w:basedOn w:val="Normal"/>
    <w:link w:val="CommentTextChar"/>
    <w:uiPriority w:val="99"/>
    <w:unhideWhenUsed/>
    <w:rsid w:val="00A7505E"/>
    <w:pPr>
      <w:spacing w:line="240" w:lineRule="auto"/>
    </w:pPr>
    <w:rPr>
      <w:color w:val="000000" w:themeColor="text1"/>
      <w:sz w:val="20"/>
    </w:rPr>
  </w:style>
  <w:style w:type="character" w:customStyle="1" w:styleId="CommentTextChar">
    <w:name w:val="Comment Text Char"/>
    <w:basedOn w:val="DefaultParagraphFont"/>
    <w:link w:val="CommentText"/>
    <w:uiPriority w:val="99"/>
    <w:rsid w:val="00A7505E"/>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C20447"/>
    <w:rPr>
      <w:b/>
      <w:bCs/>
      <w:color w:val="auto"/>
    </w:rPr>
  </w:style>
  <w:style w:type="character" w:customStyle="1" w:styleId="CommentSubjectChar">
    <w:name w:val="Comment Subject Char"/>
    <w:basedOn w:val="CommentTextChar"/>
    <w:link w:val="CommentSubject"/>
    <w:uiPriority w:val="99"/>
    <w:semiHidden/>
    <w:rsid w:val="00C20447"/>
    <w:rPr>
      <w:b/>
      <w:bCs/>
      <w:color w:val="000000" w:themeColor="text1"/>
      <w:sz w:val="20"/>
      <w:szCs w:val="20"/>
    </w:rPr>
  </w:style>
  <w:style w:type="paragraph" w:styleId="Revision">
    <w:name w:val="Revision"/>
    <w:hidden/>
    <w:uiPriority w:val="99"/>
    <w:semiHidden/>
    <w:rsid w:val="004937E1"/>
    <w:rPr>
      <w:szCs w:val="20"/>
    </w:rPr>
  </w:style>
  <w:style w:type="paragraph" w:customStyle="1" w:styleId="StepLevel1">
    <w:name w:val="Step Level 1"/>
    <w:basedOn w:val="Normal"/>
    <w:next w:val="Normal"/>
    <w:qFormat/>
    <w:rsid w:val="00A67A4C"/>
    <w:pPr>
      <w:numPr>
        <w:numId w:val="45"/>
      </w:numPr>
      <w:spacing w:before="120" w:after="280"/>
      <w:ind w:left="1170" w:hanging="1170"/>
    </w:pPr>
    <w:rPr>
      <w:rFonts w:ascii="Verdana" w:hAnsi="Verdana"/>
      <w:spacing w:val="-1"/>
      <w:szCs w:val="32"/>
    </w:rPr>
  </w:style>
  <w:style w:type="paragraph" w:customStyle="1" w:styleId="StepLevel2">
    <w:name w:val="Step Level 2"/>
    <w:basedOn w:val="Normal"/>
    <w:next w:val="Normal"/>
    <w:qFormat/>
    <w:rsid w:val="00A4067C"/>
    <w:pPr>
      <w:numPr>
        <w:ilvl w:val="1"/>
        <w:numId w:val="45"/>
      </w:numPr>
      <w:spacing w:before="120" w:after="280"/>
      <w:ind w:left="1980" w:hanging="1260"/>
    </w:pPr>
    <w:rPr>
      <w:rFonts w:ascii="Verdana" w:hAnsi="Verdana"/>
      <w:szCs w:val="24"/>
    </w:rPr>
  </w:style>
  <w:style w:type="paragraph" w:customStyle="1" w:styleId="StepLevel3">
    <w:name w:val="Step Level 3"/>
    <w:basedOn w:val="Normal"/>
    <w:next w:val="Normal"/>
    <w:qFormat/>
    <w:rsid w:val="00A4067C"/>
    <w:pPr>
      <w:numPr>
        <w:ilvl w:val="2"/>
        <w:numId w:val="45"/>
      </w:numPr>
      <w:ind w:left="2970" w:hanging="1530"/>
    </w:pPr>
  </w:style>
  <w:style w:type="paragraph" w:styleId="NormalWeb">
    <w:name w:val="Normal (Web)"/>
    <w:basedOn w:val="Normal"/>
    <w:uiPriority w:val="99"/>
    <w:unhideWhenUsed/>
    <w:rsid w:val="00A11404"/>
    <w:pPr>
      <w:spacing w:before="100" w:beforeAutospacing="1" w:after="100" w:afterAutospacing="1" w:line="240" w:lineRule="auto"/>
    </w:pPr>
    <w:rPr>
      <w:rFonts w:ascii="Times New Roman" w:eastAsia="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3958">
      <w:bodyDiv w:val="1"/>
      <w:marLeft w:val="0"/>
      <w:marRight w:val="0"/>
      <w:marTop w:val="0"/>
      <w:marBottom w:val="0"/>
      <w:divBdr>
        <w:top w:val="none" w:sz="0" w:space="0" w:color="auto"/>
        <w:left w:val="none" w:sz="0" w:space="0" w:color="auto"/>
        <w:bottom w:val="none" w:sz="0" w:space="0" w:color="auto"/>
        <w:right w:val="none" w:sz="0" w:space="0" w:color="auto"/>
      </w:divBdr>
      <w:divsChild>
        <w:div w:id="1103185131">
          <w:marLeft w:val="0"/>
          <w:marRight w:val="0"/>
          <w:marTop w:val="0"/>
          <w:marBottom w:val="0"/>
          <w:divBdr>
            <w:top w:val="none" w:sz="0" w:space="0" w:color="auto"/>
            <w:left w:val="none" w:sz="0" w:space="0" w:color="auto"/>
            <w:bottom w:val="none" w:sz="0" w:space="0" w:color="auto"/>
            <w:right w:val="none" w:sz="0" w:space="0" w:color="auto"/>
          </w:divBdr>
        </w:div>
      </w:divsChild>
    </w:div>
    <w:div w:id="1203597686">
      <w:bodyDiv w:val="1"/>
      <w:marLeft w:val="0"/>
      <w:marRight w:val="0"/>
      <w:marTop w:val="0"/>
      <w:marBottom w:val="0"/>
      <w:divBdr>
        <w:top w:val="none" w:sz="0" w:space="0" w:color="auto"/>
        <w:left w:val="none" w:sz="0" w:space="0" w:color="auto"/>
        <w:bottom w:val="none" w:sz="0" w:space="0" w:color="auto"/>
        <w:right w:val="none" w:sz="0" w:space="0" w:color="auto"/>
      </w:divBdr>
      <w:divsChild>
        <w:div w:id="943194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epa.gov/ir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www.fhwa.dot.gov/environment/air_quality/air_toxics/policy_and_guidance/msat/index.cfm" TargetMode="External"/><Relationship Id="rId13" Type="http://schemas.openxmlformats.org/officeDocument/2006/relationships/hyperlink" Target="https://www.tceq.texas.gov/airquality/terp" TargetMode="External"/><Relationship Id="rId3" Type="http://schemas.openxmlformats.org/officeDocument/2006/relationships/hyperlink" Target="https://www.epa.gov/national-air-toxics-assessment" TargetMode="External"/><Relationship Id="rId7" Type="http://schemas.openxmlformats.org/officeDocument/2006/relationships/hyperlink" Target="http://www.fhwa.dot.gov/environment/air_quality/air_toxics/policy_and_guidance/msat/index.cfm" TargetMode="External"/><Relationship Id="rId12" Type="http://schemas.openxmlformats.org/officeDocument/2006/relationships/hyperlink" Target="https://cfpub.epa.gov/ncea/iris/iris_documents/documents/subst/0642_summary.pdf" TargetMode="External"/><Relationship Id="rId2" Type="http://schemas.openxmlformats.org/officeDocument/2006/relationships/hyperlink" Target="http://www.epa.gov/iris/" TargetMode="External"/><Relationship Id="rId1" Type="http://schemas.openxmlformats.org/officeDocument/2006/relationships/hyperlink" Target="https://www.fhwa.dot.gov/environment/air_quality/air_toxics/policy_and_guidance/msat/index.cfm" TargetMode="External"/><Relationship Id="rId6" Type="http://schemas.openxmlformats.org/officeDocument/2006/relationships/hyperlink" Target="http://www.fhwa.dot.gov/environment/air_quality/air_toxics/policy_and_guidance/msat/index.cfm" TargetMode="External"/><Relationship Id="rId11" Type="http://schemas.openxmlformats.org/officeDocument/2006/relationships/hyperlink" Target="https://www.healtheffects.org/publication/mobile-source-air-toxics-critical-review-literature-exposure-and-health-effects" TargetMode="External"/><Relationship Id="rId5" Type="http://schemas.openxmlformats.org/officeDocument/2006/relationships/hyperlink" Target="https://www.fhwa.dot.gov/environment/air_quality/air_toxics/research_and_analysis/mobile_source_air_toxics/msatemissions.cfm" TargetMode="External"/><Relationship Id="rId10" Type="http://schemas.openxmlformats.org/officeDocument/2006/relationships/hyperlink" Target="https://www.healtheffects.org/publication/mobile-source-air-toxics-critical-review-literature-exposure-and-health-effects" TargetMode="External"/><Relationship Id="rId4" Type="http://schemas.openxmlformats.org/officeDocument/2006/relationships/hyperlink" Target="https://nepis.epa.gov/Exe/ZyPDF.cgi?Dockey=P1010M06.pdf" TargetMode="External"/><Relationship Id="rId9" Type="http://schemas.openxmlformats.org/officeDocument/2006/relationships/hyperlink" Target="https://www.fhwa.dot.gov/environment/air_quality/air_toxics/policy_and_guidance/msat/index.cfm" TargetMode="External"/></Relationships>
</file>

<file path=word/theme/theme1.xml><?xml version="1.0" encoding="utf-8"?>
<a:theme xmlns:a="http://schemas.openxmlformats.org/drawingml/2006/main" name="txdot-brand-template-microsoft-theme">
  <a:themeElements>
    <a:clrScheme name="TxDOT Template Color Scheme">
      <a:dk1>
        <a:srgbClr val="000000"/>
      </a:dk1>
      <a:lt1>
        <a:srgbClr val="FFFFFF"/>
      </a:lt1>
      <a:dk2>
        <a:srgbClr val="000000"/>
      </a:dk2>
      <a:lt2>
        <a:srgbClr val="EBEBEB"/>
      </a:lt2>
      <a:accent1>
        <a:srgbClr val="0056A9"/>
      </a:accent1>
      <a:accent2>
        <a:srgbClr val="D90D0D"/>
      </a:accent2>
      <a:accent3>
        <a:srgbClr val="196533"/>
      </a:accent3>
      <a:accent4>
        <a:srgbClr val="5F0F40"/>
      </a:accent4>
      <a:accent5>
        <a:srgbClr val="002E69"/>
      </a:accent5>
      <a:accent6>
        <a:srgbClr val="333F48"/>
      </a:accent6>
      <a:hlink>
        <a:srgbClr val="0056A9"/>
      </a:hlink>
      <a:folHlink>
        <a:srgbClr val="5F0F40"/>
      </a:folHlink>
    </a:clrScheme>
    <a:fontScheme name="TxDOT Template fonts">
      <a:majorFont>
        <a:latin typeface="Verdana Bold"/>
        <a:ea typeface=""/>
        <a:cs typeface=""/>
      </a:majorFont>
      <a:minorFont>
        <a:latin typeface="Verdana"/>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xdot-brand-template-microsoft-theme" id="{C26E1BF5-F8BE-4F71-85B1-218D4EC69D9E}" vid="{E6DCCC63-DDF4-4C00-AD5C-6EBC44B984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bca7cf-140a-45ee-a57c-232cbe52a914">
      <Terms xmlns="http://schemas.microsoft.com/office/infopath/2007/PartnerControls"/>
    </lcf76f155ced4ddcb4097134ff3c332f>
    <TaxCatchAll xmlns="3f35f2c0-af66-4f50-9ad3-498689aa4a67" xsi:nil="true"/>
    <Time xmlns="2ebca7cf-140a-45ee-a57c-232cbe52a91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CB62EFC96F3B4C9C8D33BF0C6D11BD" ma:contentTypeVersion="13" ma:contentTypeDescription="Create a new document." ma:contentTypeScope="" ma:versionID="29f3db67e83da4997f6af96595e91975">
  <xsd:schema xmlns:xsd="http://www.w3.org/2001/XMLSchema" xmlns:xs="http://www.w3.org/2001/XMLSchema" xmlns:p="http://schemas.microsoft.com/office/2006/metadata/properties" xmlns:ns2="2ebca7cf-140a-45ee-a57c-232cbe52a914" xmlns:ns3="3f35f2c0-af66-4f50-9ad3-498689aa4a67" targetNamespace="http://schemas.microsoft.com/office/2006/metadata/properties" ma:root="true" ma:fieldsID="f4484f1789b76357e7a9615c6261ec79" ns2:_="" ns3:_="">
    <xsd:import namespace="2ebca7cf-140a-45ee-a57c-232cbe52a914"/>
    <xsd:import namespace="3f35f2c0-af66-4f50-9ad3-498689aa4a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Time" minOccurs="0"/>
                <xsd:element ref="ns2:MediaServiceBillingMetadata"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bca7cf-140a-45ee-a57c-232cbe52a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00b2c1-7ce8-4bfa-b3ce-153ab71b1a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Time" ma:index="17" nillable="true" ma:displayName="Time" ma:format="DateTime" ma:internalName="Time">
      <xsd:simpleType>
        <xsd:restriction base="dms:DateTime"/>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35f2c0-af66-4f50-9ad3-498689aa4a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79517d-46e2-42ed-9d9f-dbfb45608765}" ma:internalName="TaxCatchAll" ma:showField="CatchAllData" ma:web="3f35f2c0-af66-4f50-9ad3-498689aa4a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3F433B-7D0F-409B-8615-66E6631FD8B3}">
  <ds:schemaRefs>
    <ds:schemaRef ds:uri="http://schemas.microsoft.com/sharepoint/v3/contenttype/forms"/>
  </ds:schemaRefs>
</ds:datastoreItem>
</file>

<file path=customXml/itemProps2.xml><?xml version="1.0" encoding="utf-8"?>
<ds:datastoreItem xmlns:ds="http://schemas.openxmlformats.org/officeDocument/2006/customXml" ds:itemID="{5BC90A6F-B384-4748-91F7-A9CF2E650814}">
  <ds:schemaRefs>
    <ds:schemaRef ds:uri="http://schemas.openxmlformats.org/officeDocument/2006/bibliography"/>
  </ds:schemaRefs>
</ds:datastoreItem>
</file>

<file path=customXml/itemProps3.xml><?xml version="1.0" encoding="utf-8"?>
<ds:datastoreItem xmlns:ds="http://schemas.openxmlformats.org/officeDocument/2006/customXml" ds:itemID="{AB9F02DA-8656-4BD8-A5E4-F6F7AB09512D}">
  <ds:schemaRefs>
    <ds:schemaRef ds:uri="http://schemas.microsoft.com/office/2006/metadata/properties"/>
    <ds:schemaRef ds:uri="http://schemas.microsoft.com/office/infopath/2007/PartnerControls"/>
    <ds:schemaRef ds:uri="2ebca7cf-140a-45ee-a57c-232cbe52a914"/>
    <ds:schemaRef ds:uri="3f35f2c0-af66-4f50-9ad3-498689aa4a67"/>
  </ds:schemaRefs>
</ds:datastoreItem>
</file>

<file path=customXml/itemProps4.xml><?xml version="1.0" encoding="utf-8"?>
<ds:datastoreItem xmlns:ds="http://schemas.openxmlformats.org/officeDocument/2006/customXml" ds:itemID="{3B569595-3B06-4748-9E53-FFC5AD40F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bca7cf-140a-45ee-a57c-232cbe52a914"/>
    <ds:schemaRef ds:uri="3f35f2c0-af66-4f50-9ad3-498689aa4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45</Pages>
  <Words>8889</Words>
  <Characters>50673</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Guidance: Preparing Air Quality Statements</vt:lpstr>
    </vt:vector>
  </TitlesOfParts>
  <Company/>
  <LinksUpToDate>false</LinksUpToDate>
  <CharactersWithSpaces>59444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Preparing Air Quality Statements</dc:title>
  <dc:subject>Guidance that contains the applicable finding and negative declaration statements for documenting air quality compliance with applicable laws, and regulations.</dc:subject>
  <dc:creator>TxDOT</dc:creator>
  <cp:keywords>200-03-gui; air quality; guidance; statements</cp:keywords>
  <dc:description/>
  <cp:lastModifiedBy>Elisa Garcia</cp:lastModifiedBy>
  <cp:revision>17</cp:revision>
  <dcterms:created xsi:type="dcterms:W3CDTF">2026-07-31T20:30:00Z</dcterms:created>
  <dcterms:modified xsi:type="dcterms:W3CDTF">2026-08-07T18:09:00Z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0x010100D4CB62EFC96F3B4C9C8D33BF0C6D11BD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