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B2A7" w14:textId="5E31BA92" w:rsidR="004F697B" w:rsidRPr="00917F65" w:rsidRDefault="0064565C" w:rsidP="0048175B">
      <w:pPr>
        <w:pStyle w:val="Heading1"/>
      </w:pPr>
      <w:r>
        <w:t>Document</w:t>
      </w:r>
      <w:r w:rsidR="00AD334D">
        <w:t>ation Standard for a C</w:t>
      </w:r>
      <w:r w:rsidR="0090166F">
        <w:t>arbon</w:t>
      </w:r>
      <w:r w:rsidR="00B6280C">
        <w:t xml:space="preserve"> Monoxide</w:t>
      </w:r>
      <w:r w:rsidR="00AD334D">
        <w:t xml:space="preserve"> T</w:t>
      </w:r>
      <w:r w:rsidR="00B6280C">
        <w:t xml:space="preserve">raffic </w:t>
      </w:r>
      <w:r w:rsidR="00AD334D">
        <w:t>A</w:t>
      </w:r>
      <w:r w:rsidR="00B6280C">
        <w:t xml:space="preserve">ir </w:t>
      </w:r>
      <w:r w:rsidR="00AD334D">
        <w:t>Q</w:t>
      </w:r>
      <w:r w:rsidR="00B6280C">
        <w:t xml:space="preserve">uality </w:t>
      </w:r>
      <w:r w:rsidR="003E69D6">
        <w:t xml:space="preserve">Analysis </w:t>
      </w:r>
      <w:r w:rsidR="00AD334D">
        <w:t>Technical Report</w:t>
      </w:r>
    </w:p>
    <w:p w14:paraId="691287E2" w14:textId="555B0241" w:rsidR="005456F3" w:rsidRDefault="00AD334D" w:rsidP="0048175B">
      <w:pPr>
        <w:rPr>
          <w:b/>
        </w:rPr>
      </w:pPr>
      <w:r w:rsidRPr="00AD334D">
        <w:t xml:space="preserve">Use this document standard (DS) to prepare a </w:t>
      </w:r>
      <w:r w:rsidR="005A54E0" w:rsidRPr="005A54E0">
        <w:t>Carbon Monoxide (CO) Traffic Air Quality Analysis (TAQA)</w:t>
      </w:r>
      <w:r w:rsidRPr="00AD334D">
        <w:t xml:space="preserve"> technical report, which must include the components outlined below. Each section of this DS represents a required.</w:t>
      </w:r>
    </w:p>
    <w:p w14:paraId="06F3EA6E" w14:textId="60DDBE9D" w:rsidR="005456F3" w:rsidRPr="005456F3" w:rsidRDefault="001805EA" w:rsidP="0048175B">
      <w:pPr>
        <w:pStyle w:val="Heading2"/>
      </w:pPr>
      <w:bookmarkStart w:id="0" w:name="_Hlk224042067"/>
      <w:r>
        <w:t>0</w:t>
      </w:r>
      <w:r w:rsidR="001C15D2">
        <w:t xml:space="preserve"> </w:t>
      </w:r>
      <w:r w:rsidR="00D30D2C" w:rsidRPr="00D30D2C">
        <w:t>Project Description</w:t>
      </w:r>
    </w:p>
    <w:bookmarkEnd w:id="0"/>
    <w:p w14:paraId="178F720E" w14:textId="44160721" w:rsidR="00D30D2C" w:rsidRDefault="00D30D2C" w:rsidP="0048175B">
      <w:r>
        <w:t>The CO TAQA technical report must include the following components related to the project description.</w:t>
      </w:r>
    </w:p>
    <w:p w14:paraId="75173775" w14:textId="6DA71294" w:rsidR="00D30D2C" w:rsidRPr="004C5875" w:rsidRDefault="00D30D2C" w:rsidP="00FC3C91">
      <w:pPr>
        <w:pStyle w:val="ListNumber"/>
      </w:pPr>
      <w:r w:rsidRPr="004C5875">
        <w:t>An identification of the project location</w:t>
      </w:r>
    </w:p>
    <w:p w14:paraId="16B7826F" w14:textId="7D996DF7" w:rsidR="00D30D2C" w:rsidRPr="004C5875" w:rsidRDefault="00D30D2C" w:rsidP="00FC3C91">
      <w:pPr>
        <w:pStyle w:val="ListNumber"/>
      </w:pPr>
      <w:r w:rsidRPr="004C5875">
        <w:t>A brief explanation of the current facility</w:t>
      </w:r>
    </w:p>
    <w:p w14:paraId="1913AAC7" w14:textId="796CCF4C" w:rsidR="00D30D2C" w:rsidRPr="004C5875" w:rsidRDefault="00D30D2C" w:rsidP="00FC3C91">
      <w:pPr>
        <w:pStyle w:val="ListNumber"/>
      </w:pPr>
      <w:r w:rsidRPr="004C5875">
        <w:t>A brief explanation of the proposed facility</w:t>
      </w:r>
    </w:p>
    <w:p w14:paraId="228B4E97" w14:textId="7AEEC4D6" w:rsidR="00D30D2C" w:rsidRPr="004C5875" w:rsidRDefault="00D30D2C" w:rsidP="00FC3C91">
      <w:pPr>
        <w:pStyle w:val="ListNumber"/>
      </w:pPr>
      <w:r w:rsidRPr="004C5875">
        <w:t>An identification of each of the build alternatives modeled</w:t>
      </w:r>
    </w:p>
    <w:p w14:paraId="5552B678" w14:textId="3F753756" w:rsidR="00D30D2C" w:rsidRPr="004C5875" w:rsidRDefault="00D30D2C" w:rsidP="00FC3C91">
      <w:pPr>
        <w:pStyle w:val="ListNumber"/>
      </w:pPr>
      <w:r w:rsidRPr="004C5875">
        <w:t xml:space="preserve">An identification of </w:t>
      </w:r>
      <w:r w:rsidR="00876B57" w:rsidRPr="004C5875">
        <w:t>e</w:t>
      </w:r>
      <w:r w:rsidRPr="004C5875">
        <w:t xml:space="preserve">stimated </w:t>
      </w:r>
      <w:r w:rsidR="00876B57" w:rsidRPr="004C5875">
        <w:t>t</w:t>
      </w:r>
      <w:r w:rsidRPr="004C5875">
        <w:t xml:space="preserve">ime to </w:t>
      </w:r>
      <w:r w:rsidR="00876B57" w:rsidRPr="004C5875">
        <w:t>c</w:t>
      </w:r>
      <w:r w:rsidRPr="004C5875">
        <w:t>ompletion (ETC) year</w:t>
      </w:r>
      <w:r w:rsidR="005C5579" w:rsidRPr="004C5875">
        <w:rPr>
          <w:rStyle w:val="FootnoteReference"/>
        </w:rPr>
        <w:footnoteReference w:id="1"/>
      </w:r>
    </w:p>
    <w:p w14:paraId="5D4F42D7" w14:textId="71781D4E" w:rsidR="002464B7" w:rsidRPr="004C5875" w:rsidRDefault="00D30D2C" w:rsidP="00FC3C91">
      <w:pPr>
        <w:pStyle w:val="ListNumber"/>
      </w:pPr>
      <w:r w:rsidRPr="004C5875">
        <w:t>An identification of the design year</w:t>
      </w:r>
      <w:r w:rsidR="00B9344E" w:rsidRPr="004C5875">
        <w:rPr>
          <w:rStyle w:val="FootnoteReference"/>
        </w:rPr>
        <w:footnoteReference w:id="2"/>
      </w:r>
      <w:r w:rsidR="006E590F" w:rsidRPr="004C5875">
        <w:t xml:space="preserve"> o</w:t>
      </w:r>
      <w:r w:rsidRPr="004C5875">
        <w:t>f the project</w:t>
      </w:r>
    </w:p>
    <w:p w14:paraId="2DF5F92C" w14:textId="7CE85D36" w:rsidR="002464B7" w:rsidRPr="005456F3" w:rsidRDefault="00813C1D" w:rsidP="0048175B">
      <w:pPr>
        <w:pStyle w:val="Heading2"/>
      </w:pPr>
      <w:r>
        <w:lastRenderedPageBreak/>
        <w:t xml:space="preserve">0 </w:t>
      </w:r>
      <w:r w:rsidR="00D10C3E">
        <w:t>Background Information</w:t>
      </w:r>
    </w:p>
    <w:p w14:paraId="04E46327" w14:textId="08486B76" w:rsidR="00D30D2C" w:rsidRDefault="00D30D2C" w:rsidP="0048175B">
      <w:r>
        <w:t>The CO TAQA technical report must include the following components related to background information.</w:t>
      </w:r>
    </w:p>
    <w:p w14:paraId="48BC772E" w14:textId="465F1A44" w:rsidR="00D30D2C" w:rsidRDefault="00D30D2C" w:rsidP="00AC4AFC">
      <w:pPr>
        <w:pStyle w:val="ListNumber"/>
        <w:numPr>
          <w:ilvl w:val="0"/>
          <w:numId w:val="7"/>
        </w:numPr>
      </w:pPr>
      <w:r>
        <w:t>A brief explanation of project types that are subject to a CO TAQA</w:t>
      </w:r>
    </w:p>
    <w:p w14:paraId="5D0CF077" w14:textId="060BF3E6" w:rsidR="00AD334D" w:rsidRDefault="00D30D2C" w:rsidP="00AC4AFC">
      <w:pPr>
        <w:pStyle w:val="ListNumber"/>
      </w:pPr>
      <w:r>
        <w:t>An identification of why this particular project is subject to a CO TAQA</w:t>
      </w:r>
    </w:p>
    <w:p w14:paraId="5471FD57" w14:textId="1542AB13" w:rsidR="00AD334D" w:rsidRPr="005456F3" w:rsidRDefault="00813C1D" w:rsidP="0048175B">
      <w:pPr>
        <w:pStyle w:val="Heading2"/>
      </w:pPr>
      <w:r>
        <w:t xml:space="preserve">0 </w:t>
      </w:r>
      <w:r w:rsidR="00D30D2C" w:rsidRPr="00D30D2C">
        <w:t>Analysis Methodology</w:t>
      </w:r>
    </w:p>
    <w:p w14:paraId="6C9229B3" w14:textId="55B7D200" w:rsidR="00D30D2C" w:rsidRDefault="00D30D2C" w:rsidP="0048175B">
      <w:r>
        <w:t>The CO TAQA technical report must include the following components related to the analysis methodology.</w:t>
      </w:r>
    </w:p>
    <w:p w14:paraId="3E56B755" w14:textId="77777777" w:rsidR="00D30D2C" w:rsidRDefault="00D30D2C" w:rsidP="00862BE8">
      <w:pPr>
        <w:pStyle w:val="ListNumber"/>
        <w:numPr>
          <w:ilvl w:val="0"/>
          <w:numId w:val="0"/>
        </w:numPr>
        <w:ind w:left="360" w:hanging="360"/>
      </w:pPr>
      <w:r>
        <w:t>A.</w:t>
      </w:r>
      <w:r>
        <w:tab/>
        <w:t>An explanation of the overall methodology being used</w:t>
      </w:r>
    </w:p>
    <w:p w14:paraId="1FC402BC" w14:textId="77777777" w:rsidR="00D30D2C" w:rsidRDefault="00D30D2C" w:rsidP="00862BE8">
      <w:pPr>
        <w:pStyle w:val="ListNumber"/>
        <w:numPr>
          <w:ilvl w:val="0"/>
          <w:numId w:val="0"/>
        </w:numPr>
        <w:ind w:left="360" w:hanging="360"/>
      </w:pPr>
      <w:r>
        <w:t>B.</w:t>
      </w:r>
      <w:r>
        <w:tab/>
        <w:t>An identification of the specific models used in the analysis</w:t>
      </w:r>
    </w:p>
    <w:p w14:paraId="3DA9AB62" w14:textId="2A942526" w:rsidR="00D30D2C" w:rsidRDefault="00D30D2C" w:rsidP="00862BE8">
      <w:pPr>
        <w:pStyle w:val="ListNumber"/>
        <w:numPr>
          <w:ilvl w:val="0"/>
          <w:numId w:val="0"/>
        </w:numPr>
        <w:ind w:left="360" w:hanging="360"/>
      </w:pPr>
      <w:r>
        <w:t>C.</w:t>
      </w:r>
      <w:r>
        <w:tab/>
        <w:t>An identification of the 1-h</w:t>
      </w:r>
      <w:r w:rsidR="004533CD">
        <w:t>ou</w:t>
      </w:r>
      <w:r>
        <w:t>r and 8-h</w:t>
      </w:r>
      <w:r w:rsidR="00C0016F">
        <w:t>ou</w:t>
      </w:r>
      <w:r>
        <w:t>r CO background concentrations</w:t>
      </w:r>
      <w:r w:rsidR="00327998">
        <w:rPr>
          <w:rStyle w:val="FootnoteReference"/>
        </w:rPr>
        <w:footnoteReference w:id="3"/>
      </w:r>
      <w:r w:rsidR="00B66CD0">
        <w:t xml:space="preserve"> </w:t>
      </w:r>
      <w:r>
        <w:t>that were used</w:t>
      </w:r>
    </w:p>
    <w:p w14:paraId="31209436" w14:textId="09C4FE32" w:rsidR="00D30D2C" w:rsidRDefault="00D30D2C" w:rsidP="00862BE8">
      <w:pPr>
        <w:pStyle w:val="ListNumber"/>
        <w:numPr>
          <w:ilvl w:val="0"/>
          <w:numId w:val="0"/>
        </w:numPr>
        <w:ind w:left="360" w:hanging="360"/>
      </w:pPr>
      <w:r>
        <w:t>D.</w:t>
      </w:r>
      <w:r>
        <w:tab/>
        <w:t>An identification of the source</w:t>
      </w:r>
      <w:r w:rsidR="00911CCA">
        <w:rPr>
          <w:rStyle w:val="FootnoteReference"/>
        </w:rPr>
        <w:footnoteReference w:id="4"/>
      </w:r>
      <w:r w:rsidR="00B66CD0">
        <w:t xml:space="preserve"> o</w:t>
      </w:r>
      <w:r>
        <w:t>f the traffic data used</w:t>
      </w:r>
    </w:p>
    <w:p w14:paraId="49E2ABA4" w14:textId="16F0715B" w:rsidR="00D30D2C" w:rsidRDefault="00D30D2C" w:rsidP="00862BE8">
      <w:pPr>
        <w:pStyle w:val="ListNumber"/>
        <w:numPr>
          <w:ilvl w:val="0"/>
          <w:numId w:val="0"/>
        </w:numPr>
        <w:ind w:left="360" w:hanging="360"/>
      </w:pPr>
      <w:r>
        <w:t>E.</w:t>
      </w:r>
      <w:r>
        <w:tab/>
        <w:t xml:space="preserve">A table identifying the specific </w:t>
      </w:r>
      <w:r w:rsidR="00327522">
        <w:t>A</w:t>
      </w:r>
      <w:r>
        <w:t xml:space="preserve">nnual </w:t>
      </w:r>
      <w:r w:rsidR="00327522">
        <w:t>A</w:t>
      </w:r>
      <w:r>
        <w:t xml:space="preserve">verage </w:t>
      </w:r>
      <w:r w:rsidR="00327522">
        <w:t>D</w:t>
      </w:r>
      <w:r>
        <w:t xml:space="preserve">aily </w:t>
      </w:r>
      <w:r w:rsidR="00327522">
        <w:t>T</w:t>
      </w:r>
      <w:r>
        <w:t xml:space="preserve">raffic (AADT) volume and </w:t>
      </w:r>
      <w:r w:rsidR="00AF4387">
        <w:t>d</w:t>
      </w:r>
      <w:r>
        <w:t xml:space="preserve">esign </w:t>
      </w:r>
      <w:r w:rsidR="00AF4387">
        <w:t>h</w:t>
      </w:r>
      <w:r>
        <w:t xml:space="preserve">our </w:t>
      </w:r>
      <w:r w:rsidR="00AF4387">
        <w:t>v</w:t>
      </w:r>
      <w:r>
        <w:t>olume (DHV) used for each roadway segment analyzed for both the ETC year and design year</w:t>
      </w:r>
    </w:p>
    <w:p w14:paraId="17DF8C1F" w14:textId="738F27D9" w:rsidR="00D30D2C" w:rsidRDefault="00D30D2C" w:rsidP="00862BE8">
      <w:pPr>
        <w:pStyle w:val="ListNumber"/>
        <w:numPr>
          <w:ilvl w:val="0"/>
          <w:numId w:val="0"/>
        </w:numPr>
        <w:ind w:left="360" w:hanging="360"/>
      </w:pPr>
      <w:r>
        <w:t>F.</w:t>
      </w:r>
      <w:r>
        <w:tab/>
        <w:t>An identification of the emission rates used</w:t>
      </w:r>
    </w:p>
    <w:p w14:paraId="760F370F" w14:textId="592DA3DE" w:rsidR="00D30D2C" w:rsidRDefault="00D30D2C" w:rsidP="00862BE8">
      <w:pPr>
        <w:pStyle w:val="ListNumber"/>
        <w:numPr>
          <w:ilvl w:val="0"/>
          <w:numId w:val="0"/>
        </w:numPr>
        <w:ind w:left="360" w:hanging="360"/>
      </w:pPr>
      <w:r>
        <w:t>G.</w:t>
      </w:r>
      <w:r>
        <w:tab/>
        <w:t>An identification of the source of the emission rates (</w:t>
      </w:r>
      <w:r w:rsidR="00B66CD0">
        <w:t>for example,</w:t>
      </w:r>
      <w:r>
        <w:t xml:space="preserve"> emission rate table vs MOVES modeling)</w:t>
      </w:r>
    </w:p>
    <w:p w14:paraId="40C02453" w14:textId="3BE90707" w:rsidR="00D30D2C" w:rsidRDefault="00D30D2C" w:rsidP="00862BE8">
      <w:pPr>
        <w:pStyle w:val="ListNumber"/>
        <w:numPr>
          <w:ilvl w:val="0"/>
          <w:numId w:val="0"/>
        </w:numPr>
        <w:ind w:left="360" w:hanging="360"/>
      </w:pPr>
      <w:r>
        <w:lastRenderedPageBreak/>
        <w:t>H.</w:t>
      </w:r>
      <w:r>
        <w:tab/>
        <w:t>An identification of the atmospheric stability class</w:t>
      </w:r>
      <w:r w:rsidR="008F4F53">
        <w:rPr>
          <w:rStyle w:val="FootnoteReference"/>
        </w:rPr>
        <w:footnoteReference w:id="5"/>
      </w:r>
      <w:r w:rsidR="00701C32">
        <w:t xml:space="preserve"> u</w:t>
      </w:r>
      <w:r>
        <w:t>sed</w:t>
      </w:r>
    </w:p>
    <w:p w14:paraId="263E50F5" w14:textId="0D5D0FF9" w:rsidR="00D30D2C" w:rsidRDefault="00D30D2C" w:rsidP="00862BE8">
      <w:pPr>
        <w:pStyle w:val="ListNumber"/>
        <w:numPr>
          <w:ilvl w:val="0"/>
          <w:numId w:val="0"/>
        </w:numPr>
        <w:ind w:left="360" w:hanging="360"/>
      </w:pPr>
      <w:r>
        <w:t>I.</w:t>
      </w:r>
      <w:r>
        <w:tab/>
        <w:t>An identification of the mixing height</w:t>
      </w:r>
      <w:r w:rsidR="00E14FBF">
        <w:t>⁵</w:t>
      </w:r>
      <w:r w:rsidR="00701C32">
        <w:t xml:space="preserve"> </w:t>
      </w:r>
      <w:r>
        <w:t>used</w:t>
      </w:r>
    </w:p>
    <w:p w14:paraId="3FB48173" w14:textId="6BD22578" w:rsidR="00D30D2C" w:rsidRDefault="00D30D2C" w:rsidP="00862BE8">
      <w:pPr>
        <w:pStyle w:val="ListNumber"/>
        <w:numPr>
          <w:ilvl w:val="0"/>
          <w:numId w:val="0"/>
        </w:numPr>
        <w:ind w:left="360" w:hanging="360"/>
      </w:pPr>
      <w:r>
        <w:t>J.</w:t>
      </w:r>
      <w:r>
        <w:tab/>
        <w:t>An identification of the wind speed</w:t>
      </w:r>
      <w:r w:rsidR="00E14FBF">
        <w:t>⁵</w:t>
      </w:r>
      <w:r w:rsidR="00701C32">
        <w:t xml:space="preserve"> u</w:t>
      </w:r>
      <w:r>
        <w:t>sed</w:t>
      </w:r>
    </w:p>
    <w:p w14:paraId="0AD6E655" w14:textId="530FBE2E" w:rsidR="00D30D2C" w:rsidRDefault="00D30D2C" w:rsidP="00862BE8">
      <w:pPr>
        <w:pStyle w:val="ListNumber"/>
        <w:numPr>
          <w:ilvl w:val="0"/>
          <w:numId w:val="0"/>
        </w:numPr>
        <w:ind w:left="360" w:hanging="360"/>
      </w:pPr>
      <w:r>
        <w:t>K.</w:t>
      </w:r>
      <w:r>
        <w:tab/>
        <w:t>An identification of the wind directions</w:t>
      </w:r>
      <w:r w:rsidR="00A3147C">
        <w:t>⁵</w:t>
      </w:r>
      <w:r w:rsidR="00701C32">
        <w:t xml:space="preserve"> m</w:t>
      </w:r>
      <w:r>
        <w:t>odeled</w:t>
      </w:r>
    </w:p>
    <w:p w14:paraId="714EFE47" w14:textId="77777777" w:rsidR="00D30D2C" w:rsidRDefault="00D30D2C" w:rsidP="00862BE8">
      <w:pPr>
        <w:pStyle w:val="ListNumber"/>
        <w:numPr>
          <w:ilvl w:val="0"/>
          <w:numId w:val="0"/>
        </w:numPr>
        <w:ind w:left="360" w:hanging="360"/>
      </w:pPr>
      <w:r>
        <w:t>L.</w:t>
      </w:r>
      <w:r>
        <w:tab/>
        <w:t>An identification of the projected vehicle speeds in the future years analyzed</w:t>
      </w:r>
    </w:p>
    <w:p w14:paraId="7E7DDADB" w14:textId="3E133D68" w:rsidR="00D30D2C" w:rsidRDefault="00D30D2C" w:rsidP="00862BE8">
      <w:pPr>
        <w:pStyle w:val="ListNumber"/>
        <w:numPr>
          <w:ilvl w:val="0"/>
          <w:numId w:val="0"/>
        </w:numPr>
        <w:ind w:left="360" w:hanging="360"/>
      </w:pPr>
      <w:r>
        <w:t>M.</w:t>
      </w:r>
      <w:r>
        <w:tab/>
        <w:t>An identification that the input and output files have been submitted to the District for inclusion in the project files to the extent practicable</w:t>
      </w:r>
    </w:p>
    <w:p w14:paraId="047A17D7" w14:textId="3D4E77D7" w:rsidR="00AD334D" w:rsidRPr="005456F3" w:rsidRDefault="00813C1D" w:rsidP="0048175B">
      <w:pPr>
        <w:pStyle w:val="Heading2"/>
      </w:pPr>
      <w:r>
        <w:t xml:space="preserve">0 </w:t>
      </w:r>
      <w:r w:rsidR="00D30D2C" w:rsidRPr="00D30D2C">
        <w:t>Receptor Locations</w:t>
      </w:r>
    </w:p>
    <w:p w14:paraId="558FB512" w14:textId="362BB812" w:rsidR="00D30D2C" w:rsidRDefault="00D30D2C" w:rsidP="0048175B">
      <w:r>
        <w:t>The CO TAQA technical report must include the following components related to receptor locations.</w:t>
      </w:r>
    </w:p>
    <w:p w14:paraId="05225FF7" w14:textId="77777777" w:rsidR="00D30D2C" w:rsidRDefault="00D30D2C" w:rsidP="00B33DA3">
      <w:pPr>
        <w:pStyle w:val="ListNumber"/>
        <w:numPr>
          <w:ilvl w:val="0"/>
          <w:numId w:val="0"/>
        </w:numPr>
        <w:ind w:left="360" w:hanging="360"/>
      </w:pPr>
      <w:r>
        <w:t>A.</w:t>
      </w:r>
      <w:r>
        <w:tab/>
        <w:t>An aerial map showing the receptor locations for each alternative analyzed</w:t>
      </w:r>
    </w:p>
    <w:p w14:paraId="12C833D7" w14:textId="77777777" w:rsidR="00D30D2C" w:rsidRDefault="00D30D2C" w:rsidP="00B33DA3">
      <w:pPr>
        <w:pStyle w:val="ListNumber"/>
        <w:numPr>
          <w:ilvl w:val="0"/>
          <w:numId w:val="0"/>
        </w:numPr>
        <w:ind w:left="360" w:hanging="360"/>
      </w:pPr>
      <w:r>
        <w:t>B.</w:t>
      </w:r>
      <w:r>
        <w:tab/>
        <w:t>Project schematics showing the receptor locations for each alternative analyzed and roadway geometry</w:t>
      </w:r>
    </w:p>
    <w:p w14:paraId="25797FEC" w14:textId="2ADD71AC" w:rsidR="00D30D2C" w:rsidRDefault="00D30D2C" w:rsidP="00B33DA3">
      <w:pPr>
        <w:pStyle w:val="ListNumber"/>
        <w:numPr>
          <w:ilvl w:val="0"/>
          <w:numId w:val="0"/>
        </w:numPr>
        <w:ind w:left="360" w:hanging="360"/>
      </w:pPr>
      <w:r>
        <w:t>C.</w:t>
      </w:r>
      <w:r>
        <w:tab/>
        <w:t xml:space="preserve">A table with a description of all of the receptors analyzed for each alternative analyzed (including but not limited to distance from roadway, </w:t>
      </w:r>
      <w:r w:rsidR="0027772F">
        <w:t>r</w:t>
      </w:r>
      <w:r w:rsidR="006141C2">
        <w:t>ight-</w:t>
      </w:r>
      <w:r w:rsidR="0073078F">
        <w:t>of-</w:t>
      </w:r>
      <w:r w:rsidR="0027772F">
        <w:t>w</w:t>
      </w:r>
      <w:r w:rsidR="0073078F">
        <w:t>ay</w:t>
      </w:r>
      <w:r>
        <w:t xml:space="preserve"> width, traffic volume traffic speed, DHV)</w:t>
      </w:r>
    </w:p>
    <w:p w14:paraId="5AF138DE" w14:textId="468C1C5A" w:rsidR="00AD334D" w:rsidRDefault="00D30D2C" w:rsidP="00B33DA3">
      <w:pPr>
        <w:pStyle w:val="ListNumber"/>
        <w:numPr>
          <w:ilvl w:val="0"/>
          <w:numId w:val="0"/>
        </w:numPr>
        <w:ind w:left="360" w:hanging="360"/>
      </w:pPr>
      <w:r>
        <w:t>D.</w:t>
      </w:r>
      <w:r>
        <w:tab/>
        <w:t>An identification of the specific receptors that represent the highest traffic volumes for each alternative analyzed</w:t>
      </w:r>
    </w:p>
    <w:p w14:paraId="731F8B77" w14:textId="06195FBE" w:rsidR="00AD334D" w:rsidRPr="005456F3" w:rsidRDefault="00813C1D" w:rsidP="0048175B">
      <w:pPr>
        <w:pStyle w:val="Heading2"/>
      </w:pPr>
      <w:r>
        <w:t xml:space="preserve">0 </w:t>
      </w:r>
      <w:r w:rsidR="00D30D2C" w:rsidRPr="00D30D2C">
        <w:t>Analysis Results</w:t>
      </w:r>
    </w:p>
    <w:p w14:paraId="2ADFB6C0" w14:textId="3A1D6618" w:rsidR="00D30D2C" w:rsidRDefault="00D30D2C" w:rsidP="0048175B">
      <w:r>
        <w:t xml:space="preserve">The CO TAQA technical report must include the following components related to the analysis results. If the analysis results indicate that CO concentrations at any location </w:t>
      </w:r>
      <w:r>
        <w:lastRenderedPageBreak/>
        <w:t xml:space="preserve">are expected to exceed the applicable CO </w:t>
      </w:r>
      <w:r w:rsidR="00FF2701" w:rsidRPr="00FF2701">
        <w:t>National Ambient Air Quality Standards</w:t>
      </w:r>
      <w:r w:rsidR="00FF2701">
        <w:t xml:space="preserve"> (</w:t>
      </w:r>
      <w:r>
        <w:t>NAAQS</w:t>
      </w:r>
      <w:r w:rsidR="00FF2701">
        <w:t>)</w:t>
      </w:r>
      <w:r>
        <w:t>, consult with the ENV air specialist.</w:t>
      </w:r>
    </w:p>
    <w:p w14:paraId="6372BC17" w14:textId="3CE1E798" w:rsidR="00D30D2C" w:rsidRDefault="00D30D2C" w:rsidP="00C9700E">
      <w:pPr>
        <w:pStyle w:val="ListNumber"/>
        <w:numPr>
          <w:ilvl w:val="0"/>
          <w:numId w:val="0"/>
        </w:numPr>
        <w:ind w:left="360" w:hanging="360"/>
      </w:pPr>
      <w:r>
        <w:t>A.</w:t>
      </w:r>
      <w:r>
        <w:tab/>
        <w:t>A table identifying the 1-h</w:t>
      </w:r>
      <w:r w:rsidR="0043161B">
        <w:t>ou</w:t>
      </w:r>
      <w:r>
        <w:t>r and 8-h</w:t>
      </w:r>
      <w:r w:rsidR="0043161B">
        <w:t>ou</w:t>
      </w:r>
      <w:r>
        <w:t>r CO emissions at each receptor for both the ETC and design year</w:t>
      </w:r>
    </w:p>
    <w:p w14:paraId="43A69E1D" w14:textId="60EFF4B4" w:rsidR="00D30D2C" w:rsidRDefault="00D30D2C" w:rsidP="00C9700E">
      <w:pPr>
        <w:pStyle w:val="ListNumber"/>
        <w:numPr>
          <w:ilvl w:val="0"/>
          <w:numId w:val="0"/>
        </w:numPr>
        <w:ind w:left="360" w:hanging="360"/>
      </w:pPr>
      <w:r>
        <w:t>B.</w:t>
      </w:r>
      <w:r>
        <w:tab/>
        <w:t>An identification of the 1-h</w:t>
      </w:r>
      <w:r w:rsidR="0043161B">
        <w:t>ou</w:t>
      </w:r>
      <w:r>
        <w:t>r and 8-h</w:t>
      </w:r>
      <w:r w:rsidR="0043161B">
        <w:t>ou</w:t>
      </w:r>
      <w:r>
        <w:t>r background concentrations for CO and their source</w:t>
      </w:r>
    </w:p>
    <w:p w14:paraId="6A0C9D9E" w14:textId="41024AE3" w:rsidR="00D30D2C" w:rsidRDefault="00D30D2C" w:rsidP="00C9700E">
      <w:pPr>
        <w:pStyle w:val="ListNumber"/>
        <w:numPr>
          <w:ilvl w:val="0"/>
          <w:numId w:val="0"/>
        </w:numPr>
        <w:ind w:left="360" w:hanging="360"/>
      </w:pPr>
      <w:r>
        <w:t>C.</w:t>
      </w:r>
      <w:r>
        <w:tab/>
        <w:t>An identification of the applicable 1-h</w:t>
      </w:r>
      <w:r w:rsidR="0043161B">
        <w:t>ou</w:t>
      </w:r>
      <w:r>
        <w:t>r and 8-h</w:t>
      </w:r>
      <w:r w:rsidR="0043161B">
        <w:t>ou</w:t>
      </w:r>
      <w:r>
        <w:t>r CO NAAQS</w:t>
      </w:r>
    </w:p>
    <w:p w14:paraId="0107A380" w14:textId="77777777" w:rsidR="00D30D2C" w:rsidRDefault="00D30D2C" w:rsidP="00C9700E">
      <w:pPr>
        <w:pStyle w:val="ListNumber"/>
        <w:numPr>
          <w:ilvl w:val="0"/>
          <w:numId w:val="0"/>
        </w:numPr>
        <w:ind w:left="360" w:hanging="360"/>
      </w:pPr>
      <w:r>
        <w:t>D.</w:t>
      </w:r>
      <w:r>
        <w:tab/>
        <w:t>A brief summary of the analysis results in comparison to the applicable CO NAAQS</w:t>
      </w:r>
    </w:p>
    <w:p w14:paraId="03F719D7" w14:textId="77777777" w:rsidR="002E3658" w:rsidRDefault="00D30D2C" w:rsidP="00C9700E">
      <w:pPr>
        <w:pStyle w:val="ListNumber"/>
        <w:numPr>
          <w:ilvl w:val="0"/>
          <w:numId w:val="0"/>
        </w:numPr>
        <w:ind w:left="360" w:hanging="360"/>
      </w:pPr>
      <w:r>
        <w:t>E.</w:t>
      </w:r>
      <w:r>
        <w:tab/>
        <w:t>An identification of any required mitigation (only if the analysis indicates that the project will exceed the CO NAAQS)</w:t>
      </w:r>
      <w:r w:rsidR="009260DC">
        <w:br w:type="page"/>
      </w:r>
    </w:p>
    <w:p w14:paraId="28BE22B7" w14:textId="77777777" w:rsidR="005D638D" w:rsidRDefault="005D638D" w:rsidP="00A56374">
      <w:pPr>
        <w:pStyle w:val="Heading2"/>
        <w:numPr>
          <w:ilvl w:val="0"/>
          <w:numId w:val="0"/>
        </w:numPr>
        <w:ind w:left="360" w:hanging="360"/>
      </w:pPr>
      <w:r>
        <w:lastRenderedPageBreak/>
        <w:t>Revision History</w:t>
      </w:r>
    </w:p>
    <w:p w14:paraId="64A626F0" w14:textId="48E625A2" w:rsidR="0057411D" w:rsidRDefault="0057411D" w:rsidP="0057411D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. </w:t>
      </w:r>
      <w:r w:rsidRPr="00386562">
        <w:t>Document revision history</w:t>
      </w:r>
    </w:p>
    <w:tbl>
      <w:tblPr>
        <w:tblStyle w:val="ATFTxDOTTable"/>
        <w:tblW w:w="0" w:type="auto"/>
        <w:tblInd w:w="0" w:type="dxa"/>
        <w:tblLook w:val="0420" w:firstRow="1" w:lastRow="0" w:firstColumn="0" w:lastColumn="0" w:noHBand="0" w:noVBand="1"/>
        <w:tblCaption w:val="Document revision history"/>
      </w:tblPr>
      <w:tblGrid>
        <w:gridCol w:w="2425"/>
        <w:gridCol w:w="8365"/>
      </w:tblGrid>
      <w:tr w:rsidR="003F3CC1" w14:paraId="2A479E8C" w14:textId="77777777" w:rsidTr="00425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425" w:type="dxa"/>
          </w:tcPr>
          <w:p w14:paraId="2A09036D" w14:textId="77777777" w:rsidR="003F3CC1" w:rsidRPr="0048175B" w:rsidRDefault="003F3CC1" w:rsidP="0048175B">
            <w:pPr>
              <w:pStyle w:val="Caption"/>
              <w:rPr>
                <w:b/>
                <w:bCs w:val="0"/>
                <w:color w:val="FFFFFF" w:themeColor="background1"/>
              </w:rPr>
            </w:pPr>
            <w:r w:rsidRPr="0048175B">
              <w:rPr>
                <w:b/>
                <w:bCs w:val="0"/>
                <w:color w:val="FFFFFF" w:themeColor="background1"/>
              </w:rPr>
              <w:t xml:space="preserve">Effective </w:t>
            </w:r>
            <w:r w:rsidR="002A12D5" w:rsidRPr="0048175B">
              <w:rPr>
                <w:b/>
                <w:bCs w:val="0"/>
                <w:color w:val="FFFFFF" w:themeColor="background1"/>
              </w:rPr>
              <w:t>d</w:t>
            </w:r>
            <w:r w:rsidRPr="0048175B">
              <w:rPr>
                <w:b/>
                <w:bCs w:val="0"/>
                <w:color w:val="FFFFFF" w:themeColor="background1"/>
              </w:rPr>
              <w:t>ate</w:t>
            </w:r>
            <w:r w:rsidR="002A12D5" w:rsidRPr="0048175B">
              <w:rPr>
                <w:b/>
                <w:bCs w:val="0"/>
                <w:color w:val="FFFFFF" w:themeColor="background1"/>
              </w:rPr>
              <w:t xml:space="preserve"> (month year)</w:t>
            </w:r>
          </w:p>
        </w:tc>
        <w:tc>
          <w:tcPr>
            <w:tcW w:w="8365" w:type="dxa"/>
          </w:tcPr>
          <w:p w14:paraId="36D5270B" w14:textId="77777777" w:rsidR="003F3CC1" w:rsidRPr="0048175B" w:rsidRDefault="002A12D5" w:rsidP="0048175B">
            <w:pPr>
              <w:pStyle w:val="Caption"/>
              <w:rPr>
                <w:b/>
                <w:bCs w:val="0"/>
                <w:color w:val="FFFFFF" w:themeColor="background1"/>
              </w:rPr>
            </w:pPr>
            <w:r w:rsidRPr="0048175B">
              <w:rPr>
                <w:b/>
                <w:bCs w:val="0"/>
                <w:color w:val="FFFFFF" w:themeColor="background1"/>
              </w:rPr>
              <w:t>Reason for and description of change</w:t>
            </w:r>
          </w:p>
        </w:tc>
      </w:tr>
      <w:tr w:rsidR="003F3CC1" w14:paraId="1148E8E6" w14:textId="77777777" w:rsidTr="00425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425" w:type="dxa"/>
          </w:tcPr>
          <w:p w14:paraId="189A3AA0" w14:textId="2DB841F7" w:rsidR="003F3CC1" w:rsidRPr="009F335B" w:rsidRDefault="00624C21" w:rsidP="0048175B">
            <w:pPr>
              <w:rPr>
                <w:b/>
                <w:bCs/>
              </w:rPr>
            </w:pPr>
            <w:r w:rsidRPr="009F335B">
              <w:t>M</w:t>
            </w:r>
            <w:r w:rsidR="008237C4">
              <w:t>ay</w:t>
            </w:r>
            <w:r w:rsidRPr="009F335B">
              <w:t xml:space="preserve"> </w:t>
            </w:r>
            <w:r w:rsidR="00FF2701" w:rsidRPr="009F335B">
              <w:t>2026</w:t>
            </w:r>
          </w:p>
        </w:tc>
        <w:tc>
          <w:tcPr>
            <w:tcW w:w="8365" w:type="dxa"/>
          </w:tcPr>
          <w:p w14:paraId="6FC7D6D3" w14:textId="04066B24" w:rsidR="003F3CC1" w:rsidRPr="0048175B" w:rsidRDefault="002A12D5" w:rsidP="0048175B">
            <w:r w:rsidRPr="0048175B">
              <w:t xml:space="preserve">Version </w:t>
            </w:r>
            <w:r w:rsidR="00FF2701" w:rsidRPr="0048175B">
              <w:t>2</w:t>
            </w:r>
          </w:p>
          <w:p w14:paraId="60896086" w14:textId="0690BE50" w:rsidR="000A5D0B" w:rsidRPr="009F335B" w:rsidRDefault="00FF2701" w:rsidP="0048175B">
            <w:pPr>
              <w:pStyle w:val="ListBullet"/>
            </w:pPr>
            <w:r w:rsidRPr="009F335B">
              <w:t>Updated for accessibility compliance and TxDOT branding standards</w:t>
            </w:r>
          </w:p>
        </w:tc>
      </w:tr>
      <w:tr w:rsidR="00FF2701" w14:paraId="54F9A498" w14:textId="77777777" w:rsidTr="00425F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425" w:type="dxa"/>
          </w:tcPr>
          <w:p w14:paraId="3BC040C4" w14:textId="1FFF20DD" w:rsidR="00FF2701" w:rsidRPr="009F335B" w:rsidRDefault="00FF2701" w:rsidP="0048175B">
            <w:pPr>
              <w:rPr>
                <w:b/>
                <w:bCs/>
              </w:rPr>
            </w:pPr>
            <w:r w:rsidRPr="009F335B">
              <w:t>September 2015</w:t>
            </w:r>
          </w:p>
        </w:tc>
        <w:tc>
          <w:tcPr>
            <w:tcW w:w="8365" w:type="dxa"/>
          </w:tcPr>
          <w:p w14:paraId="1363BE76" w14:textId="268220F0" w:rsidR="00FF2701" w:rsidRPr="0048175B" w:rsidRDefault="00FF2701" w:rsidP="0048175B">
            <w:r w:rsidRPr="009F335B">
              <w:t>V</w:t>
            </w:r>
            <w:r w:rsidRPr="0048175B">
              <w:t>ersion 1</w:t>
            </w:r>
          </w:p>
          <w:p w14:paraId="59816B2E" w14:textId="4DF3B542" w:rsidR="00FF2701" w:rsidRPr="009F335B" w:rsidRDefault="00EE4ADF" w:rsidP="0048175B">
            <w:pPr>
              <w:pStyle w:val="ListBullet"/>
            </w:pPr>
            <w:r w:rsidRPr="009F335B">
              <w:t>Used to prepare a CO TAQA technical report</w:t>
            </w:r>
          </w:p>
        </w:tc>
      </w:tr>
    </w:tbl>
    <w:p w14:paraId="351B6877" w14:textId="7486BDC9" w:rsidR="003F3CC1" w:rsidRPr="005D638D" w:rsidRDefault="003F3CC1" w:rsidP="0057411D"/>
    <w:sectPr w:rsidR="003F3CC1" w:rsidRPr="005D638D" w:rsidSect="0010454F">
      <w:headerReference w:type="default" r:id="rId11"/>
      <w:footerReference w:type="default" r:id="rId12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60BED" w14:textId="77777777" w:rsidR="00FF0D43" w:rsidRDefault="00FF0D43" w:rsidP="0048175B">
      <w:r>
        <w:separator/>
      </w:r>
    </w:p>
  </w:endnote>
  <w:endnote w:type="continuationSeparator" w:id="0">
    <w:p w14:paraId="40C77C5C" w14:textId="77777777" w:rsidR="00FF0D43" w:rsidRDefault="00FF0D43" w:rsidP="0048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E7E9" w14:textId="77777777" w:rsidR="00A030CB" w:rsidRPr="00A07068" w:rsidRDefault="00A030CB" w:rsidP="00A030CB">
    <w:pPr>
      <w:pStyle w:val="Footer"/>
      <w:spacing w:before="360" w:line="360" w:lineRule="auto"/>
      <w:jc w:val="right"/>
      <w:rPr>
        <w:b/>
        <w:bCs/>
        <w:color w:val="0056A9"/>
      </w:rPr>
    </w:pPr>
    <w:r w:rsidRPr="00781A5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929CE6" wp14:editId="679A19CA">
              <wp:simplePos x="0" y="0"/>
              <wp:positionH relativeFrom="margin">
                <wp:posOffset>0</wp:posOffset>
              </wp:positionH>
              <wp:positionV relativeFrom="paragraph">
                <wp:posOffset>86065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590CD4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8pt;width:538.95pt;height: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KzchL/gAAAABwEAAA8AAABkcnMvZG93bnJldi54bWxMj81OwzAQhO9IvIO1SNyow19D&#10;Q5yqQipCgkMbqtKjGy9JIF5HttsGnp7tqdx2dlYz3+bTwXZijz60jhRcjxIQSJUzLdUKVu/zqwcQ&#10;IWoyunOECn4wwLQ4P8t1ZtyBlrgvYy04hEKmFTQx9pmUoWrQ6jByPRJ7n85bHVn6WhqvDxxuO3mT&#10;JGNpdUvc0OgenxqsvsudVbCYPdvf+cvbZlUuv8L6fu1fh49UqcuLYfYIIuIQT8dwxGd0KJhp63Zk&#10;gugU8CORt7djEEc3SdMJiC1PdynIIpf/+Ys/AAAA//8DAFBLAQItABQABgAIAAAAIQC2gziS/gAA&#10;AOEBAAATAAAAAAAAAAAAAAAAAAAAAABbQ29udGVudF9UeXBlc10ueG1sUEsBAi0AFAAGAAgAAAAh&#10;ADj9If/WAAAAlAEAAAsAAAAAAAAAAAAAAAAALwEAAF9yZWxzLy5yZWxzUEsBAi0AFAAGAAgAAAAh&#10;AAXZUsnaAQAAnwMAAA4AAAAAAAAAAAAAAAAALgIAAGRycy9lMm9Eb2MueG1sUEsBAi0AFAAGAAgA&#10;AAAhAKzchL/gAAAABwEAAA8AAAAAAAAAAAAAAAAANAQAAGRycy9kb3ducmV2LnhtbFBLBQYAAAAA&#10;BAAEAPMAAABBBQAAAAA=&#10;" strokecolor="#d81f26">
              <w10:wrap anchorx="margin"/>
            </v:shape>
          </w:pict>
        </mc:Fallback>
      </mc:AlternateContent>
    </w:r>
    <w:r w:rsidRPr="00217EEB">
      <w:rPr>
        <w:color w:val="0056A9"/>
      </w:rPr>
      <w:t>Documentation Standard for a Carbon Monoxide Traffic Air Quality Analysis Technical Report</w:t>
    </w:r>
    <w:r>
      <w:rPr>
        <w:color w:val="0056A9"/>
      </w:rPr>
      <w:t xml:space="preserve"> </w:t>
    </w:r>
    <w:r w:rsidRPr="00B165BA">
      <w:rPr>
        <w:color w:val="0056A9"/>
      </w:rPr>
      <w:t xml:space="preserve">| </w:t>
    </w:r>
    <w:r w:rsidRPr="00BD2218">
      <w:rPr>
        <w:b/>
        <w:bCs/>
        <w:color w:val="0056A9"/>
      </w:rPr>
      <w:fldChar w:fldCharType="begin"/>
    </w:r>
    <w:r w:rsidRPr="00BD2218">
      <w:rPr>
        <w:b/>
        <w:bCs/>
        <w:color w:val="0056A9"/>
      </w:rPr>
      <w:instrText xml:space="preserve"> PAGE   \* MERGEFORMAT </w:instrText>
    </w:r>
    <w:r w:rsidRPr="00BD2218">
      <w:rPr>
        <w:b/>
        <w:bCs/>
        <w:color w:val="0056A9"/>
      </w:rPr>
      <w:fldChar w:fldCharType="separate"/>
    </w:r>
    <w:r>
      <w:rPr>
        <w:b/>
        <w:bCs/>
        <w:color w:val="0056A9"/>
      </w:rPr>
      <w:t>1</w:t>
    </w:r>
    <w:r w:rsidRPr="00BD2218">
      <w:rPr>
        <w:b/>
        <w:bCs/>
        <w:noProof/>
        <w:color w:val="0056A9"/>
      </w:rPr>
      <w:fldChar w:fldCharType="end"/>
    </w:r>
  </w:p>
  <w:p w14:paraId="47446E69" w14:textId="77777777" w:rsidR="002376C2" w:rsidRDefault="002376C2" w:rsidP="00481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BC9D1" w14:textId="77777777" w:rsidR="00FF0D43" w:rsidRDefault="00FF0D43" w:rsidP="0048175B">
      <w:r>
        <w:separator/>
      </w:r>
    </w:p>
  </w:footnote>
  <w:footnote w:type="continuationSeparator" w:id="0">
    <w:p w14:paraId="3A8FA2F2" w14:textId="77777777" w:rsidR="00FF0D43" w:rsidRDefault="00FF0D43" w:rsidP="0048175B">
      <w:r>
        <w:continuationSeparator/>
      </w:r>
    </w:p>
  </w:footnote>
  <w:footnote w:id="1">
    <w:p w14:paraId="239005F7" w14:textId="4F906D88" w:rsidR="005C5579" w:rsidRPr="00690055" w:rsidRDefault="005C5579" w:rsidP="0048175B">
      <w:r w:rsidRPr="00690055">
        <w:rPr>
          <w:rStyle w:val="FootnoteReference"/>
          <w:rFonts w:asciiTheme="minorHAnsi" w:hAnsiTheme="minorHAnsi"/>
        </w:rPr>
        <w:footnoteRef/>
      </w:r>
      <w:r w:rsidRPr="00690055">
        <w:t xml:space="preserve"> Date the entire project as described in the environmental review document as the date the facility will be open to traffic.</w:t>
      </w:r>
    </w:p>
  </w:footnote>
  <w:footnote w:id="2">
    <w:p w14:paraId="01AFE61E" w14:textId="6A032F58" w:rsidR="00B9344E" w:rsidRDefault="00B9344E" w:rsidP="0048175B">
      <w:r w:rsidRPr="00690055">
        <w:rPr>
          <w:rStyle w:val="FootnoteReference"/>
          <w:rFonts w:asciiTheme="minorHAnsi" w:hAnsiTheme="minorHAnsi"/>
        </w:rPr>
        <w:footnoteRef/>
      </w:r>
      <w:r w:rsidRPr="00690055">
        <w:t xml:space="preserve"> Typically, the design year for CO analyses is either the out-year (last year) of the current Metropolitan Transportation Plan (MTP) when a quantitative Mobile Source Air Toxics (MSAT) analysis is also performed, or the ETC year + 20 years in the rare instances when an MSAT is not also performed.</w:t>
      </w:r>
    </w:p>
  </w:footnote>
  <w:footnote w:id="3">
    <w:p w14:paraId="53E84A02" w14:textId="449B5997" w:rsidR="00327998" w:rsidRPr="006D1A78" w:rsidRDefault="00327998" w:rsidP="0048175B">
      <w:r w:rsidRPr="006D1A78">
        <w:rPr>
          <w:rStyle w:val="FootnoteReference"/>
          <w:rFonts w:asciiTheme="minorHAnsi" w:hAnsiTheme="minorHAnsi"/>
        </w:rPr>
        <w:footnoteRef/>
      </w:r>
      <w:r w:rsidRPr="006D1A78">
        <w:t xml:space="preserve"> </w:t>
      </w:r>
      <w:r w:rsidR="00911CCA" w:rsidRPr="006D1A78">
        <w:t xml:space="preserve">The background concentrations must be consistent with Appendix B of the </w:t>
      </w:r>
      <w:r w:rsidR="00FE75F3">
        <w:t>Standard Operating Procedure (</w:t>
      </w:r>
      <w:r w:rsidR="00911CCA" w:rsidRPr="006D1A78">
        <w:t>SOP</w:t>
      </w:r>
      <w:r w:rsidR="00FE75F3">
        <w:t>)</w:t>
      </w:r>
      <w:r w:rsidR="00911CCA" w:rsidRPr="006D1A78">
        <w:t xml:space="preserve"> for Producing a CO TAQA.</w:t>
      </w:r>
    </w:p>
  </w:footnote>
  <w:footnote w:id="4">
    <w:p w14:paraId="48ADD68C" w14:textId="1045CC9F" w:rsidR="00911CCA" w:rsidRDefault="00911CCA" w:rsidP="0048175B">
      <w:r w:rsidRPr="006D1A78">
        <w:rPr>
          <w:rStyle w:val="FootnoteReference"/>
          <w:rFonts w:asciiTheme="minorHAnsi" w:hAnsiTheme="minorHAnsi"/>
        </w:rPr>
        <w:footnoteRef/>
      </w:r>
      <w:r w:rsidRPr="006D1A78">
        <w:t xml:space="preserve"> The traffic data must come from or be otherwise approved by the Transportation Planning and Programming Division (TPP).</w:t>
      </w:r>
    </w:p>
  </w:footnote>
  <w:footnote w:id="5">
    <w:p w14:paraId="1CFDC5BC" w14:textId="08D5529D" w:rsidR="008F4F53" w:rsidRPr="0022416D" w:rsidRDefault="008F4F53" w:rsidP="0048175B">
      <w:r w:rsidRPr="0022416D">
        <w:rPr>
          <w:rStyle w:val="FootnoteReference"/>
          <w:rFonts w:asciiTheme="minorHAnsi" w:hAnsiTheme="minorHAnsi"/>
        </w:rPr>
        <w:footnoteRef/>
      </w:r>
      <w:r w:rsidRPr="0022416D">
        <w:t xml:space="preserve"> </w:t>
      </w:r>
      <w:r w:rsidR="00446DDA" w:rsidRPr="0022416D">
        <w:t xml:space="preserve">These must be consistent with a worst-case scenario, as identified in Appendix D of the </w:t>
      </w:r>
      <w:r w:rsidR="00157B99" w:rsidRPr="0022416D">
        <w:t>SOP for</w:t>
      </w:r>
      <w:r w:rsidR="00446DDA" w:rsidRPr="0022416D">
        <w:t xml:space="preserve"> Producing a CO TAQA.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22C40" w14:textId="77777777" w:rsidR="001270C2" w:rsidRDefault="001270C2" w:rsidP="001270C2">
    <w:pPr>
      <w:pStyle w:val="Header"/>
      <w:spacing w:after="400"/>
      <w:jc w:val="right"/>
    </w:pPr>
    <w:r>
      <w:rPr>
        <w:noProof/>
      </w:rPr>
      <w:drawing>
        <wp:inline distT="0" distB="0" distL="0" distR="0" wp14:anchorId="42884514" wp14:editId="00CEE217">
          <wp:extent cx="2020824" cy="384048"/>
          <wp:effectExtent l="0" t="0" r="0" b="0"/>
          <wp:docPr id="1517796457" name="Picture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796457" name="Picture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824" cy="384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159F0"/>
    <w:multiLevelType w:val="hybridMultilevel"/>
    <w:tmpl w:val="A9EAF31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C12DE"/>
    <w:multiLevelType w:val="multilevel"/>
    <w:tmpl w:val="7A3254CC"/>
    <w:lvl w:ilvl="0">
      <w:start w:val="1"/>
      <w:numFmt w:val="upperLetter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FDC167D"/>
    <w:multiLevelType w:val="hybridMultilevel"/>
    <w:tmpl w:val="7C1CC43C"/>
    <w:lvl w:ilvl="0" w:tplc="C67033AE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0E1F85"/>
    <w:multiLevelType w:val="hybridMultilevel"/>
    <w:tmpl w:val="8C4001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4"/>
  </w:num>
  <w:num w:numId="2" w16cid:durableId="900794769">
    <w:abstractNumId w:val="3"/>
  </w:num>
  <w:num w:numId="3" w16cid:durableId="509567605">
    <w:abstractNumId w:val="0"/>
  </w:num>
  <w:num w:numId="4" w16cid:durableId="945039576">
    <w:abstractNumId w:val="1"/>
  </w:num>
  <w:num w:numId="5" w16cid:durableId="2644588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6174743">
    <w:abstractNumId w:val="2"/>
  </w:num>
  <w:num w:numId="7" w16cid:durableId="1464932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4D"/>
    <w:rsid w:val="000007B1"/>
    <w:rsid w:val="00007DF7"/>
    <w:rsid w:val="00014168"/>
    <w:rsid w:val="00014C5A"/>
    <w:rsid w:val="00015157"/>
    <w:rsid w:val="0003040F"/>
    <w:rsid w:val="00032DFE"/>
    <w:rsid w:val="00032E22"/>
    <w:rsid w:val="000369CE"/>
    <w:rsid w:val="00042206"/>
    <w:rsid w:val="00051E7A"/>
    <w:rsid w:val="0005583F"/>
    <w:rsid w:val="00055E91"/>
    <w:rsid w:val="00056910"/>
    <w:rsid w:val="00073C60"/>
    <w:rsid w:val="00074844"/>
    <w:rsid w:val="00075AE3"/>
    <w:rsid w:val="0008496A"/>
    <w:rsid w:val="00084CD1"/>
    <w:rsid w:val="00085BAF"/>
    <w:rsid w:val="00086BCE"/>
    <w:rsid w:val="000940FB"/>
    <w:rsid w:val="000A1557"/>
    <w:rsid w:val="000A4088"/>
    <w:rsid w:val="000A5D0B"/>
    <w:rsid w:val="000B2945"/>
    <w:rsid w:val="000B5A5C"/>
    <w:rsid w:val="000B6AB4"/>
    <w:rsid w:val="000C7AD7"/>
    <w:rsid w:val="000C7B9C"/>
    <w:rsid w:val="000D4E5E"/>
    <w:rsid w:val="000E0386"/>
    <w:rsid w:val="000E1062"/>
    <w:rsid w:val="000E17A2"/>
    <w:rsid w:val="000E2AE4"/>
    <w:rsid w:val="000F0923"/>
    <w:rsid w:val="000F0FCF"/>
    <w:rsid w:val="001044CF"/>
    <w:rsid w:val="0010454F"/>
    <w:rsid w:val="00105532"/>
    <w:rsid w:val="00111E73"/>
    <w:rsid w:val="00116885"/>
    <w:rsid w:val="0012148E"/>
    <w:rsid w:val="001270C2"/>
    <w:rsid w:val="0013021E"/>
    <w:rsid w:val="0013120D"/>
    <w:rsid w:val="00131DD1"/>
    <w:rsid w:val="00134D56"/>
    <w:rsid w:val="0014057C"/>
    <w:rsid w:val="00143C58"/>
    <w:rsid w:val="001468A0"/>
    <w:rsid w:val="00146BE0"/>
    <w:rsid w:val="00157B99"/>
    <w:rsid w:val="001650AC"/>
    <w:rsid w:val="001705BC"/>
    <w:rsid w:val="001761D7"/>
    <w:rsid w:val="001805EA"/>
    <w:rsid w:val="001810DC"/>
    <w:rsid w:val="00181735"/>
    <w:rsid w:val="0018202F"/>
    <w:rsid w:val="00185300"/>
    <w:rsid w:val="0018694B"/>
    <w:rsid w:val="00190DCD"/>
    <w:rsid w:val="00191AFD"/>
    <w:rsid w:val="001929E0"/>
    <w:rsid w:val="00193C0D"/>
    <w:rsid w:val="001A30C0"/>
    <w:rsid w:val="001A69C9"/>
    <w:rsid w:val="001B0171"/>
    <w:rsid w:val="001B5185"/>
    <w:rsid w:val="001B6C26"/>
    <w:rsid w:val="001C15D2"/>
    <w:rsid w:val="001C3E75"/>
    <w:rsid w:val="001C4F70"/>
    <w:rsid w:val="001E04DE"/>
    <w:rsid w:val="001E54F6"/>
    <w:rsid w:val="001E5E7E"/>
    <w:rsid w:val="001F1099"/>
    <w:rsid w:val="001F13CF"/>
    <w:rsid w:val="001F4FAC"/>
    <w:rsid w:val="00211CC5"/>
    <w:rsid w:val="002131D9"/>
    <w:rsid w:val="00217EEB"/>
    <w:rsid w:val="0022416D"/>
    <w:rsid w:val="002319D2"/>
    <w:rsid w:val="002340C7"/>
    <w:rsid w:val="002376C2"/>
    <w:rsid w:val="002464B7"/>
    <w:rsid w:val="0025201D"/>
    <w:rsid w:val="002531E4"/>
    <w:rsid w:val="0025455C"/>
    <w:rsid w:val="00254FA7"/>
    <w:rsid w:val="0026248F"/>
    <w:rsid w:val="00273031"/>
    <w:rsid w:val="0027772F"/>
    <w:rsid w:val="002805FC"/>
    <w:rsid w:val="00283EE1"/>
    <w:rsid w:val="00284504"/>
    <w:rsid w:val="00290571"/>
    <w:rsid w:val="00290A05"/>
    <w:rsid w:val="002934DC"/>
    <w:rsid w:val="002A05A5"/>
    <w:rsid w:val="002A12D5"/>
    <w:rsid w:val="002A4F06"/>
    <w:rsid w:val="002A574D"/>
    <w:rsid w:val="002A75F2"/>
    <w:rsid w:val="002B0FE9"/>
    <w:rsid w:val="002B1115"/>
    <w:rsid w:val="002B7D68"/>
    <w:rsid w:val="002C57BC"/>
    <w:rsid w:val="002D0309"/>
    <w:rsid w:val="002D47C2"/>
    <w:rsid w:val="002E003D"/>
    <w:rsid w:val="002E3658"/>
    <w:rsid w:val="002F3F29"/>
    <w:rsid w:val="002F5867"/>
    <w:rsid w:val="003079E4"/>
    <w:rsid w:val="0031760E"/>
    <w:rsid w:val="0032481A"/>
    <w:rsid w:val="00326C3F"/>
    <w:rsid w:val="00327522"/>
    <w:rsid w:val="00327998"/>
    <w:rsid w:val="00331239"/>
    <w:rsid w:val="003343A0"/>
    <w:rsid w:val="00337C4B"/>
    <w:rsid w:val="00340C29"/>
    <w:rsid w:val="003452E7"/>
    <w:rsid w:val="00352514"/>
    <w:rsid w:val="0035304B"/>
    <w:rsid w:val="00357B8C"/>
    <w:rsid w:val="00361ECF"/>
    <w:rsid w:val="00371D41"/>
    <w:rsid w:val="00385384"/>
    <w:rsid w:val="00394443"/>
    <w:rsid w:val="0039455F"/>
    <w:rsid w:val="003A504F"/>
    <w:rsid w:val="003B6BA3"/>
    <w:rsid w:val="003C6AA5"/>
    <w:rsid w:val="003D05DD"/>
    <w:rsid w:val="003D41C5"/>
    <w:rsid w:val="003D6291"/>
    <w:rsid w:val="003E1328"/>
    <w:rsid w:val="003E69D6"/>
    <w:rsid w:val="003E7666"/>
    <w:rsid w:val="003F3CC1"/>
    <w:rsid w:val="004112F8"/>
    <w:rsid w:val="00412C0F"/>
    <w:rsid w:val="0042061E"/>
    <w:rsid w:val="00422387"/>
    <w:rsid w:val="00422D75"/>
    <w:rsid w:val="00425F9B"/>
    <w:rsid w:val="00427DBB"/>
    <w:rsid w:val="0043161B"/>
    <w:rsid w:val="00437A34"/>
    <w:rsid w:val="00446DDA"/>
    <w:rsid w:val="00447611"/>
    <w:rsid w:val="004533CD"/>
    <w:rsid w:val="004567BC"/>
    <w:rsid w:val="00460DD9"/>
    <w:rsid w:val="00463506"/>
    <w:rsid w:val="0048175B"/>
    <w:rsid w:val="00487276"/>
    <w:rsid w:val="004A1071"/>
    <w:rsid w:val="004A55DD"/>
    <w:rsid w:val="004B1594"/>
    <w:rsid w:val="004B325C"/>
    <w:rsid w:val="004B5246"/>
    <w:rsid w:val="004C5875"/>
    <w:rsid w:val="004D2AA8"/>
    <w:rsid w:val="004D39D0"/>
    <w:rsid w:val="004E496F"/>
    <w:rsid w:val="004E7B23"/>
    <w:rsid w:val="004F697B"/>
    <w:rsid w:val="005012F3"/>
    <w:rsid w:val="00501A04"/>
    <w:rsid w:val="005066EF"/>
    <w:rsid w:val="0051489C"/>
    <w:rsid w:val="00516804"/>
    <w:rsid w:val="00521BF9"/>
    <w:rsid w:val="0052204E"/>
    <w:rsid w:val="005456F3"/>
    <w:rsid w:val="00550781"/>
    <w:rsid w:val="005518DE"/>
    <w:rsid w:val="005555C5"/>
    <w:rsid w:val="00565ECF"/>
    <w:rsid w:val="00571D35"/>
    <w:rsid w:val="0057411D"/>
    <w:rsid w:val="0057546D"/>
    <w:rsid w:val="0057732E"/>
    <w:rsid w:val="00582290"/>
    <w:rsid w:val="005918CF"/>
    <w:rsid w:val="005A54E0"/>
    <w:rsid w:val="005B2C41"/>
    <w:rsid w:val="005C5579"/>
    <w:rsid w:val="005D19E7"/>
    <w:rsid w:val="005D35F1"/>
    <w:rsid w:val="005D638D"/>
    <w:rsid w:val="005D65E0"/>
    <w:rsid w:val="005D6FD8"/>
    <w:rsid w:val="005E451D"/>
    <w:rsid w:val="005E7BC0"/>
    <w:rsid w:val="005F3E06"/>
    <w:rsid w:val="005F7B84"/>
    <w:rsid w:val="006125F2"/>
    <w:rsid w:val="006141C2"/>
    <w:rsid w:val="006215AA"/>
    <w:rsid w:val="00624C21"/>
    <w:rsid w:val="006258E9"/>
    <w:rsid w:val="00626A92"/>
    <w:rsid w:val="00631C08"/>
    <w:rsid w:val="00634A08"/>
    <w:rsid w:val="00640ADD"/>
    <w:rsid w:val="00643281"/>
    <w:rsid w:val="0064565C"/>
    <w:rsid w:val="00647891"/>
    <w:rsid w:val="0065688C"/>
    <w:rsid w:val="00656CFE"/>
    <w:rsid w:val="00664FB9"/>
    <w:rsid w:val="00675B41"/>
    <w:rsid w:val="00676D8B"/>
    <w:rsid w:val="00687A4D"/>
    <w:rsid w:val="00690055"/>
    <w:rsid w:val="006938FE"/>
    <w:rsid w:val="00697EB1"/>
    <w:rsid w:val="006B34EF"/>
    <w:rsid w:val="006B7090"/>
    <w:rsid w:val="006C7A00"/>
    <w:rsid w:val="006D1A78"/>
    <w:rsid w:val="006E1A35"/>
    <w:rsid w:val="006E3A40"/>
    <w:rsid w:val="006E590F"/>
    <w:rsid w:val="00701C32"/>
    <w:rsid w:val="0070413E"/>
    <w:rsid w:val="0071032F"/>
    <w:rsid w:val="0072002A"/>
    <w:rsid w:val="00724DE5"/>
    <w:rsid w:val="00730651"/>
    <w:rsid w:val="0073078F"/>
    <w:rsid w:val="00731D9C"/>
    <w:rsid w:val="007414D4"/>
    <w:rsid w:val="00746A83"/>
    <w:rsid w:val="00750673"/>
    <w:rsid w:val="007524CB"/>
    <w:rsid w:val="0075504E"/>
    <w:rsid w:val="00755476"/>
    <w:rsid w:val="007571DC"/>
    <w:rsid w:val="0076293D"/>
    <w:rsid w:val="00763838"/>
    <w:rsid w:val="00767521"/>
    <w:rsid w:val="00771021"/>
    <w:rsid w:val="00781A58"/>
    <w:rsid w:val="00783598"/>
    <w:rsid w:val="00787D2C"/>
    <w:rsid w:val="00791127"/>
    <w:rsid w:val="00792A9A"/>
    <w:rsid w:val="007A17DA"/>
    <w:rsid w:val="007A26BA"/>
    <w:rsid w:val="007A3B26"/>
    <w:rsid w:val="007A4155"/>
    <w:rsid w:val="007B00A8"/>
    <w:rsid w:val="007C06C2"/>
    <w:rsid w:val="007C4E3A"/>
    <w:rsid w:val="007D2C1B"/>
    <w:rsid w:val="007D7E4A"/>
    <w:rsid w:val="007D7F1E"/>
    <w:rsid w:val="007E1C08"/>
    <w:rsid w:val="007E4B7F"/>
    <w:rsid w:val="007F1ED1"/>
    <w:rsid w:val="00813C1D"/>
    <w:rsid w:val="00821CAA"/>
    <w:rsid w:val="008237C4"/>
    <w:rsid w:val="00843315"/>
    <w:rsid w:val="008502BE"/>
    <w:rsid w:val="00854DC3"/>
    <w:rsid w:val="0085580E"/>
    <w:rsid w:val="00862BE8"/>
    <w:rsid w:val="00865289"/>
    <w:rsid w:val="0086528F"/>
    <w:rsid w:val="0087110F"/>
    <w:rsid w:val="00871B24"/>
    <w:rsid w:val="00871CFB"/>
    <w:rsid w:val="0087324F"/>
    <w:rsid w:val="00876B57"/>
    <w:rsid w:val="00882B0F"/>
    <w:rsid w:val="00885A03"/>
    <w:rsid w:val="0088707C"/>
    <w:rsid w:val="008905E4"/>
    <w:rsid w:val="00893375"/>
    <w:rsid w:val="00894429"/>
    <w:rsid w:val="008A26E4"/>
    <w:rsid w:val="008A77A6"/>
    <w:rsid w:val="008B0F06"/>
    <w:rsid w:val="008B4227"/>
    <w:rsid w:val="008B49EB"/>
    <w:rsid w:val="008C1217"/>
    <w:rsid w:val="008D021D"/>
    <w:rsid w:val="008E5F19"/>
    <w:rsid w:val="008E609F"/>
    <w:rsid w:val="008F4F53"/>
    <w:rsid w:val="00900F14"/>
    <w:rsid w:val="0090166F"/>
    <w:rsid w:val="00911CCA"/>
    <w:rsid w:val="00915667"/>
    <w:rsid w:val="00915FFB"/>
    <w:rsid w:val="009160AB"/>
    <w:rsid w:val="0091704D"/>
    <w:rsid w:val="00917A63"/>
    <w:rsid w:val="00917F65"/>
    <w:rsid w:val="009260DC"/>
    <w:rsid w:val="009372FC"/>
    <w:rsid w:val="009440F0"/>
    <w:rsid w:val="009451C6"/>
    <w:rsid w:val="00945E67"/>
    <w:rsid w:val="00947AC2"/>
    <w:rsid w:val="00955095"/>
    <w:rsid w:val="00962F9E"/>
    <w:rsid w:val="00967F5A"/>
    <w:rsid w:val="0097321E"/>
    <w:rsid w:val="00976A16"/>
    <w:rsid w:val="009843BF"/>
    <w:rsid w:val="0098580A"/>
    <w:rsid w:val="009951D8"/>
    <w:rsid w:val="009959A1"/>
    <w:rsid w:val="00995A37"/>
    <w:rsid w:val="009A0873"/>
    <w:rsid w:val="009B0174"/>
    <w:rsid w:val="009B2914"/>
    <w:rsid w:val="009C36A1"/>
    <w:rsid w:val="009C6617"/>
    <w:rsid w:val="009D468A"/>
    <w:rsid w:val="009D4DC1"/>
    <w:rsid w:val="009D4FD2"/>
    <w:rsid w:val="009D6A51"/>
    <w:rsid w:val="009E2497"/>
    <w:rsid w:val="009E532E"/>
    <w:rsid w:val="009F13C4"/>
    <w:rsid w:val="009F335B"/>
    <w:rsid w:val="009F72F5"/>
    <w:rsid w:val="00A030CB"/>
    <w:rsid w:val="00A06D78"/>
    <w:rsid w:val="00A07068"/>
    <w:rsid w:val="00A07348"/>
    <w:rsid w:val="00A07609"/>
    <w:rsid w:val="00A166DE"/>
    <w:rsid w:val="00A22F82"/>
    <w:rsid w:val="00A3147C"/>
    <w:rsid w:val="00A37C85"/>
    <w:rsid w:val="00A44609"/>
    <w:rsid w:val="00A46635"/>
    <w:rsid w:val="00A47D0D"/>
    <w:rsid w:val="00A51069"/>
    <w:rsid w:val="00A517D8"/>
    <w:rsid w:val="00A53A66"/>
    <w:rsid w:val="00A56374"/>
    <w:rsid w:val="00A70747"/>
    <w:rsid w:val="00A71049"/>
    <w:rsid w:val="00A858D7"/>
    <w:rsid w:val="00A861C7"/>
    <w:rsid w:val="00A9054B"/>
    <w:rsid w:val="00A948B1"/>
    <w:rsid w:val="00A94F99"/>
    <w:rsid w:val="00AB755B"/>
    <w:rsid w:val="00AC4AFC"/>
    <w:rsid w:val="00AD1E4A"/>
    <w:rsid w:val="00AD334D"/>
    <w:rsid w:val="00AD3BD3"/>
    <w:rsid w:val="00AD4351"/>
    <w:rsid w:val="00AD6496"/>
    <w:rsid w:val="00AE1A16"/>
    <w:rsid w:val="00AE350B"/>
    <w:rsid w:val="00AF3A99"/>
    <w:rsid w:val="00AF4387"/>
    <w:rsid w:val="00B076D5"/>
    <w:rsid w:val="00B165BA"/>
    <w:rsid w:val="00B22256"/>
    <w:rsid w:val="00B32483"/>
    <w:rsid w:val="00B33DA3"/>
    <w:rsid w:val="00B406D5"/>
    <w:rsid w:val="00B46EB9"/>
    <w:rsid w:val="00B55323"/>
    <w:rsid w:val="00B6280C"/>
    <w:rsid w:val="00B63CB8"/>
    <w:rsid w:val="00B66CD0"/>
    <w:rsid w:val="00B75712"/>
    <w:rsid w:val="00B84690"/>
    <w:rsid w:val="00B85D46"/>
    <w:rsid w:val="00B900B0"/>
    <w:rsid w:val="00B90823"/>
    <w:rsid w:val="00B9344E"/>
    <w:rsid w:val="00B947F8"/>
    <w:rsid w:val="00B95C20"/>
    <w:rsid w:val="00BC0664"/>
    <w:rsid w:val="00BC149B"/>
    <w:rsid w:val="00BD2218"/>
    <w:rsid w:val="00BD65DD"/>
    <w:rsid w:val="00BD7E0B"/>
    <w:rsid w:val="00BE2493"/>
    <w:rsid w:val="00C0016F"/>
    <w:rsid w:val="00C02127"/>
    <w:rsid w:val="00C066D6"/>
    <w:rsid w:val="00C10F1E"/>
    <w:rsid w:val="00C145CB"/>
    <w:rsid w:val="00C21396"/>
    <w:rsid w:val="00C27E67"/>
    <w:rsid w:val="00C30AC8"/>
    <w:rsid w:val="00C31BC5"/>
    <w:rsid w:val="00C3650D"/>
    <w:rsid w:val="00C440FC"/>
    <w:rsid w:val="00C540CF"/>
    <w:rsid w:val="00C575AE"/>
    <w:rsid w:val="00C6095F"/>
    <w:rsid w:val="00C75AB3"/>
    <w:rsid w:val="00C816E7"/>
    <w:rsid w:val="00C923ED"/>
    <w:rsid w:val="00C9700E"/>
    <w:rsid w:val="00CA54E7"/>
    <w:rsid w:val="00CB2FFC"/>
    <w:rsid w:val="00CB7F78"/>
    <w:rsid w:val="00CC00DC"/>
    <w:rsid w:val="00CE1CD5"/>
    <w:rsid w:val="00CE2B96"/>
    <w:rsid w:val="00CE5F53"/>
    <w:rsid w:val="00CE6274"/>
    <w:rsid w:val="00CE6A5A"/>
    <w:rsid w:val="00CF0FA4"/>
    <w:rsid w:val="00D00883"/>
    <w:rsid w:val="00D058C9"/>
    <w:rsid w:val="00D07333"/>
    <w:rsid w:val="00D10C3E"/>
    <w:rsid w:val="00D11322"/>
    <w:rsid w:val="00D179C9"/>
    <w:rsid w:val="00D205F0"/>
    <w:rsid w:val="00D21C84"/>
    <w:rsid w:val="00D30D2C"/>
    <w:rsid w:val="00D356DD"/>
    <w:rsid w:val="00D4473A"/>
    <w:rsid w:val="00D4622A"/>
    <w:rsid w:val="00D46BC3"/>
    <w:rsid w:val="00D471FD"/>
    <w:rsid w:val="00D50E0F"/>
    <w:rsid w:val="00D52D93"/>
    <w:rsid w:val="00D63924"/>
    <w:rsid w:val="00D641FB"/>
    <w:rsid w:val="00D8322D"/>
    <w:rsid w:val="00D87291"/>
    <w:rsid w:val="00D95180"/>
    <w:rsid w:val="00DA5DD4"/>
    <w:rsid w:val="00DB5DF3"/>
    <w:rsid w:val="00DB6A6F"/>
    <w:rsid w:val="00DC15E4"/>
    <w:rsid w:val="00DD5129"/>
    <w:rsid w:val="00DD5403"/>
    <w:rsid w:val="00DE1337"/>
    <w:rsid w:val="00DE6ED5"/>
    <w:rsid w:val="00E00CD5"/>
    <w:rsid w:val="00E04EB5"/>
    <w:rsid w:val="00E1277E"/>
    <w:rsid w:val="00E14FBF"/>
    <w:rsid w:val="00E15D9F"/>
    <w:rsid w:val="00E302A4"/>
    <w:rsid w:val="00E33825"/>
    <w:rsid w:val="00E4220C"/>
    <w:rsid w:val="00E42ADD"/>
    <w:rsid w:val="00E42B99"/>
    <w:rsid w:val="00E46030"/>
    <w:rsid w:val="00E4774B"/>
    <w:rsid w:val="00E47A7F"/>
    <w:rsid w:val="00E47D85"/>
    <w:rsid w:val="00E50774"/>
    <w:rsid w:val="00E727AA"/>
    <w:rsid w:val="00E75EDD"/>
    <w:rsid w:val="00E83835"/>
    <w:rsid w:val="00E85AF3"/>
    <w:rsid w:val="00EA0BF8"/>
    <w:rsid w:val="00EA4460"/>
    <w:rsid w:val="00EA7C97"/>
    <w:rsid w:val="00EB0613"/>
    <w:rsid w:val="00EB24D2"/>
    <w:rsid w:val="00EB42C4"/>
    <w:rsid w:val="00EB5218"/>
    <w:rsid w:val="00EC36E4"/>
    <w:rsid w:val="00ED20AC"/>
    <w:rsid w:val="00EE0DA3"/>
    <w:rsid w:val="00EE4ADF"/>
    <w:rsid w:val="00EE5064"/>
    <w:rsid w:val="00EE5A53"/>
    <w:rsid w:val="00EE6DDC"/>
    <w:rsid w:val="00EF244D"/>
    <w:rsid w:val="00EF7847"/>
    <w:rsid w:val="00F11034"/>
    <w:rsid w:val="00F132DE"/>
    <w:rsid w:val="00F22C28"/>
    <w:rsid w:val="00F24E77"/>
    <w:rsid w:val="00F251A5"/>
    <w:rsid w:val="00F338CE"/>
    <w:rsid w:val="00F35307"/>
    <w:rsid w:val="00F35F29"/>
    <w:rsid w:val="00F44653"/>
    <w:rsid w:val="00F4578C"/>
    <w:rsid w:val="00F47B34"/>
    <w:rsid w:val="00F523E4"/>
    <w:rsid w:val="00F53357"/>
    <w:rsid w:val="00F54286"/>
    <w:rsid w:val="00F5797A"/>
    <w:rsid w:val="00F61BCF"/>
    <w:rsid w:val="00F63F58"/>
    <w:rsid w:val="00F673B1"/>
    <w:rsid w:val="00F70031"/>
    <w:rsid w:val="00F8718F"/>
    <w:rsid w:val="00FA00EB"/>
    <w:rsid w:val="00FA34C1"/>
    <w:rsid w:val="00FB2FFC"/>
    <w:rsid w:val="00FB38AA"/>
    <w:rsid w:val="00FB3F6D"/>
    <w:rsid w:val="00FC0BCC"/>
    <w:rsid w:val="00FC103C"/>
    <w:rsid w:val="00FC21B1"/>
    <w:rsid w:val="00FC3C91"/>
    <w:rsid w:val="00FC4416"/>
    <w:rsid w:val="00FC4A49"/>
    <w:rsid w:val="00FE2431"/>
    <w:rsid w:val="00FE4D24"/>
    <w:rsid w:val="00FE75F3"/>
    <w:rsid w:val="00FF0D43"/>
    <w:rsid w:val="00FF198D"/>
    <w:rsid w:val="00FF2701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B733D"/>
  <w15:chartTrackingRefBased/>
  <w15:docId w15:val="{7F8D5BB9-C82B-4F2B-BFFB-530772CF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75B"/>
    <w:pPr>
      <w:spacing w:after="200" w:line="360" w:lineRule="auto"/>
    </w:pPr>
    <w:rPr>
      <w:rFonts w:ascii="Verdana" w:eastAsia="Verdana" w:hAnsi="Verdana" w:cs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E5A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C15D2"/>
    <w:pPr>
      <w:keepNext/>
      <w:keepLines/>
      <w:numPr>
        <w:numId w:val="6"/>
      </w:numPr>
      <w:spacing w:before="240" w:after="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E5A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E5A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E5A53"/>
    <w:rPr>
      <w:rFonts w:asciiTheme="majorHAnsi" w:eastAsiaTheme="majorEastAsia" w:hAnsiTheme="majorHAnsi" w:cstheme="majorBidi"/>
      <w:b/>
      <w:color w:val="0056A9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69D6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E5A53"/>
    <w:rPr>
      <w:rFonts w:asciiTheme="majorHAnsi" w:eastAsiaTheme="majorEastAsia" w:hAnsiTheme="majorHAnsi" w:cstheme="majorBidi"/>
      <w:b/>
      <w:color w:val="002E69" w:themeColor="accent5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E5A53"/>
    <w:rPr>
      <w:rFonts w:asciiTheme="majorHAnsi" w:eastAsiaTheme="majorEastAsia" w:hAnsiTheme="majorHAnsi" w:cstheme="majorBidi"/>
      <w:b/>
      <w:i/>
      <w:iCs/>
      <w:color w:val="002E69" w:themeColor="accent5"/>
      <w:sz w:val="26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eastAsia="MS Mincho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48175B"/>
    <w:pPr>
      <w:keepNext/>
    </w:pPr>
    <w:rPr>
      <w:b/>
      <w:bCs/>
      <w:iCs/>
      <w:color w:val="000000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87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70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707C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0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07C"/>
    <w:rPr>
      <w:b/>
      <w:bCs/>
      <w:color w:val="000000" w:themeColor="text1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47F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47F8"/>
    <w:rPr>
      <w:color w:val="000000" w:themeColor="text1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47F8"/>
    <w:rPr>
      <w:vertAlign w:val="superscript"/>
    </w:rPr>
  </w:style>
  <w:style w:type="paragraph" w:styleId="ListNumber">
    <w:name w:val="List Number"/>
    <w:basedOn w:val="BodyText"/>
    <w:uiPriority w:val="1"/>
    <w:qFormat/>
    <w:rsid w:val="004C5875"/>
    <w:pPr>
      <w:numPr>
        <w:numId w:val="4"/>
      </w:numPr>
      <w:spacing w:after="200"/>
      <w:contextualSpacing/>
    </w:pPr>
    <w:rPr>
      <w:rFonts w:eastAsia="MS Mincho"/>
      <w:color w:val="000000"/>
      <w:kern w:val="0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4B52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5246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xdot.sharepoint.com/sites/ENVATF/Shared%20Documents/00%20-%20Resources/env-word-accessibility-template.dotx?OR=81dd2b71-fb82-4b33-ac71-fed46bf0f87a&amp;CID=2c1efda1-e0e2-1000-66ee-f47a0a27da7a&amp;CT=1772742922820" TargetMode="External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2" ma:contentTypeDescription="Create a new document." ma:contentTypeScope="" ma:versionID="fca719a13aa2498d06bfceb6e6660780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0f82efb1a3b27cbd668432558a50b48d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34E62-60C3-42CA-B8C6-039DDE137721}"/>
</file>

<file path=customXml/itemProps2.xml><?xml version="1.0" encoding="utf-8"?>
<ds:datastoreItem xmlns:ds="http://schemas.openxmlformats.org/officeDocument/2006/customXml" ds:itemID="{2238030A-1151-48DB-8A23-26F7EDCC7F4A}">
  <ds:schemaRefs>
    <ds:schemaRef ds:uri="http://schemas.microsoft.com/office/2006/metadata/properties"/>
    <ds:schemaRef ds:uri="http://schemas.microsoft.com/office/infopath/2007/PartnerControls"/>
    <ds:schemaRef ds:uri="7fef7c20-eb6f-4e1b-9e04-31bde27da1d8"/>
    <ds:schemaRef ds:uri="4f546ee9-1892-45b9-9ba2-985592e03772"/>
  </ds:schemaRefs>
</ds:datastoreItem>
</file>

<file path=customXml/itemProps3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env-word-accessibility-template.dotx?OR=81dd2b71-fb82-4b33-ac71-fed46bf0f87a&amp;CID=2c1efda1-e0e2-1000-66ee-f47a0a27da7a&amp;CT=1772742922820</Template>
  <TotalTime>153</TotalTime>
  <Pages>5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Standard for a CO TAQA Technical Report</vt:lpstr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Standard for a CO TAQA Technical Report</dc:title>
  <dc:subject>Used to prepare a CO TAQA technical report</dc:subject>
  <dc:creator>TxDOT</dc:creator>
  <cp:keywords>220-01-ds; Air Quality Toolkit, CO TAQA</cp:keywords>
  <dc:description>Carbon Monoxide Traffic Air Quality Analysis (CO TAQA)</dc:description>
  <cp:lastModifiedBy>Elisa Garcia</cp:lastModifiedBy>
  <cp:revision>47</cp:revision>
  <dcterms:created xsi:type="dcterms:W3CDTF">2026-04-28T19:16:00Z</dcterms:created>
  <dcterms:modified xsi:type="dcterms:W3CDTF">2026-05-06T15:23:00Z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