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91085" w14:textId="04F342C8" w:rsidR="005456F3" w:rsidRPr="00142D29" w:rsidRDefault="00277D35" w:rsidP="00142D29">
      <w:pPr>
        <w:pStyle w:val="Heading1"/>
        <w:rPr>
          <w:szCs w:val="48"/>
        </w:rPr>
      </w:pPr>
      <w:r>
        <w:rPr>
          <w:szCs w:val="48"/>
        </w:rPr>
        <w:t xml:space="preserve">Guidance: </w:t>
      </w:r>
      <w:r w:rsidR="00142D29" w:rsidRPr="00142D29">
        <w:rPr>
          <w:szCs w:val="48"/>
        </w:rPr>
        <w:t>Conservation Measures</w:t>
      </w:r>
      <w:r>
        <w:rPr>
          <w:szCs w:val="48"/>
        </w:rPr>
        <w:t xml:space="preserve"> for</w:t>
      </w:r>
      <w:r w:rsidR="00142D29">
        <w:rPr>
          <w:szCs w:val="48"/>
        </w:rPr>
        <w:t xml:space="preserve"> </w:t>
      </w:r>
      <w:r w:rsidR="00142D29" w:rsidRPr="00142D29">
        <w:rPr>
          <w:szCs w:val="48"/>
        </w:rPr>
        <w:t>Karst Invertebrates, Aquifer Invertebrates, and Salamanders for Biological Assessments and Biological Evaluations</w:t>
      </w:r>
    </w:p>
    <w:p w14:paraId="25AB9622" w14:textId="08CC94EF" w:rsidR="005456F3" w:rsidRPr="005456F3" w:rsidRDefault="00142D29" w:rsidP="005456F3">
      <w:pPr>
        <w:pStyle w:val="Heading2"/>
      </w:pPr>
      <w:r w:rsidRPr="00142D29">
        <w:t>Introduction</w:t>
      </w:r>
    </w:p>
    <w:p w14:paraId="514250A0" w14:textId="4E148BEF" w:rsidR="00142D29" w:rsidRPr="00142D29" w:rsidRDefault="00F476E5" w:rsidP="00142D29">
      <w:bookmarkStart w:id="0" w:name="_Hlk80018996"/>
      <w:r>
        <w:t>C</w:t>
      </w:r>
      <w:r w:rsidR="00142D29" w:rsidRPr="00142D29">
        <w:t>onservation measures (CMs) are incorporated into many aspects of project design and construction to avoid, minimize, and</w:t>
      </w:r>
      <w:r w:rsidR="00BD5415">
        <w:t xml:space="preserve"> </w:t>
      </w:r>
      <w:r w:rsidR="00142D29" w:rsidRPr="00142D29">
        <w:t>or mitigate impacts to federally listed species</w:t>
      </w:r>
      <w:bookmarkEnd w:id="0"/>
      <w:r w:rsidR="00142D29" w:rsidRPr="00142D29">
        <w:t xml:space="preserve">. The CMs described in this document are applicable to consultations involving karst invertebrates, aquifer invertebrates, and salamanders in karst features that may contain </w:t>
      </w:r>
      <w:r>
        <w:t xml:space="preserve">or impact </w:t>
      </w:r>
      <w:r w:rsidR="00142D29" w:rsidRPr="00142D29">
        <w:t>potential habitat</w:t>
      </w:r>
      <w:r w:rsidR="00CD0B21">
        <w:t xml:space="preserve"> </w:t>
      </w:r>
      <w:r w:rsidR="00CD0B21" w:rsidRPr="00CD0B21">
        <w:t>(for example, when subsurface limestone disturbance is included with the project activities and where groundwater may be encountered)</w:t>
      </w:r>
      <w:r w:rsidR="00142D29" w:rsidRPr="00142D29">
        <w:t>. Projects that may have impacts to known occupied features such as caves, spring runs, and sinkholes, require site-specific CMs to be developed on a project-by-project basis and must be described in greater detail.</w:t>
      </w:r>
    </w:p>
    <w:p w14:paraId="42AB6BB2" w14:textId="4D359A1D" w:rsidR="0064565C" w:rsidRDefault="00142D29" w:rsidP="0064565C">
      <w:r w:rsidRPr="00142D29">
        <w:t xml:space="preserve">Directive language is </w:t>
      </w:r>
      <w:r w:rsidR="00E35DBF">
        <w:t xml:space="preserve">highlighted </w:t>
      </w:r>
      <w:r w:rsidR="00000482">
        <w:t xml:space="preserve">yellow </w:t>
      </w:r>
      <w:r w:rsidR="00E35DBF">
        <w:t>in brackets</w:t>
      </w:r>
      <w:r w:rsidR="00D520FF">
        <w:t xml:space="preserve"> </w:t>
      </w:r>
      <w:r w:rsidRPr="00D3741B">
        <w:rPr>
          <w:shd w:val="clear" w:color="auto" w:fill="F2CE1B"/>
        </w:rPr>
        <w:t>[</w:t>
      </w:r>
      <w:r w:rsidR="000F6094" w:rsidRPr="00D3741B">
        <w:rPr>
          <w:shd w:val="clear" w:color="auto" w:fill="F2CE1B"/>
        </w:rPr>
        <w:t>as shown</w:t>
      </w:r>
      <w:r w:rsidRPr="00D3741B">
        <w:rPr>
          <w:shd w:val="clear" w:color="auto" w:fill="F2CE1B"/>
        </w:rPr>
        <w:t>]</w:t>
      </w:r>
      <w:r w:rsidR="00E35DBF">
        <w:t xml:space="preserve"> and </w:t>
      </w:r>
      <w:r w:rsidR="00CC1675">
        <w:t xml:space="preserve">example language </w:t>
      </w:r>
      <w:r w:rsidR="00D520FF">
        <w:t>is highlighted gray</w:t>
      </w:r>
      <w:r w:rsidR="002672BD">
        <w:t xml:space="preserve"> in brackets </w:t>
      </w:r>
      <w:r w:rsidR="002672BD" w:rsidRPr="002672BD">
        <w:rPr>
          <w:highlight w:val="lightGray"/>
        </w:rPr>
        <w:t>[as shown]</w:t>
      </w:r>
      <w:r w:rsidR="002672BD">
        <w:t xml:space="preserve"> </w:t>
      </w:r>
      <w:r w:rsidR="00D520FF">
        <w:t>are to be used, replaced, or deleted as appropriate</w:t>
      </w:r>
      <w:r w:rsidR="000F6094">
        <w:t>.</w:t>
      </w:r>
      <w:r w:rsidRPr="00142D29">
        <w:t xml:space="preserve"> </w:t>
      </w:r>
      <w:r w:rsidR="00F36EBB">
        <w:t>Yellow and gray highlighting</w:t>
      </w:r>
      <w:r w:rsidRPr="00142D29">
        <w:t xml:space="preserve"> should be deleted once </w:t>
      </w:r>
      <w:r w:rsidR="00B5707D">
        <w:t>CMs</w:t>
      </w:r>
      <w:r w:rsidRPr="00142D29">
        <w:t xml:space="preserve"> are imported into the consultation document. Please read carefully and choose </w:t>
      </w:r>
      <w:r w:rsidR="00B5707D">
        <w:t>CMs</w:t>
      </w:r>
      <w:r w:rsidRPr="00142D29">
        <w:t xml:space="preserve"> based on the location, conditions, and impacts of the project. </w:t>
      </w:r>
      <w:r w:rsidR="009B5127" w:rsidRPr="009B5127">
        <w:t xml:space="preserve">All other language should be included verbatim as presented in Section 2.4 of Texas Department of Transportation (TxDOT) consultation documents prepared using Environmental Affairs Division’s (ENV) </w:t>
      </w:r>
      <w:r w:rsidR="009B5127" w:rsidRPr="002D1778">
        <w:rPr>
          <w:i/>
          <w:iCs/>
        </w:rPr>
        <w:t>Template for Biological Evaluation (BE) for Informal Consultation with the United States Fish and Wildlife Service (USFWS) or Biological Assessment (BA) for Formal Consultation with the USFWS</w:t>
      </w:r>
      <w:r w:rsidR="009B5127" w:rsidRPr="009B5127">
        <w:t>, unless</w:t>
      </w:r>
      <w:r w:rsidR="009D6D7E">
        <w:t xml:space="preserve"> </w:t>
      </w:r>
      <w:r w:rsidRPr="00142D29">
        <w:t xml:space="preserve">changes to these </w:t>
      </w:r>
      <w:r w:rsidR="00B5707D">
        <w:t>CMs</w:t>
      </w:r>
      <w:r w:rsidRPr="00142D29">
        <w:t xml:space="preserve"> </w:t>
      </w:r>
      <w:r w:rsidR="009D6D7E">
        <w:t xml:space="preserve">are discussed and approved by </w:t>
      </w:r>
      <w:r w:rsidRPr="00142D29">
        <w:t>the project team (</w:t>
      </w:r>
      <w:r>
        <w:t>for example</w:t>
      </w:r>
      <w:r w:rsidRPr="00142D29">
        <w:t xml:space="preserve">, design, area engineers, district environmental staff, and ENV Biology </w:t>
      </w:r>
      <w:r w:rsidRPr="00142D29">
        <w:lastRenderedPageBreak/>
        <w:t>S</w:t>
      </w:r>
      <w:r w:rsidR="00BA6F79">
        <w:t xml:space="preserve">ubject </w:t>
      </w:r>
      <w:r w:rsidRPr="00142D29">
        <w:t>M</w:t>
      </w:r>
      <w:r w:rsidR="00BA6F79">
        <w:t xml:space="preserve">atter </w:t>
      </w:r>
      <w:r w:rsidRPr="00142D29">
        <w:t>E</w:t>
      </w:r>
      <w:r w:rsidR="00BA6F79">
        <w:t>xpert</w:t>
      </w:r>
      <w:r w:rsidRPr="00142D29">
        <w:t>, etc</w:t>
      </w:r>
      <w:r>
        <w:t>etera</w:t>
      </w:r>
      <w:r w:rsidRPr="00142D29">
        <w:t>)</w:t>
      </w:r>
      <w:r w:rsidR="00285252">
        <w:t>.</w:t>
      </w:r>
      <w:r w:rsidR="008A4F34">
        <w:t xml:space="preserve"> </w:t>
      </w:r>
      <w:r w:rsidR="008A4F34" w:rsidRPr="008A4F34">
        <w:t>CMs are broken out by phases of project development and construction using subheadings appropriate to the consultation document.</w:t>
      </w:r>
    </w:p>
    <w:p w14:paraId="42B344CC" w14:textId="1FACA72D" w:rsidR="00142D29" w:rsidRPr="005456F3" w:rsidRDefault="00BA6F79" w:rsidP="00142D29">
      <w:pPr>
        <w:pStyle w:val="Heading2"/>
      </w:pPr>
      <w:r w:rsidRPr="00BA6F79">
        <w:t>2.4</w:t>
      </w:r>
      <w:r w:rsidRPr="00BA6F79">
        <w:tab/>
        <w:t>Conservation Measures</w:t>
      </w:r>
    </w:p>
    <w:p w14:paraId="16C946F1" w14:textId="4F6E67F2" w:rsidR="00142D29" w:rsidRDefault="008A4F34" w:rsidP="0064565C">
      <w:bookmarkStart w:id="1" w:name="_Hlk81995541"/>
      <w:bookmarkStart w:id="2" w:name="_Hlk80018964"/>
      <w:bookmarkStart w:id="3" w:name="_Hlk80019050"/>
      <w:r>
        <w:t>C</w:t>
      </w:r>
      <w:r w:rsidR="00BA6F79" w:rsidRPr="00BA6F79">
        <w:t>onservation measures (</w:t>
      </w:r>
      <w:r w:rsidR="00B5707D">
        <w:t>CMs</w:t>
      </w:r>
      <w:r w:rsidR="00BA6F79" w:rsidRPr="00BA6F79">
        <w:t>) are incorporated into many aspects of project design and construction to avoid, minimize, and</w:t>
      </w:r>
      <w:r w:rsidR="006C55B8">
        <w:t xml:space="preserve"> </w:t>
      </w:r>
      <w:r w:rsidR="00BA6F79" w:rsidRPr="00BA6F79">
        <w:t>or mitigate impacts to federally listed species.</w:t>
      </w:r>
      <w:r w:rsidR="00BA6F79" w:rsidRPr="00BA6F79">
        <w:rPr>
          <w:lang w:bidi="en-US"/>
        </w:rPr>
        <w:t xml:space="preserve"> </w:t>
      </w:r>
      <w:r w:rsidR="00BA6F79" w:rsidRPr="00BA6F79">
        <w:t xml:space="preserve">The following </w:t>
      </w:r>
      <w:r w:rsidR="00B5707D">
        <w:t>CMs</w:t>
      </w:r>
      <w:r w:rsidR="00BA6F79" w:rsidRPr="00BA6F79">
        <w:t xml:space="preserve"> are broken out by phases of project development and construction and</w:t>
      </w:r>
      <w:r w:rsidR="00BA6F79" w:rsidRPr="00BA6F79">
        <w:rPr>
          <w:lang w:bidi="en-US"/>
        </w:rPr>
        <w:t xml:space="preserve"> will assist in minimizing potential impacts to </w:t>
      </w:r>
      <w:bookmarkEnd w:id="1"/>
      <w:r w:rsidR="00BA6F79" w:rsidRPr="00B2563B">
        <w:rPr>
          <w:shd w:val="clear" w:color="auto" w:fill="F2CE1B"/>
          <w:lang w:bidi="en-US"/>
        </w:rPr>
        <w:t>[delete or modify</w:t>
      </w:r>
      <w:r w:rsidR="00B2563B" w:rsidRPr="00B2563B">
        <w:rPr>
          <w:shd w:val="clear" w:color="auto" w:fill="F2CE1B"/>
          <w:lang w:bidi="en-US"/>
        </w:rPr>
        <w:t xml:space="preserve"> the following items</w:t>
      </w:r>
      <w:r w:rsidR="00BA6F79" w:rsidRPr="00B2563B">
        <w:rPr>
          <w:shd w:val="clear" w:color="auto" w:fill="F2CE1B"/>
          <w:lang w:bidi="en-US"/>
        </w:rPr>
        <w:t>, as applicable]</w:t>
      </w:r>
      <w:r w:rsidR="00BA6F79" w:rsidRPr="00BA6F79">
        <w:rPr>
          <w:lang w:bidi="en-US"/>
        </w:rPr>
        <w:t xml:space="preserve"> subsurface limestone</w:t>
      </w:r>
      <w:bookmarkEnd w:id="2"/>
      <w:r w:rsidR="00BA6F79" w:rsidRPr="00BA6F79">
        <w:rPr>
          <w:lang w:bidi="en-US"/>
        </w:rPr>
        <w:t xml:space="preserve">, groundwater, </w:t>
      </w:r>
      <w:bookmarkEnd w:id="3"/>
      <w:r w:rsidR="00BA6F79" w:rsidRPr="00BA6F79">
        <w:t xml:space="preserve">aquifer invertebrates, </w:t>
      </w:r>
      <w:r w:rsidR="00BA6F79" w:rsidRPr="00BA6F79">
        <w:rPr>
          <w:lang w:bidi="en-US"/>
        </w:rPr>
        <w:t>karst invertebrates, and salamanders.</w:t>
      </w:r>
    </w:p>
    <w:p w14:paraId="454F613B" w14:textId="1E900858" w:rsidR="005456F3" w:rsidRPr="0032481A" w:rsidRDefault="00BA6F79" w:rsidP="000A5D0B">
      <w:pPr>
        <w:pStyle w:val="Heading3"/>
      </w:pPr>
      <w:r w:rsidRPr="00BA6F79">
        <w:t>2.4.1 Measures Previously Implemented</w:t>
      </w:r>
    </w:p>
    <w:p w14:paraId="1594AD7C" w14:textId="2E044800" w:rsidR="00BA6F79" w:rsidRPr="00BA6F79" w:rsidRDefault="00BA6F79" w:rsidP="00BA6F79">
      <w:bookmarkStart w:id="4" w:name="_Hlk81995622"/>
      <w:r w:rsidRPr="00BA6F79">
        <w:t>Prior to project design completion and in support of this consultation, TxDOT has completed the following conservation measures:</w:t>
      </w:r>
    </w:p>
    <w:bookmarkEnd w:id="4"/>
    <w:p w14:paraId="03D03B74" w14:textId="3D8059F7" w:rsidR="00BA6F79" w:rsidRPr="00940488" w:rsidRDefault="00BA6F79" w:rsidP="00BA6F79">
      <w:pPr>
        <w:pStyle w:val="ListBullet"/>
      </w:pPr>
      <w:r w:rsidRPr="00BA6F79">
        <w:t xml:space="preserve">karst feature survey </w:t>
      </w:r>
      <w:r w:rsidRPr="00107391">
        <w:rPr>
          <w:highlight w:val="lightGray"/>
        </w:rPr>
        <w:t>[and</w:t>
      </w:r>
      <w:r w:rsidR="000340FF" w:rsidRPr="00107391">
        <w:rPr>
          <w:highlight w:val="lightGray"/>
        </w:rPr>
        <w:t xml:space="preserve"> </w:t>
      </w:r>
      <w:r w:rsidRPr="00107391">
        <w:rPr>
          <w:highlight w:val="lightGray"/>
        </w:rPr>
        <w:t>or geologic assessment]</w:t>
      </w:r>
      <w:r w:rsidRPr="00BA6F79">
        <w:t xml:space="preserve"> of the project area and all easements where project activities may occur. </w:t>
      </w:r>
      <w:r w:rsidRPr="00B711AB">
        <w:rPr>
          <w:shd w:val="clear" w:color="auto" w:fill="F2CE1B"/>
        </w:rPr>
        <w:t>[Required for any</w:t>
      </w:r>
      <w:r w:rsidR="00B711AB" w:rsidRPr="00B711AB">
        <w:rPr>
          <w:shd w:val="clear" w:color="auto" w:fill="F2CE1B"/>
        </w:rPr>
        <w:t xml:space="preserve"> </w:t>
      </w:r>
      <w:r w:rsidRPr="00B711AB">
        <w:rPr>
          <w:shd w:val="clear" w:color="auto" w:fill="F2CE1B"/>
        </w:rPr>
        <w:t xml:space="preserve">project in a USFWS designated karst zone, except </w:t>
      </w:r>
      <w:r w:rsidR="00AE5576">
        <w:rPr>
          <w:shd w:val="clear" w:color="auto" w:fill="F2CE1B"/>
        </w:rPr>
        <w:t xml:space="preserve">zones </w:t>
      </w:r>
      <w:r w:rsidRPr="00B711AB">
        <w:rPr>
          <w:shd w:val="clear" w:color="auto" w:fill="F2CE1B"/>
        </w:rPr>
        <w:t>that do not contain endangered karst invertebrate species. Reference the appendix where this report is included]</w:t>
      </w:r>
      <w:r w:rsidR="00814FB3" w:rsidRPr="00647A00">
        <w:t>.</w:t>
      </w:r>
      <w:r w:rsidR="00647A00" w:rsidRPr="00647A00">
        <w:t xml:space="preserve"> </w:t>
      </w:r>
      <w:r w:rsidR="00647A00" w:rsidRPr="00647A00">
        <w:rPr>
          <w:highlight w:val="lightGray"/>
        </w:rPr>
        <w:t>[See Appendix [X]].</w:t>
      </w:r>
    </w:p>
    <w:p w14:paraId="6685769A" w14:textId="2A1BB63E" w:rsidR="00BA6F79" w:rsidRPr="00774C8C" w:rsidRDefault="0013642E" w:rsidP="00BA6F79">
      <w:pPr>
        <w:rPr>
          <w:iCs/>
        </w:rPr>
      </w:pPr>
      <w:r>
        <w:rPr>
          <w:iCs/>
          <w:shd w:val="clear" w:color="auto" w:fill="F2CE1B"/>
        </w:rPr>
        <w:t>[</w:t>
      </w:r>
      <w:r w:rsidR="00BA6F79" w:rsidRPr="00940488">
        <w:rPr>
          <w:iCs/>
          <w:shd w:val="clear" w:color="auto" w:fill="F2CE1B"/>
        </w:rPr>
        <w:t>Include any of the following, as applicable, or add other measures completed:</w:t>
      </w:r>
      <w:r>
        <w:rPr>
          <w:iCs/>
          <w:shd w:val="clear" w:color="auto" w:fill="F2CE1B"/>
        </w:rPr>
        <w:t>]</w:t>
      </w:r>
    </w:p>
    <w:p w14:paraId="2923EB42" w14:textId="3EBC14DD" w:rsidR="00BA6F79" w:rsidRPr="00774C8C" w:rsidRDefault="00BA6F79" w:rsidP="00BA6F79">
      <w:pPr>
        <w:pStyle w:val="ListBullet"/>
        <w:rPr>
          <w:iCs/>
        </w:rPr>
      </w:pPr>
      <w:r w:rsidRPr="00774C8C">
        <w:rPr>
          <w:iCs/>
        </w:rPr>
        <w:t xml:space="preserve">presence/absence surveys in accordance with current USFWS protocols </w:t>
      </w:r>
      <w:r w:rsidR="0013642E" w:rsidRPr="0013642E">
        <w:rPr>
          <w:iCs/>
          <w:shd w:val="clear" w:color="auto" w:fill="F2CE1B"/>
        </w:rPr>
        <w:t>[</w:t>
      </w:r>
      <w:r w:rsidRPr="00940488">
        <w:rPr>
          <w:iCs/>
          <w:shd w:val="clear" w:color="auto" w:fill="F2CE1B"/>
        </w:rPr>
        <w:t>or describe other acceptable methods used</w:t>
      </w:r>
      <w:r w:rsidR="0013642E">
        <w:rPr>
          <w:iCs/>
          <w:shd w:val="clear" w:color="auto" w:fill="F2CE1B"/>
        </w:rPr>
        <w:t>]</w:t>
      </w:r>
      <w:r w:rsidRPr="00940488">
        <w:rPr>
          <w:iCs/>
        </w:rPr>
        <w:t xml:space="preserve"> i</w:t>
      </w:r>
      <w:r w:rsidRPr="00774C8C">
        <w:rPr>
          <w:iCs/>
        </w:rPr>
        <w:t>n any features with potential habitat for listed species.</w:t>
      </w:r>
      <w:r w:rsidR="009A7078">
        <w:rPr>
          <w:iCs/>
        </w:rPr>
        <w:t xml:space="preserve"> </w:t>
      </w:r>
      <w:r w:rsidR="009A7078" w:rsidRPr="00F2183B">
        <w:rPr>
          <w:iCs/>
          <w:highlight w:val="lightGray"/>
        </w:rPr>
        <w:t>[See Appendix [X]].</w:t>
      </w:r>
    </w:p>
    <w:p w14:paraId="6204F95F" w14:textId="64794829" w:rsidR="00BA6F79" w:rsidRPr="00774C8C" w:rsidRDefault="00BA6F79" w:rsidP="00BA6F79">
      <w:pPr>
        <w:pStyle w:val="ListBullet"/>
        <w:rPr>
          <w:iCs/>
        </w:rPr>
      </w:pPr>
      <w:r w:rsidRPr="00774C8C">
        <w:rPr>
          <w:iCs/>
        </w:rPr>
        <w:t>surface and subsurface drainage basin delineation for occupied features.</w:t>
      </w:r>
      <w:r w:rsidR="00F2183B" w:rsidRPr="00F2183B">
        <w:rPr>
          <w:iCs/>
        </w:rPr>
        <w:t xml:space="preserve"> </w:t>
      </w:r>
      <w:r w:rsidR="00F2183B" w:rsidRPr="00F2183B">
        <w:rPr>
          <w:iCs/>
          <w:highlight w:val="lightGray"/>
        </w:rPr>
        <w:t>[See Appendix [X]].</w:t>
      </w:r>
    </w:p>
    <w:p w14:paraId="07D1C7A5" w14:textId="77777777" w:rsidR="00B22F31" w:rsidRPr="00774C8C" w:rsidRDefault="00BA6F79" w:rsidP="00B22F31">
      <w:pPr>
        <w:pStyle w:val="ListBullet"/>
        <w:rPr>
          <w:iCs/>
        </w:rPr>
      </w:pPr>
      <w:r w:rsidRPr="001F68C4">
        <w:t xml:space="preserve">groundwater flow modelling studies. </w:t>
      </w:r>
      <w:r w:rsidR="00B22F31" w:rsidRPr="00F2183B">
        <w:rPr>
          <w:iCs/>
          <w:highlight w:val="lightGray"/>
        </w:rPr>
        <w:t>[See Appendix [X]].</w:t>
      </w:r>
    </w:p>
    <w:p w14:paraId="17AEACB2" w14:textId="4F96D463" w:rsidR="00BA6F79" w:rsidRPr="0032481A" w:rsidRDefault="00BA6F79" w:rsidP="00B22F31">
      <w:pPr>
        <w:pStyle w:val="Heading3"/>
      </w:pPr>
      <w:r w:rsidRPr="00BA6F79">
        <w:lastRenderedPageBreak/>
        <w:t>2.4.2 Measures to be Implemented During Project Planning and Design</w:t>
      </w:r>
    </w:p>
    <w:p w14:paraId="14E7BE26" w14:textId="5E82C7A2" w:rsidR="00BA6F79" w:rsidRPr="00BA6F79" w:rsidRDefault="00BA6F79" w:rsidP="00BA6F79">
      <w:pPr>
        <w:rPr>
          <w:lang w:bidi="en-US"/>
        </w:rPr>
      </w:pPr>
      <w:bookmarkStart w:id="5" w:name="_Hlk73536630"/>
      <w:r w:rsidRPr="00BA6F79">
        <w:rPr>
          <w:lang w:bidi="en-US"/>
        </w:rPr>
        <w:t>During the planning and design of the project</w:t>
      </w:r>
      <w:r w:rsidR="00664BC7">
        <w:rPr>
          <w:lang w:bidi="en-US"/>
        </w:rPr>
        <w:t>,</w:t>
      </w:r>
      <w:r w:rsidRPr="00BA6F79">
        <w:rPr>
          <w:lang w:bidi="en-US"/>
        </w:rPr>
        <w:t xml:space="preserve"> TxDOT shall: </w:t>
      </w:r>
    </w:p>
    <w:p w14:paraId="197679AB" w14:textId="77777777" w:rsidR="00BA6F79" w:rsidRPr="00B22F31" w:rsidRDefault="00BA6F79" w:rsidP="00BA6F79">
      <w:r w:rsidRPr="00B22F31">
        <w:rPr>
          <w:shd w:val="clear" w:color="auto" w:fill="F2CE1B"/>
        </w:rPr>
        <w:t>[Include any of the following, as applicable, or add other measures:]</w:t>
      </w:r>
    </w:p>
    <w:p w14:paraId="712661FF" w14:textId="77777777" w:rsidR="00BA6F79" w:rsidRPr="00BA6F79" w:rsidRDefault="00BA6F79" w:rsidP="0033219C">
      <w:pPr>
        <w:pStyle w:val="ListBullet"/>
        <w:rPr>
          <w:lang w:bidi="en-US"/>
        </w:rPr>
      </w:pPr>
      <w:bookmarkStart w:id="6" w:name="_Hlk80023696"/>
      <w:bookmarkEnd w:id="5"/>
      <w:r w:rsidRPr="00BA6F79">
        <w:rPr>
          <w:lang w:bidi="en-US"/>
        </w:rPr>
        <w:t xml:space="preserve">limit proposed activities to the existing developed right-of-way (ROW), easements, and proposed ROW </w:t>
      </w:r>
      <w:r w:rsidRPr="0013642E">
        <w:rPr>
          <w:shd w:val="clear" w:color="auto" w:fill="F2CE1B"/>
          <w:lang w:bidi="en-US"/>
        </w:rPr>
        <w:t>[Delete easements and or proposed ROW if not applicable]</w:t>
      </w:r>
      <w:r w:rsidRPr="00BA6F79">
        <w:rPr>
          <w:lang w:bidi="en-US"/>
        </w:rPr>
        <w:t xml:space="preserve">, which will also minimize vegetation removal; </w:t>
      </w:r>
    </w:p>
    <w:p w14:paraId="688A5B69" w14:textId="77777777" w:rsidR="00BA6F79" w:rsidRPr="00BA6F79" w:rsidRDefault="00BA6F79" w:rsidP="0033219C">
      <w:pPr>
        <w:pStyle w:val="ListBullet"/>
        <w:rPr>
          <w:lang w:bidi="en-US"/>
        </w:rPr>
      </w:pPr>
      <w:r w:rsidRPr="00BA6F79">
        <w:rPr>
          <w:lang w:bidi="en-US"/>
        </w:rPr>
        <w:t xml:space="preserve">minimize the depth of excavation and disturbance to bedrock and maximize the use of areas covered by fill material to the greatest extent practicable </w:t>
      </w:r>
      <w:r w:rsidRPr="0013642E">
        <w:rPr>
          <w:shd w:val="clear" w:color="auto" w:fill="F2CE1B"/>
          <w:lang w:bidi="en-US"/>
        </w:rPr>
        <w:t>[This may only be appropriate where minimization was used to avoid impacts to known features. If so, please describe those minimization efforts specifically]</w:t>
      </w:r>
      <w:r w:rsidRPr="00BA6F79">
        <w:rPr>
          <w:lang w:bidi="en-US"/>
        </w:rPr>
        <w:t>;</w:t>
      </w:r>
    </w:p>
    <w:p w14:paraId="1EE1BB04" w14:textId="24C281BD" w:rsidR="00BA6F79" w:rsidRPr="00BA6F79" w:rsidRDefault="00BA6F79" w:rsidP="0033219C">
      <w:pPr>
        <w:pStyle w:val="ListBullet"/>
      </w:pPr>
      <w:r w:rsidRPr="00BA6F79">
        <w:t xml:space="preserve">design appropriate temporary </w:t>
      </w:r>
      <w:r w:rsidRPr="00BA6F79">
        <w:rPr>
          <w:lang w:bidi="en-US"/>
        </w:rPr>
        <w:t>best management practices (</w:t>
      </w:r>
      <w:r w:rsidRPr="00BA6F79">
        <w:t xml:space="preserve">BMPs) to </w:t>
      </w:r>
      <w:r w:rsidRPr="00BA6F79">
        <w:rPr>
          <w:lang w:bidi="en-US"/>
        </w:rPr>
        <w:t xml:space="preserve">minimize construction-phase erosion and sedimentation impacts and to </w:t>
      </w:r>
      <w:r w:rsidRPr="00BA6F79">
        <w:t>protect sensitive recharge features</w:t>
      </w:r>
      <w:r w:rsidR="00B43AD4">
        <w:t>,</w:t>
      </w:r>
      <w:r w:rsidRPr="00BA6F79">
        <w:t xml:space="preserve"> and include these in any required </w:t>
      </w:r>
      <w:bookmarkStart w:id="7" w:name="_Hlk75779610"/>
      <w:r w:rsidRPr="00BA6F79">
        <w:rPr>
          <w:lang w:bidi="en-US"/>
        </w:rPr>
        <w:t>Texas Commission on Environmental Quality</w:t>
      </w:r>
      <w:bookmarkEnd w:id="7"/>
      <w:r w:rsidRPr="00BA6F79">
        <w:rPr>
          <w:lang w:bidi="en-US"/>
        </w:rPr>
        <w:t xml:space="preserve"> (</w:t>
      </w:r>
      <w:r w:rsidRPr="00BA6F79">
        <w:t>TCEQ) permitting documents, such as the</w:t>
      </w:r>
      <w:r w:rsidRPr="00B01C81">
        <w:t xml:space="preserve"> </w:t>
      </w:r>
      <w:bookmarkStart w:id="8" w:name="_Hlk75779640"/>
      <w:r w:rsidRPr="00B01C81">
        <w:rPr>
          <w:shd w:val="clear" w:color="auto" w:fill="F2CE1B"/>
        </w:rPr>
        <w:t xml:space="preserve">[include or delete </w:t>
      </w:r>
      <w:r w:rsidR="00DB4970">
        <w:rPr>
          <w:shd w:val="clear" w:color="auto" w:fill="F2CE1B"/>
        </w:rPr>
        <w:t>the following items as applicable</w:t>
      </w:r>
      <w:r w:rsidRPr="00B01C81">
        <w:rPr>
          <w:shd w:val="clear" w:color="auto" w:fill="F2CE1B"/>
        </w:rPr>
        <w:t>]</w:t>
      </w:r>
      <w:r w:rsidRPr="00BA6F79">
        <w:t xml:space="preserve"> </w:t>
      </w:r>
      <w:r w:rsidRPr="00BA6F79">
        <w:rPr>
          <w:lang w:bidi="en-US"/>
        </w:rPr>
        <w:t>Storm Water Pollution Prevention Plan</w:t>
      </w:r>
      <w:bookmarkEnd w:id="8"/>
      <w:r w:rsidRPr="00BA6F79">
        <w:rPr>
          <w:lang w:bidi="en-US"/>
        </w:rPr>
        <w:t xml:space="preserve"> </w:t>
      </w:r>
      <w:r w:rsidRPr="00BA6F79">
        <w:t xml:space="preserve">(SWP3), </w:t>
      </w:r>
      <w:r w:rsidRPr="00BA6F79">
        <w:rPr>
          <w:lang w:bidi="en-US"/>
        </w:rPr>
        <w:t>Water Pollution Abatement Plan</w:t>
      </w:r>
      <w:r w:rsidRPr="00BA6F79">
        <w:t xml:space="preserve"> (WPAP) or</w:t>
      </w:r>
      <w:r w:rsidRPr="00BA6F79">
        <w:rPr>
          <w:lang w:bidi="en-US"/>
        </w:rPr>
        <w:t xml:space="preserve"> Contributing Zone Plan (CZP), </w:t>
      </w:r>
      <w:r w:rsidRPr="00BA6F79">
        <w:t xml:space="preserve">and TxDOT construction plans, in accordance with the Texas Pollutant Discharge Elimination System (TPDES) requirements and Edwards Aquifer Rules. </w:t>
      </w:r>
    </w:p>
    <w:p w14:paraId="54D04332" w14:textId="492B5B2B" w:rsidR="00BA6F79" w:rsidRPr="00BA6F79" w:rsidRDefault="006447CE" w:rsidP="0033219C">
      <w:pPr>
        <w:pStyle w:val="ListBullet"/>
      </w:pPr>
      <w:bookmarkStart w:id="9" w:name="_Hlk81996192"/>
      <w:r>
        <w:t>i</w:t>
      </w:r>
      <w:r w:rsidR="0033219C" w:rsidRPr="00BA6F79">
        <w:t>nclude all</w:t>
      </w:r>
      <w:r w:rsidR="00BA6F79" w:rsidRPr="00BA6F79">
        <w:t xml:space="preserve"> conservation measures in the Environmental Permits, Issues, &amp; Commitments (EPIC) sheet in the project plans. </w:t>
      </w:r>
    </w:p>
    <w:bookmarkEnd w:id="6"/>
    <w:bookmarkEnd w:id="9"/>
    <w:p w14:paraId="54AEBE96" w14:textId="5FB6B86E" w:rsidR="00BA6F79" w:rsidRPr="00B01C81" w:rsidRDefault="00BA6F79" w:rsidP="00BA6F79">
      <w:r w:rsidRPr="00B01C81">
        <w:rPr>
          <w:shd w:val="clear" w:color="auto" w:fill="F2CE1B"/>
        </w:rPr>
        <w:t>[If a project includes permanent BMPs required by TCEQ’s Edwards Aquifer Rules for a</w:t>
      </w:r>
      <w:r w:rsidRPr="00B01C81">
        <w:t xml:space="preserve"> </w:t>
      </w:r>
      <w:r w:rsidRPr="00B01C81">
        <w:rPr>
          <w:shd w:val="clear" w:color="auto" w:fill="F2CE1B"/>
        </w:rPr>
        <w:t xml:space="preserve">WPAP or CZP that have yet to be designed, then the following general </w:t>
      </w:r>
      <w:r w:rsidR="00B5707D">
        <w:rPr>
          <w:shd w:val="clear" w:color="auto" w:fill="F2CE1B"/>
        </w:rPr>
        <w:t>CMs</w:t>
      </w:r>
      <w:r w:rsidRPr="00B01C81">
        <w:rPr>
          <w:shd w:val="clear" w:color="auto" w:fill="F2CE1B"/>
        </w:rPr>
        <w:t xml:space="preserve"> should be</w:t>
      </w:r>
      <w:r w:rsidRPr="00B01C81">
        <w:t xml:space="preserve"> </w:t>
      </w:r>
      <w:r w:rsidRPr="00B01C81">
        <w:rPr>
          <w:shd w:val="clear" w:color="auto" w:fill="F2CE1B"/>
        </w:rPr>
        <w:t>included in the consultation document as appropriate. If permanent BMPs have been</w:t>
      </w:r>
      <w:r w:rsidRPr="00B01C81">
        <w:t xml:space="preserve"> </w:t>
      </w:r>
      <w:r w:rsidRPr="00B01C81">
        <w:rPr>
          <w:shd w:val="clear" w:color="auto" w:fill="F2CE1B"/>
        </w:rPr>
        <w:t>designed, provide details on those here instead.]</w:t>
      </w:r>
    </w:p>
    <w:p w14:paraId="4ED27022" w14:textId="77777777" w:rsidR="00BA6F79" w:rsidRPr="00BA6F79" w:rsidRDefault="00BA6F79" w:rsidP="0033219C">
      <w:pPr>
        <w:pStyle w:val="ListBullet"/>
      </w:pPr>
      <w:r w:rsidRPr="00BA6F79">
        <w:lastRenderedPageBreak/>
        <w:t xml:space="preserve">include appropriate permanent BMPs </w:t>
      </w:r>
      <w:bookmarkStart w:id="10" w:name="_Hlk80024692"/>
      <w:r w:rsidRPr="00BA6F79">
        <w:t xml:space="preserve">to comply with TCEQ Edwards Aquifer Rules to remove at least 80 percent of the increase in total suspended solids </w:t>
      </w:r>
      <w:bookmarkEnd w:id="10"/>
      <w:r w:rsidRPr="00BA6F79">
        <w:t>(TSS) load resulting from additional impervious covered added by the proposed project.</w:t>
      </w:r>
    </w:p>
    <w:p w14:paraId="7A24BAEA" w14:textId="6B23CEDF" w:rsidR="00BA6F79" w:rsidRPr="00BA6F79" w:rsidRDefault="00BA6F79" w:rsidP="0033219C">
      <w:pPr>
        <w:pStyle w:val="ListBullet"/>
      </w:pPr>
      <w:r w:rsidRPr="00B01C81">
        <w:rPr>
          <w:shd w:val="clear" w:color="auto" w:fill="F2CE1B"/>
        </w:rPr>
        <w:t>[if applicable]</w:t>
      </w:r>
      <w:r w:rsidRPr="00BA6F79">
        <w:t xml:space="preserve"> protect sensitive recharge features in the Edwards Aquifer Recharge Zone from water quality impacts by using a combination of temporary and permanent BMPs</w:t>
      </w:r>
      <w:r w:rsidR="009204BB">
        <w:t>,</w:t>
      </w:r>
      <w:r w:rsidRPr="00BA6F79">
        <w:t xml:space="preserve"> and</w:t>
      </w:r>
      <w:r w:rsidR="00B01C81">
        <w:t xml:space="preserve"> </w:t>
      </w:r>
      <w:r w:rsidRPr="00BA6F79">
        <w:t>or closure plans as appropriate.</w:t>
      </w:r>
    </w:p>
    <w:p w14:paraId="6E2398CB" w14:textId="77777777" w:rsidR="00BA6F79" w:rsidRPr="00BA6F79" w:rsidRDefault="00BA6F79" w:rsidP="0033219C">
      <w:pPr>
        <w:pStyle w:val="ListBullet"/>
      </w:pPr>
      <w:r w:rsidRPr="00B01C81">
        <w:rPr>
          <w:shd w:val="clear" w:color="auto" w:fill="F2CE1B"/>
        </w:rPr>
        <w:t>[if applicable]</w:t>
      </w:r>
      <w:r w:rsidRPr="00BA6F79">
        <w:t xml:space="preserve"> select water quality pond locations to maximize the collection of runoff from the existing and proposed roadway pavement.</w:t>
      </w:r>
    </w:p>
    <w:p w14:paraId="66A99243" w14:textId="77777777" w:rsidR="00BA6F79" w:rsidRPr="00BA6F79" w:rsidRDefault="00BA6F79" w:rsidP="0033219C">
      <w:pPr>
        <w:pStyle w:val="ListBullet"/>
      </w:pPr>
      <w:r w:rsidRPr="00B01C81">
        <w:rPr>
          <w:shd w:val="clear" w:color="auto" w:fill="F2CE1B"/>
        </w:rPr>
        <w:t>[if applicable]</w:t>
      </w:r>
      <w:r w:rsidRPr="00BA6F79">
        <w:t xml:space="preserve"> design water quality ponds to retain spills of hazardous materials.</w:t>
      </w:r>
    </w:p>
    <w:p w14:paraId="2323DA32" w14:textId="4689570C" w:rsidR="00BA6F79" w:rsidRDefault="00BA6F79" w:rsidP="00BA6F79">
      <w:pPr>
        <w:pStyle w:val="ListBullet"/>
      </w:pPr>
      <w:r w:rsidRPr="00B01C81">
        <w:rPr>
          <w:shd w:val="clear" w:color="auto" w:fill="F2CE1B"/>
        </w:rPr>
        <w:t>[if applicable]</w:t>
      </w:r>
      <w:r w:rsidRPr="00BA6F79">
        <w:t xml:space="preserve"> design water quality ponds with impermeable liners to prevent infiltration into the underlying material.</w:t>
      </w:r>
    </w:p>
    <w:p w14:paraId="3176661D" w14:textId="677AFF0E" w:rsidR="00BA6F79" w:rsidRPr="0032481A" w:rsidRDefault="0033219C" w:rsidP="00BA6F79">
      <w:pPr>
        <w:pStyle w:val="Heading3"/>
      </w:pPr>
      <w:r w:rsidRPr="0033219C">
        <w:t>2.4.3 Measures to Be Implemented Prior to Project Construction</w:t>
      </w:r>
    </w:p>
    <w:p w14:paraId="2B9E4CD2" w14:textId="270CFD20" w:rsidR="0033219C" w:rsidRPr="0033219C" w:rsidRDefault="0033219C" w:rsidP="0033219C">
      <w:bookmarkStart w:id="11" w:name="_Hlk81997259"/>
      <w:r w:rsidRPr="0033219C">
        <w:t xml:space="preserve">TxDOT shall implement the following </w:t>
      </w:r>
      <w:r w:rsidR="00B5707D">
        <w:t>CMs</w:t>
      </w:r>
      <w:r w:rsidRPr="0033219C">
        <w:t xml:space="preserve"> prior to project construction:  </w:t>
      </w:r>
    </w:p>
    <w:bookmarkEnd w:id="11"/>
    <w:p w14:paraId="72F5CC08" w14:textId="77777777" w:rsidR="0033219C" w:rsidRPr="00B01C81" w:rsidRDefault="0033219C" w:rsidP="0033219C">
      <w:r w:rsidRPr="00B01C81">
        <w:rPr>
          <w:shd w:val="clear" w:color="auto" w:fill="F2CE1B"/>
        </w:rPr>
        <w:t>[Include any of the following, as applicable, or add other measures:]</w:t>
      </w:r>
    </w:p>
    <w:p w14:paraId="5AA15481" w14:textId="014E5A1C" w:rsidR="0033219C" w:rsidRPr="0033219C" w:rsidRDefault="0033219C" w:rsidP="0033219C">
      <w:pPr>
        <w:pStyle w:val="ListBullet"/>
      </w:pPr>
      <w:bookmarkStart w:id="12" w:name="_Hlk81997294"/>
      <w:bookmarkStart w:id="13" w:name="_Hlk80026211"/>
      <w:r w:rsidRPr="0033219C">
        <w:t xml:space="preserve">hold a pre-construction meeting with its employees and contractors working on this project. TxDOT shall provide specific instructions on the implementation of TxDOT’s proposed </w:t>
      </w:r>
      <w:r w:rsidR="00B5707D">
        <w:t>CMs</w:t>
      </w:r>
      <w:r w:rsidRPr="0033219C">
        <w:t xml:space="preserve">. Instructions specific to the contractor(s) related to implementation of the </w:t>
      </w:r>
      <w:r w:rsidR="00B5707D">
        <w:t>CMs</w:t>
      </w:r>
      <w:r w:rsidRPr="0033219C">
        <w:t xml:space="preserve"> shall be documented in the EPICs and project plans. TxDOT shall provide pre-construction awareness training to project contractors, which includes information on protected species and habitat that may occur in the project area and outside the ROW and requirements to avoid effects to these species and their habitats.</w:t>
      </w:r>
    </w:p>
    <w:bookmarkEnd w:id="12"/>
    <w:p w14:paraId="7A33AD9B" w14:textId="77777777" w:rsidR="0033219C" w:rsidRPr="0033219C" w:rsidRDefault="0033219C" w:rsidP="0033219C">
      <w:pPr>
        <w:pStyle w:val="ListBullet"/>
      </w:pPr>
      <w:r w:rsidRPr="0033219C">
        <w:t xml:space="preserve">train and instruct personnel and contractors to report voids and seeping groundwater found during construction. </w:t>
      </w:r>
    </w:p>
    <w:p w14:paraId="2B97FDDC" w14:textId="7A07D5E1" w:rsidR="0033219C" w:rsidRPr="00B01C81" w:rsidRDefault="0033219C" w:rsidP="0033219C">
      <w:r w:rsidRPr="00B01C81">
        <w:rPr>
          <w:shd w:val="clear" w:color="auto" w:fill="F2CE1B"/>
        </w:rPr>
        <w:t xml:space="preserve">[delete </w:t>
      </w:r>
      <w:r w:rsidR="00A01F44">
        <w:rPr>
          <w:shd w:val="clear" w:color="auto" w:fill="F2CE1B"/>
        </w:rPr>
        <w:t xml:space="preserve">the following </w:t>
      </w:r>
      <w:r w:rsidRPr="00B01C81">
        <w:rPr>
          <w:shd w:val="clear" w:color="auto" w:fill="F2CE1B"/>
        </w:rPr>
        <w:t>if no surface features are present]</w:t>
      </w:r>
    </w:p>
    <w:p w14:paraId="00F29FCA" w14:textId="2C913283" w:rsidR="0033219C" w:rsidRPr="0033219C" w:rsidRDefault="0033219C" w:rsidP="0033219C">
      <w:pPr>
        <w:pStyle w:val="ListBullet"/>
      </w:pPr>
      <w:r w:rsidRPr="0033219C">
        <w:t xml:space="preserve">establish karst feature protection zones for karst features with surface expressions that contain potential habitat for protected species </w:t>
      </w:r>
      <w:r w:rsidRPr="0072716B">
        <w:rPr>
          <w:shd w:val="clear" w:color="auto" w:fill="F2CE1B"/>
        </w:rPr>
        <w:t>[</w:t>
      </w:r>
      <w:r w:rsidR="0072716B" w:rsidRPr="0072716B">
        <w:rPr>
          <w:shd w:val="clear" w:color="auto" w:fill="F2CE1B"/>
        </w:rPr>
        <w:t xml:space="preserve">delete the remainder of this </w:t>
      </w:r>
      <w:r w:rsidR="0072716B" w:rsidRPr="0072716B">
        <w:rPr>
          <w:shd w:val="clear" w:color="auto" w:fill="F2CE1B"/>
        </w:rPr>
        <w:lastRenderedPageBreak/>
        <w:t>sentence if TCEQ Edwards Aquifer Rules do not apply</w:t>
      </w:r>
      <w:r w:rsidRPr="0072716B">
        <w:rPr>
          <w:shd w:val="clear" w:color="auto" w:fill="F2CE1B"/>
        </w:rPr>
        <w:t>]</w:t>
      </w:r>
      <w:r w:rsidRPr="0033219C">
        <w:t xml:space="preserve"> or are determined to be sensitive features in accordance with the TCEQ Edwards Aquifer Rules. Karst feature protection zones shall be demarcated with construction fencing to be maintained throughout the duration of construction. These zones shall be clearly delineated on construction plans and discussed with contractors at the preconstruction meeting.</w:t>
      </w:r>
    </w:p>
    <w:p w14:paraId="76E8CB11" w14:textId="725BE526" w:rsidR="0033219C" w:rsidRPr="00B01C81" w:rsidRDefault="0033219C" w:rsidP="0033219C">
      <w:r w:rsidRPr="00B01C81">
        <w:rPr>
          <w:shd w:val="clear" w:color="auto" w:fill="F2CE1B"/>
        </w:rPr>
        <w:t xml:space="preserve">[delete </w:t>
      </w:r>
      <w:r w:rsidR="005360C8">
        <w:rPr>
          <w:shd w:val="clear" w:color="auto" w:fill="F2CE1B"/>
        </w:rPr>
        <w:t xml:space="preserve">the following </w:t>
      </w:r>
      <w:r w:rsidRPr="00B01C81">
        <w:rPr>
          <w:shd w:val="clear" w:color="auto" w:fill="F2CE1B"/>
        </w:rPr>
        <w:t>if no surface features are present]</w:t>
      </w:r>
    </w:p>
    <w:p w14:paraId="5BC33E57" w14:textId="0F7D0F39" w:rsidR="0033219C" w:rsidRPr="0033219C" w:rsidRDefault="0033219C" w:rsidP="0033219C">
      <w:pPr>
        <w:pStyle w:val="ListBullet"/>
      </w:pPr>
      <w:bookmarkStart w:id="14" w:name="_Hlk80027103"/>
      <w:r w:rsidRPr="0033219C">
        <w:t xml:space="preserve">place BMPs to prevent surface runoff from entering karst features with surface expressions that contain potential habitat for protected species </w:t>
      </w:r>
      <w:r w:rsidRPr="005360C8">
        <w:rPr>
          <w:shd w:val="clear" w:color="auto" w:fill="F2CE1B"/>
        </w:rPr>
        <w:t xml:space="preserve">[delete </w:t>
      </w:r>
      <w:r w:rsidR="00317F2E" w:rsidRPr="00317F2E">
        <w:rPr>
          <w:shd w:val="clear" w:color="auto" w:fill="F2CE1B"/>
        </w:rPr>
        <w:t>the remainder of this sentence if TCEQ Edwards Aquifer Rules do not apply</w:t>
      </w:r>
      <w:r w:rsidRPr="005360C8">
        <w:rPr>
          <w:shd w:val="clear" w:color="auto" w:fill="F2CE1B"/>
        </w:rPr>
        <w:t>]</w:t>
      </w:r>
      <w:r w:rsidRPr="0033219C">
        <w:t xml:space="preserve"> or are determined to be sensitive features in accordance with the TCEQ Edwards Aquifer Rules and direct drainage away from such features. BMPs may include temporary vegetation, silt fencing, blanket/matting, mulch, sodding, interceptor swales, diversion dikes, mulch filter berms, biodegradable erosion control logs, silt fencing, rock berms, bio-degradable erosion control logs, and triangular filter dikes.  BMPs </w:t>
      </w:r>
      <w:r w:rsidR="00BA6E8B" w:rsidRPr="0033219C">
        <w:t>should</w:t>
      </w:r>
      <w:r w:rsidRPr="0033219C">
        <w:t xml:space="preserve"> be in place before construction activities are initiated and shall be monitored and maintained in accordance with the </w:t>
      </w:r>
      <w:r w:rsidRPr="00317F2E">
        <w:rPr>
          <w:shd w:val="clear" w:color="auto" w:fill="F2CE1B"/>
        </w:rPr>
        <w:t xml:space="preserve">[delete or include </w:t>
      </w:r>
      <w:r w:rsidR="00665943" w:rsidRPr="00665943">
        <w:rPr>
          <w:shd w:val="clear" w:color="auto" w:fill="F2CE1B"/>
        </w:rPr>
        <w:t xml:space="preserve">required plans as </w:t>
      </w:r>
      <w:r w:rsidRPr="00317F2E">
        <w:rPr>
          <w:shd w:val="clear" w:color="auto" w:fill="F2CE1B"/>
        </w:rPr>
        <w:t>appropriate</w:t>
      </w:r>
      <w:r w:rsidR="00F223E2">
        <w:rPr>
          <w:shd w:val="clear" w:color="auto" w:fill="F2CE1B"/>
        </w:rPr>
        <w:t xml:space="preserve"> </w:t>
      </w:r>
      <w:r w:rsidR="00F223E2" w:rsidRPr="00F223E2">
        <w:rPr>
          <w:shd w:val="clear" w:color="auto" w:fill="F2CE1B"/>
        </w:rPr>
        <w:t>– all projects require SWP3 – not all projects will require WPAP or CZP</w:t>
      </w:r>
      <w:r w:rsidRPr="00317F2E">
        <w:rPr>
          <w:shd w:val="clear" w:color="auto" w:fill="F2CE1B"/>
        </w:rPr>
        <w:t>]</w:t>
      </w:r>
      <w:r w:rsidRPr="0033219C">
        <w:t xml:space="preserve"> SWP3, WPAP, or CZP.</w:t>
      </w:r>
    </w:p>
    <w:bookmarkEnd w:id="14"/>
    <w:p w14:paraId="263837FC" w14:textId="2FBB143A" w:rsidR="00BA6F79" w:rsidRDefault="0033219C" w:rsidP="00BA6F79">
      <w:pPr>
        <w:pStyle w:val="ListBullet"/>
      </w:pPr>
      <w:r w:rsidRPr="0033219C">
        <w:t xml:space="preserve">place project specific locations (PSL) within the TxDOT ROW </w:t>
      </w:r>
      <w:r w:rsidRPr="0074006C">
        <w:rPr>
          <w:shd w:val="clear" w:color="auto" w:fill="F2CE1B"/>
        </w:rPr>
        <w:t>[</w:t>
      </w:r>
      <w:r w:rsidR="0074006C" w:rsidRPr="0074006C">
        <w:rPr>
          <w:shd w:val="clear" w:color="auto" w:fill="F2CE1B"/>
        </w:rPr>
        <w:t>delete outside of karst feature protection zones if none are present</w:t>
      </w:r>
      <w:r w:rsidRPr="0074006C">
        <w:rPr>
          <w:shd w:val="clear" w:color="auto" w:fill="F2CE1B"/>
        </w:rPr>
        <w:t>]</w:t>
      </w:r>
      <w:r w:rsidRPr="0033219C">
        <w:t xml:space="preserve"> outside of karst feature protection zones to minimize potential impacts to listed species and their habitat. Storage of chemical substances will only occur in designated PSLs with additional protections described in Section 2.4.4 to prevent materials from running off or entering waterways or groundwater. PSLs may also occur outside of the project area if the contractor chooses. Environmental compliance for PSLs located outside of the ROW is the project contractor’s responsibility. TxDOT will notify the contractor of the possibility of listed species and habitats in the project area and the specific requirements to avoid impacts or the need to consult with USFWS.</w:t>
      </w:r>
      <w:bookmarkEnd w:id="13"/>
    </w:p>
    <w:p w14:paraId="55C88308" w14:textId="0A79E3D1" w:rsidR="00BA6F79" w:rsidRPr="0032481A" w:rsidRDefault="0033219C" w:rsidP="00BA6F79">
      <w:pPr>
        <w:pStyle w:val="Heading3"/>
      </w:pPr>
      <w:r w:rsidRPr="0033219C">
        <w:lastRenderedPageBreak/>
        <w:t>2.4.4 Measures to be Implemented During Project Construction</w:t>
      </w:r>
    </w:p>
    <w:p w14:paraId="24BFE74B" w14:textId="2834FFF6" w:rsidR="0033219C" w:rsidRPr="0033219C" w:rsidRDefault="0033219C" w:rsidP="0033219C">
      <w:bookmarkStart w:id="15" w:name="_Hlk80025759"/>
      <w:r w:rsidRPr="0033219C">
        <w:t xml:space="preserve">TxDOT shall implement the following </w:t>
      </w:r>
      <w:r w:rsidR="00B5707D">
        <w:t>CMs</w:t>
      </w:r>
      <w:r w:rsidRPr="0033219C">
        <w:t xml:space="preserve"> during project construction</w:t>
      </w:r>
      <w:bookmarkStart w:id="16" w:name="_Hlk73532445"/>
      <w:r w:rsidRPr="0033219C">
        <w:t xml:space="preserve">:  </w:t>
      </w:r>
    </w:p>
    <w:p w14:paraId="7118F6FE" w14:textId="77777777" w:rsidR="0033219C" w:rsidRPr="00B01C81" w:rsidRDefault="0033219C" w:rsidP="0033219C">
      <w:r w:rsidRPr="00B01C81">
        <w:rPr>
          <w:shd w:val="clear" w:color="auto" w:fill="F2CE1B"/>
        </w:rPr>
        <w:t>[Include any of the following, as applicable, or add other measures completed:]</w:t>
      </w:r>
    </w:p>
    <w:p w14:paraId="54B6367A" w14:textId="77777777" w:rsidR="0033219C" w:rsidRPr="0033219C" w:rsidRDefault="0033219C" w:rsidP="0033219C">
      <w:pPr>
        <w:pStyle w:val="ListBullet"/>
      </w:pPr>
      <w:bookmarkStart w:id="17" w:name="_Hlk80028027"/>
      <w:bookmarkEnd w:id="15"/>
      <w:bookmarkEnd w:id="16"/>
      <w:r w:rsidRPr="0033219C">
        <w:t>adhere to TxDOT’s standard plans and specifications.</w:t>
      </w:r>
    </w:p>
    <w:p w14:paraId="6D54D7C2" w14:textId="75261FA3" w:rsidR="0033219C" w:rsidRPr="0033219C" w:rsidRDefault="0033219C" w:rsidP="0033219C">
      <w:pPr>
        <w:pStyle w:val="ListBullet"/>
      </w:pPr>
      <w:r w:rsidRPr="0033219C">
        <w:t>adhere to the project SWP3</w:t>
      </w:r>
      <w:r w:rsidR="009D75C0">
        <w:t>,</w:t>
      </w:r>
      <w:r w:rsidRPr="0033219C">
        <w:t xml:space="preserve"> </w:t>
      </w:r>
      <w:r w:rsidRPr="002B5599">
        <w:rPr>
          <w:shd w:val="clear" w:color="auto" w:fill="F2CE1B"/>
        </w:rPr>
        <w:t>[</w:t>
      </w:r>
      <w:r w:rsidR="003A67E5" w:rsidRPr="003A67E5">
        <w:rPr>
          <w:shd w:val="clear" w:color="auto" w:fill="F2CE1B"/>
        </w:rPr>
        <w:t>delete or include required plans as appropriate – all projects require SWP3 – not all projects will require WPAP or CZP</w:t>
      </w:r>
      <w:r w:rsidRPr="002B5599">
        <w:rPr>
          <w:shd w:val="clear" w:color="auto" w:fill="F2CE1B"/>
        </w:rPr>
        <w:t>]</w:t>
      </w:r>
      <w:r w:rsidRPr="0033219C">
        <w:t>, WPAP or CZP regarding equipment maintenance, materials storage, spill containment and response, waste containment and disposal.</w:t>
      </w:r>
    </w:p>
    <w:p w14:paraId="6AE62DD4" w14:textId="77777777" w:rsidR="0033219C" w:rsidRPr="0033219C" w:rsidRDefault="0033219C" w:rsidP="0033219C">
      <w:pPr>
        <w:pStyle w:val="ListBullet"/>
      </w:pPr>
      <w:r w:rsidRPr="0033219C">
        <w:t>limit the clearing of vegetation and topsoil to only the areas needed to accomplish the project or activity.</w:t>
      </w:r>
      <w:bookmarkStart w:id="18" w:name="_Hlk83122672"/>
    </w:p>
    <w:p w14:paraId="1B78FDB4" w14:textId="77777777" w:rsidR="0033219C" w:rsidRPr="0033219C" w:rsidRDefault="0033219C" w:rsidP="0033219C">
      <w:pPr>
        <w:pStyle w:val="ListBullet"/>
        <w:rPr>
          <w:i/>
          <w:iCs/>
        </w:rPr>
      </w:pPr>
      <w:bookmarkStart w:id="19" w:name="_Hlk80028068"/>
      <w:bookmarkEnd w:id="17"/>
      <w:bookmarkEnd w:id="18"/>
      <w:r w:rsidRPr="0033219C">
        <w:t xml:space="preserve">provide an on-call construction monitor throughout ground-disturbing activities to inspect and report karst voids encountered during construction in accordance with the Void Discovery Oversight and Reporting protocol described below. </w:t>
      </w:r>
      <w:r w:rsidRPr="007D21BF">
        <w:rPr>
          <w:shd w:val="clear" w:color="auto" w:fill="F2CE1B"/>
        </w:rPr>
        <w:t>[If the consultation includes salamanders and other subsurface aquatic invertebrate species include this statement here and the Groundwater Flow Mitigation and Protection Measures section below</w:t>
      </w:r>
      <w:r w:rsidRPr="00641CD6">
        <w:rPr>
          <w:shd w:val="clear" w:color="auto" w:fill="F2CE1B"/>
        </w:rPr>
        <w:t>:</w:t>
      </w:r>
      <w:r w:rsidRPr="003A67E5">
        <w:rPr>
          <w:i/>
          <w:iCs/>
        </w:rPr>
        <w:t xml:space="preserve"> </w:t>
      </w:r>
      <w:r w:rsidRPr="003A67E5">
        <w:rPr>
          <w:highlight w:val="lightGray"/>
          <w:shd w:val="clear" w:color="auto" w:fill="F2CE1B"/>
        </w:rPr>
        <w:t>If standing, seeping, or flowing water is encountered, the Groundwater Flow</w:t>
      </w:r>
      <w:r w:rsidRPr="003A67E5">
        <w:rPr>
          <w:highlight w:val="lightGray"/>
        </w:rPr>
        <w:t xml:space="preserve"> </w:t>
      </w:r>
      <w:r w:rsidRPr="003A67E5">
        <w:rPr>
          <w:highlight w:val="lightGray"/>
          <w:shd w:val="clear" w:color="auto" w:fill="F2CE1B"/>
        </w:rPr>
        <w:t>Mitigation and Protection Measures described below shall be implemented]</w:t>
      </w:r>
    </w:p>
    <w:p w14:paraId="0857A480" w14:textId="375B3A87" w:rsidR="00BA6F79" w:rsidRDefault="0033219C" w:rsidP="00BA6F79">
      <w:pPr>
        <w:pStyle w:val="ListBullet"/>
      </w:pPr>
      <w:r w:rsidRPr="00641CD6">
        <w:rPr>
          <w:shd w:val="clear" w:color="auto" w:fill="F2CE1B"/>
        </w:rPr>
        <w:t>[include for BAs only]</w:t>
      </w:r>
      <w:r w:rsidRPr="0033219C">
        <w:t xml:space="preserve"> provide annual monitoring reports to USFWS documenting the status of the project and results of void evaluations, presence/absence surveys, and the status of void closures, as applicable.</w:t>
      </w:r>
      <w:r w:rsidR="00814D36">
        <w:t xml:space="preserve"> A</w:t>
      </w:r>
      <w:r w:rsidRPr="0033219C">
        <w:t xml:space="preserve">nnual monitoring reports shall be provided </w:t>
      </w:r>
      <w:r w:rsidR="001D3D2C">
        <w:t xml:space="preserve">on </w:t>
      </w:r>
      <w:r w:rsidR="001D3D2C" w:rsidRPr="001D3D2C">
        <w:t>the anniversary of the issuance of the final BO</w:t>
      </w:r>
      <w:r w:rsidR="001D3D2C">
        <w:t xml:space="preserve"> throughout the duration of construction</w:t>
      </w:r>
      <w:r w:rsidRPr="0033219C">
        <w:t>.</w:t>
      </w:r>
      <w:bookmarkEnd w:id="19"/>
    </w:p>
    <w:p w14:paraId="18E8E1DF" w14:textId="0990169D" w:rsidR="0033219C" w:rsidRPr="0064565C" w:rsidRDefault="0033219C" w:rsidP="0033219C">
      <w:pPr>
        <w:pStyle w:val="Heading4"/>
      </w:pPr>
      <w:r w:rsidRPr="0033219C">
        <w:t>Void Discovery Oversight and Reporting for Terrestrial Karst Invertebrates</w:t>
      </w:r>
    </w:p>
    <w:p w14:paraId="55D36999" w14:textId="00C1863E" w:rsidR="00687FF5" w:rsidRPr="00687FF5" w:rsidRDefault="00687FF5" w:rsidP="00687FF5">
      <w:r w:rsidRPr="00687FF5">
        <w:t xml:space="preserve">It is possible that karst features or caves without surface expressions (voids) may be revealed during excavation or drilling (drilled shafts or boreholes) in previously undisturbed bedrock. </w:t>
      </w:r>
      <w:bookmarkStart w:id="20" w:name="_Hlk98485860"/>
      <w:r w:rsidRPr="00687FF5">
        <w:t xml:space="preserve">If a potential karst void is encountered during excavation or drilling activities, work within a minimum of 50 feet of the feature will cease to ensure </w:t>
      </w:r>
      <w:r w:rsidRPr="00687FF5">
        <w:lastRenderedPageBreak/>
        <w:t xml:space="preserve">surveyor safety until the feature is evaluated for potential karst invertebrate habitat by a karst scientist holding an appropriate 10(a)(1)(A) permit following current USFWS karst survey protocols. </w:t>
      </w:r>
    </w:p>
    <w:p w14:paraId="2A86EDEC" w14:textId="77777777" w:rsidR="00687FF5" w:rsidRPr="00687FF5" w:rsidRDefault="00687FF5" w:rsidP="00687FF5">
      <w:bookmarkStart w:id="21" w:name="_Hlk98485910"/>
      <w:bookmarkEnd w:id="20"/>
      <w:r w:rsidRPr="00687FF5">
        <w:t xml:space="preserve">For small diameter geotechnical boreholes (six inches or less), the work stoppage area may be determined by TxDOT based on safety, feature protection, site conditions, and other activities in the area, but will not be less than 10 feet from the borehole to ensure surveyor safety. When karst voids that are not humanly enterable are encountered, including those in drilled shafts or geotechnical boreholes, the feature will be evaluated using a side-viewing downhole camera or other similar means, if feasible. </w:t>
      </w:r>
    </w:p>
    <w:p w14:paraId="15623A53" w14:textId="00FF6F75" w:rsidR="00687FF5" w:rsidRPr="00687FF5" w:rsidRDefault="00687FF5" w:rsidP="00687FF5">
      <w:bookmarkStart w:id="22" w:name="_Hlk98486044"/>
      <w:bookmarkEnd w:id="21"/>
      <w:r w:rsidRPr="00687FF5">
        <w:t xml:space="preserve">If the feature does not meet the criteria for potential karst habitat, then the results of the evaluation shall be documented, and work shall continue. If a karst feature meets the USFWS criteria for potential karst invertebrate habitat, </w:t>
      </w:r>
      <w:bookmarkStart w:id="23" w:name="_Hlk75851321"/>
      <w:r w:rsidRPr="00687FF5">
        <w:t xml:space="preserve">work within the immediate area will remain stopped while </w:t>
      </w:r>
      <w:bookmarkEnd w:id="23"/>
      <w:r w:rsidRPr="00687FF5">
        <w:t xml:space="preserve">presence/absence surveys are conducted in accordance with current USFWS karst survey protocols. </w:t>
      </w:r>
      <w:bookmarkStart w:id="24" w:name="_Hlk79135373"/>
      <w:bookmarkStart w:id="25" w:name="_Hlk73539543"/>
      <w:r w:rsidRPr="00687FF5">
        <w:t>Presence/absence surveys will not be conducted if surface conditions make it unsafe to do so. Examples of unsafe conditions could include situations where:</w:t>
      </w:r>
    </w:p>
    <w:p w14:paraId="74642F7B" w14:textId="77777777" w:rsidR="00687FF5" w:rsidRPr="00687FF5" w:rsidRDefault="00687FF5" w:rsidP="00687FF5">
      <w:pPr>
        <w:pStyle w:val="ListBullet"/>
      </w:pPr>
      <w:r w:rsidRPr="00687FF5">
        <w:t>the feature is in an active traffic lane that would have to be closed for an extended period to conduct the survey,</w:t>
      </w:r>
    </w:p>
    <w:p w14:paraId="427E7DC4" w14:textId="77777777" w:rsidR="00687FF5" w:rsidRPr="00687FF5" w:rsidRDefault="00687FF5" w:rsidP="00687FF5">
      <w:pPr>
        <w:pStyle w:val="ListBullet"/>
      </w:pPr>
      <w:r w:rsidRPr="00687FF5">
        <w:t xml:space="preserve">the excavation cannot be stabilized to make the feature safe to survey, or; </w:t>
      </w:r>
    </w:p>
    <w:p w14:paraId="09AB9A41" w14:textId="0A8AB552" w:rsidR="00687FF5" w:rsidRPr="00687FF5" w:rsidRDefault="00687FF5" w:rsidP="00687FF5">
      <w:pPr>
        <w:pStyle w:val="ListBullet"/>
      </w:pPr>
      <w:r w:rsidRPr="00687FF5">
        <w:t xml:space="preserve">environmental conditions </w:t>
      </w:r>
      <w:r w:rsidR="007556A7">
        <w:t>that</w:t>
      </w:r>
      <w:r w:rsidRPr="00687FF5">
        <w:t xml:space="preserve"> create unsafe survey conditions</w:t>
      </w:r>
      <w:r w:rsidR="006479F3">
        <w:t xml:space="preserve"> </w:t>
      </w:r>
      <w:r w:rsidR="006479F3" w:rsidRPr="00687FF5">
        <w:t>(</w:t>
      </w:r>
      <w:r w:rsidR="006479F3">
        <w:t>for example</w:t>
      </w:r>
      <w:r w:rsidR="006479F3" w:rsidRPr="00687FF5">
        <w:t>, bad air, flooding, excessive temperature)</w:t>
      </w:r>
      <w:r w:rsidRPr="00687FF5">
        <w:t xml:space="preserve">. </w:t>
      </w:r>
    </w:p>
    <w:p w14:paraId="17495F1F" w14:textId="3F31BC33" w:rsidR="00687FF5" w:rsidRPr="00687FF5" w:rsidRDefault="00687FF5" w:rsidP="00687FF5">
      <w:r w:rsidRPr="00687FF5">
        <w:t>Reasons for not conducting a presence/absence survey when a feature meets the USFWS criteria for potential habitat shall be documented in writing.</w:t>
      </w:r>
      <w:bookmarkEnd w:id="24"/>
      <w:r w:rsidRPr="00687FF5">
        <w:t xml:space="preserve"> </w:t>
      </w:r>
      <w:r w:rsidRPr="0043109A">
        <w:rPr>
          <w:shd w:val="clear" w:color="auto" w:fill="F2CE1B"/>
        </w:rPr>
        <w:t>[Include only for BAs/formal consultations:</w:t>
      </w:r>
      <w:r w:rsidRPr="00687FF5">
        <w:t xml:space="preserve"> </w:t>
      </w:r>
      <w:r w:rsidRPr="007556A7">
        <w:rPr>
          <w:highlight w:val="lightGray"/>
        </w:rPr>
        <w:t>Results of void evaluations and presence/absence surveys shall be provided to USFWS.]</w:t>
      </w:r>
      <w:r w:rsidRPr="00687FF5">
        <w:t xml:space="preserve">  Occupation of any karst feature will be presumed if potentially listed karst invertebrates collected during surveying are immature or otherwise cannot be identified to species. </w:t>
      </w:r>
      <w:r w:rsidRPr="0043109A">
        <w:rPr>
          <w:shd w:val="clear" w:color="auto" w:fill="F2CE1B"/>
        </w:rPr>
        <w:t>[</w:t>
      </w:r>
      <w:r w:rsidR="00F7213E">
        <w:rPr>
          <w:shd w:val="clear" w:color="auto" w:fill="F2CE1B"/>
        </w:rPr>
        <w:t>Include only for</w:t>
      </w:r>
      <w:r w:rsidRPr="0043109A">
        <w:rPr>
          <w:shd w:val="clear" w:color="auto" w:fill="F2CE1B"/>
        </w:rPr>
        <w:t xml:space="preserve"> BE</w:t>
      </w:r>
      <w:r w:rsidR="00F7213E">
        <w:rPr>
          <w:shd w:val="clear" w:color="auto" w:fill="F2CE1B"/>
        </w:rPr>
        <w:t>s</w:t>
      </w:r>
      <w:r w:rsidRPr="0043109A">
        <w:rPr>
          <w:shd w:val="clear" w:color="auto" w:fill="F2CE1B"/>
        </w:rPr>
        <w:t xml:space="preserve"> or informal consultation</w:t>
      </w:r>
      <w:r w:rsidRPr="0043109A">
        <w:t xml:space="preserve"> </w:t>
      </w:r>
      <w:r w:rsidRPr="0043109A">
        <w:rPr>
          <w:shd w:val="clear" w:color="auto" w:fill="F2CE1B"/>
        </w:rPr>
        <w:lastRenderedPageBreak/>
        <w:t>for karst invertebrates, also include this statement:</w:t>
      </w:r>
      <w:r w:rsidRPr="00687FF5">
        <w:t xml:space="preserve"> </w:t>
      </w:r>
      <w:r w:rsidRPr="007556A7">
        <w:rPr>
          <w:highlight w:val="lightGray"/>
        </w:rPr>
        <w:t>If a feature is determined to be occupied or presumed occupied by a listed karst invertebrate, work shall cease on the entire project and TxDOT will reinitiate consultation with USFWS.]</w:t>
      </w:r>
      <w:r w:rsidRPr="00687FF5">
        <w:t xml:space="preserve"> </w:t>
      </w:r>
    </w:p>
    <w:p w14:paraId="74D2E1E1" w14:textId="65018F47" w:rsidR="00687FF5" w:rsidRPr="00687FF5" w:rsidRDefault="00687FF5" w:rsidP="00687FF5">
      <w:bookmarkStart w:id="26" w:name="_Hlk73539425"/>
      <w:bookmarkEnd w:id="25"/>
      <w:r w:rsidRPr="00687FF5">
        <w:t xml:space="preserve">While a feature is being evaluated, the surface opening shall be covered to minimize the influence of diurnal variations in surface temperature. </w:t>
      </w:r>
      <w:bookmarkStart w:id="27" w:name="_Int_qzVGBahy"/>
      <w:r w:rsidRPr="00687FF5">
        <w:t>Protection</w:t>
      </w:r>
      <w:bookmarkEnd w:id="27"/>
      <w:r w:rsidRPr="00687FF5">
        <w:t xml:space="preserve"> of the feature may include a wood cover, plastic sheeting, and</w:t>
      </w:r>
      <w:r w:rsidR="007556A7">
        <w:t xml:space="preserve"> </w:t>
      </w:r>
      <w:r w:rsidRPr="00687FF5">
        <w:t>or a blanket that is weighed down with rocks around the perimeter. During periods of high temperatures (</w:t>
      </w:r>
      <w:r w:rsidR="003922C6">
        <w:t>&gt;</w:t>
      </w:r>
      <w:r w:rsidRPr="00687FF5">
        <w:t xml:space="preserve">100° F), a piece of insulation shall be added to the cover. Hazard fencing or barricades may be used to protect the area if there is a fall hazard, such as an open shaft. Appropriate BMPs </w:t>
      </w:r>
      <w:proofErr w:type="gramStart"/>
      <w:r w:rsidRPr="00687FF5">
        <w:t>shall</w:t>
      </w:r>
      <w:proofErr w:type="gramEnd"/>
      <w:r w:rsidRPr="00687FF5">
        <w:t xml:space="preserve"> be implemented to prevent surface runoff from entering the feature. </w:t>
      </w:r>
    </w:p>
    <w:p w14:paraId="593068BA" w14:textId="294238FB" w:rsidR="00687FF5" w:rsidRPr="00687FF5" w:rsidRDefault="00687FF5" w:rsidP="00687FF5">
      <w:bookmarkStart w:id="28" w:name="_Hlk98496280"/>
      <w:bookmarkStart w:id="29" w:name="_Hlk73539469"/>
      <w:bookmarkEnd w:id="26"/>
      <w:r w:rsidRPr="00687FF5">
        <w:t xml:space="preserve">Once evaluation is completed and if it is possible within the needs of the project, the feature shall be closed or capped to preserve as much of the subsurface void space as possible. </w:t>
      </w:r>
      <w:r w:rsidRPr="0043109A">
        <w:rPr>
          <w:shd w:val="clear" w:color="auto" w:fill="F2CE1B"/>
        </w:rPr>
        <w:t>[Include for projects where TCEQ rules apply:</w:t>
      </w:r>
      <w:r w:rsidRPr="0043109A">
        <w:t xml:space="preserve"> </w:t>
      </w:r>
      <w:r w:rsidRPr="0043109A">
        <w:rPr>
          <w:highlight w:val="lightGray"/>
        </w:rPr>
        <w:t>A</w:t>
      </w:r>
      <w:r w:rsidRPr="007556A7">
        <w:rPr>
          <w:highlight w:val="lightGray"/>
        </w:rPr>
        <w:t>ll feature closures shall be completed and reported in accordance with TCEQ Edwards Aquifer Rules.]</w:t>
      </w:r>
      <w:r w:rsidRPr="00687FF5">
        <w:t xml:space="preserve"> If work must continue at the feature, disturbance to the feature shall be minimized and the final status of the feature shall be determined on a case-by-case basis following recommendations from a permitted scientist, geoscientist, and an engineer, as applicable. When features are closed, they shall be closed in a condition as similar as possible to pre-excavation conditions to preserve water and nutrient inflow and void volume, while protecting the feature from contaminated runoff. Geotechnical boreholes shall be plugged above the void, preserving the void space, then backfilled above the plug. </w:t>
      </w:r>
      <w:bookmarkStart w:id="30" w:name="_Hlk79128496"/>
      <w:r w:rsidRPr="0043109A">
        <w:rPr>
          <w:shd w:val="clear" w:color="auto" w:fill="F2CE1B"/>
        </w:rPr>
        <w:t>[Include for projects where TCEQ rules apply:</w:t>
      </w:r>
      <w:r w:rsidRPr="00687FF5">
        <w:t xml:space="preserve"> </w:t>
      </w:r>
      <w:r w:rsidRPr="00972963">
        <w:rPr>
          <w:highlight w:val="lightGray"/>
        </w:rPr>
        <w:t xml:space="preserve">The TCEQ Edwards Aquifer Rules require </w:t>
      </w:r>
      <w:bookmarkStart w:id="31" w:name="_Int_nyuCoOdi"/>
      <w:r w:rsidRPr="00972963">
        <w:rPr>
          <w:highlight w:val="lightGray"/>
        </w:rPr>
        <w:t>borings</w:t>
      </w:r>
      <w:bookmarkEnd w:id="31"/>
      <w:r w:rsidRPr="00972963">
        <w:rPr>
          <w:highlight w:val="lightGray"/>
        </w:rPr>
        <w:t xml:space="preserve"> in the recharge zone to be plugged with non-shrink grout from the bottom of the borehole (top of the plug in the case of a void) to within </w:t>
      </w:r>
      <w:r w:rsidR="00E76641">
        <w:rPr>
          <w:highlight w:val="lightGray"/>
        </w:rPr>
        <w:t>three</w:t>
      </w:r>
      <w:r w:rsidRPr="00972963">
        <w:rPr>
          <w:highlight w:val="lightGray"/>
        </w:rPr>
        <w:t xml:space="preserve"> feet of the surface. The remainder of the borehole must be filled with cuttings or gravel.]</w:t>
      </w:r>
      <w:bookmarkEnd w:id="22"/>
      <w:bookmarkEnd w:id="28"/>
    </w:p>
    <w:bookmarkEnd w:id="29"/>
    <w:bookmarkEnd w:id="30"/>
    <w:p w14:paraId="392DF749" w14:textId="254FFEB2" w:rsidR="0033219C" w:rsidRPr="0043109A" w:rsidRDefault="00687FF5" w:rsidP="0033219C">
      <w:r w:rsidRPr="0043109A">
        <w:rPr>
          <w:shd w:val="clear" w:color="auto" w:fill="F2CE1B"/>
        </w:rPr>
        <w:t>[The following section only applies to consultations involving salamanders and other subsurface aquatic invertebrate species. Otherwise, do not include.]</w:t>
      </w:r>
    </w:p>
    <w:p w14:paraId="2D6B8AF2" w14:textId="64A5D4E8" w:rsidR="00687FF5" w:rsidRPr="0064565C" w:rsidRDefault="00687FF5" w:rsidP="00687FF5">
      <w:pPr>
        <w:pStyle w:val="Heading4"/>
      </w:pPr>
      <w:r w:rsidRPr="00687FF5">
        <w:lastRenderedPageBreak/>
        <w:t>Groundwater Flow Mitigation and Protection Measures for Salamanders and Aquatic Invertebrates</w:t>
      </w:r>
    </w:p>
    <w:p w14:paraId="48F98EEE" w14:textId="0191DBC9" w:rsidR="00687FF5" w:rsidRPr="00687FF5" w:rsidRDefault="00687FF5" w:rsidP="00687FF5">
      <w:bookmarkStart w:id="32" w:name="_Hlk80028589"/>
      <w:bookmarkStart w:id="33" w:name="_Hlk98488916"/>
      <w:bookmarkStart w:id="34" w:name="_Hlk98496921"/>
      <w:bookmarkStart w:id="35" w:name="_Hlk80028802"/>
      <w:r w:rsidRPr="00687FF5">
        <w:t xml:space="preserve">If standing, seeping, or flowing water is encountered in an excavation, </w:t>
      </w:r>
      <w:bookmarkEnd w:id="32"/>
      <w:r w:rsidRPr="00687FF5">
        <w:t xml:space="preserve">work within a minimum of 50 feet of the excavation shall cease until an evaluation is completed. Appropriate BMPs </w:t>
      </w:r>
      <w:proofErr w:type="gramStart"/>
      <w:r w:rsidRPr="00687FF5">
        <w:t>shall</w:t>
      </w:r>
      <w:proofErr w:type="gramEnd"/>
      <w:r w:rsidRPr="00687FF5">
        <w:t xml:space="preserve"> be implemented to minimize surface runoff from entering the excavation. A geoscientist shall evaluate the excavation to determine the source of the water and potential connectivity to the Edwards Aquifer. If it is determined that the water is connected to the Edwards Aquifer, a site-specific groundwater mitigation and solution feature closure plan shall be developed before work can continue near the groundwater feature.</w:t>
      </w:r>
      <w:bookmarkEnd w:id="33"/>
      <w:r w:rsidRPr="00687FF5">
        <w:t xml:space="preserve"> A</w:t>
      </w:r>
      <w:bookmarkStart w:id="36" w:name="_Hlk98492920"/>
      <w:r w:rsidRPr="00687FF5">
        <w:t>ll groundwater mitigation and solution feature closure plans shall be completed and approved in accordance with TCEQ Edwards Aquifer Rules, as applicable.</w:t>
      </w:r>
    </w:p>
    <w:p w14:paraId="28ED22EB" w14:textId="77777777" w:rsidR="00687FF5" w:rsidRPr="00687FF5" w:rsidRDefault="00687FF5" w:rsidP="00687FF5">
      <w:bookmarkStart w:id="37" w:name="_Hlk98497365"/>
      <w:bookmarkEnd w:id="34"/>
      <w:r w:rsidRPr="00687FF5">
        <w:t>The groundwater mitigation and solution feature closure plan shall</w:t>
      </w:r>
      <w:bookmarkEnd w:id="37"/>
      <w:r w:rsidRPr="00687FF5">
        <w:t xml:space="preserve"> be designed to permanently seal off the excavation from the groundwater feature. Where a feature contains flowing water that could be a groundwater flow path of the Edwards Aquifer, the plan will also include measures designed to maintain hydrologic connectivity across, under, or around the excavation. This may include the use of clean, porous media such as clean washed rock, and PVC pipe of assorted sizes. The plan for excavations with flowing groundwater shall also include measures designed to permanently isolate and seal off the groundwater flow path from the rest of the excavation. </w:t>
      </w:r>
    </w:p>
    <w:p w14:paraId="2C615EC6" w14:textId="4EEFE804" w:rsidR="00687FF5" w:rsidRPr="00687FF5" w:rsidRDefault="00687FF5" w:rsidP="00687FF5">
      <w:bookmarkStart w:id="38" w:name="_Hlk98497718"/>
      <w:r w:rsidRPr="00687FF5">
        <w:t>For dilled shafts, the groundwater mitigation and solution feature closure plan shall typically use permanent casing to seal off the groundwater source and prevent contamination before pouring concrete. Casing is intended to prevent the migration of concrete into voids.</w:t>
      </w:r>
      <w:r w:rsidR="0043109A">
        <w:t xml:space="preserve"> </w:t>
      </w:r>
      <w:r w:rsidRPr="00687FF5">
        <w:t xml:space="preserve">If flowing water is encountered during the excavation of drilled shafts, the plan may include the permanent placement of casing in a manner that seals the drilled shaft off from the area of groundwater conductivity while allowing continuity of groundwater flow through the annular space surrounding the casing. If casing is not used, concrete migration into voids will be addressed on a case-by-case basis based on </w:t>
      </w:r>
      <w:r w:rsidRPr="00687FF5">
        <w:lastRenderedPageBreak/>
        <w:t>the nature of the void and the engineering needs of the project with an emphasis on groundwater protection.</w:t>
      </w:r>
    </w:p>
    <w:bookmarkEnd w:id="38"/>
    <w:p w14:paraId="2E7D9DC2" w14:textId="0451BAB8" w:rsidR="00687FF5" w:rsidRPr="00687FF5" w:rsidRDefault="00687FF5" w:rsidP="00687FF5">
      <w:r w:rsidRPr="00687FF5">
        <w:t>If accumulated groundwater must be pumped from an excavation, all pump intakes must be screened to exclude salamanders by placing cages with 1/16</w:t>
      </w:r>
      <w:r w:rsidR="00E76641">
        <w:t xml:space="preserve"> inch</w:t>
      </w:r>
      <w:r w:rsidR="007A147F">
        <w:t xml:space="preserve"> </w:t>
      </w:r>
      <w:r w:rsidRPr="00687FF5">
        <w:t>or smaller mesh over any intake to exclude salamanders. Water must be removed at a low velocity (</w:t>
      </w:r>
      <w:r w:rsidR="0043109A">
        <w:t>≤</w:t>
      </w:r>
      <w:r w:rsidRPr="00687FF5">
        <w:t>1 cubic feet per second), to prevent salamanders from becoming trapped on intake screens</w:t>
      </w:r>
      <w:r w:rsidR="0043109A">
        <w:t xml:space="preserve"> or </w:t>
      </w:r>
      <w:r w:rsidRPr="00687FF5">
        <w:t xml:space="preserve">cages. </w:t>
      </w:r>
    </w:p>
    <w:p w14:paraId="225C4CCE" w14:textId="6EBFC7D8" w:rsidR="0033219C" w:rsidRDefault="00687FF5" w:rsidP="00687FF5">
      <w:r w:rsidRPr="00687FF5">
        <w:t xml:space="preserve">For geotechnical boring activities, the groundwater mitigation and solution feature closure plan shall typically involve filling the borehole with clean-washed </w:t>
      </w:r>
      <w:r w:rsidR="007A147F">
        <w:t xml:space="preserve">one </w:t>
      </w:r>
      <w:r w:rsidRPr="00687FF5">
        <w:t xml:space="preserve">inch rock to approximately </w:t>
      </w:r>
      <w:r w:rsidR="007A147F">
        <w:t>two</w:t>
      </w:r>
      <w:r w:rsidRPr="00687FF5">
        <w:t xml:space="preserve"> feet above the groundwater level, placing a hole plug above the rock surface, capping the hole plug with a packed bentonite plug, and then sealing the top of the boring with suitable materials. </w:t>
      </w:r>
      <w:r w:rsidRPr="0043109A">
        <w:rPr>
          <w:shd w:val="clear" w:color="auto" w:fill="F2CE1B"/>
        </w:rPr>
        <w:t>[Include for projects where TCEQ rules apply:</w:t>
      </w:r>
      <w:r w:rsidRPr="00687FF5">
        <w:t xml:space="preserve"> </w:t>
      </w:r>
      <w:r w:rsidRPr="0043109A">
        <w:rPr>
          <w:highlight w:val="lightGray"/>
        </w:rPr>
        <w:t xml:space="preserve">The TCEQ Edwards Aquifer Rules require </w:t>
      </w:r>
      <w:bookmarkStart w:id="39" w:name="_Int_c5VU668X"/>
      <w:r w:rsidRPr="0043109A">
        <w:rPr>
          <w:highlight w:val="lightGray"/>
        </w:rPr>
        <w:t>borings</w:t>
      </w:r>
      <w:bookmarkEnd w:id="39"/>
      <w:r w:rsidRPr="0043109A">
        <w:rPr>
          <w:highlight w:val="lightGray"/>
        </w:rPr>
        <w:t xml:space="preserve"> in the recharge zone to be plugged with non-shrink grout from the bottom of the borehole, or the top of the plug, in the case of a void) to within </w:t>
      </w:r>
      <w:r w:rsidR="007A147F">
        <w:rPr>
          <w:highlight w:val="lightGray"/>
        </w:rPr>
        <w:t>three</w:t>
      </w:r>
      <w:r w:rsidRPr="0043109A">
        <w:rPr>
          <w:highlight w:val="lightGray"/>
        </w:rPr>
        <w:t xml:space="preserve"> feet of the surface. The remainder of the borehole must be filled with cuttings or gravel.]</w:t>
      </w:r>
      <w:bookmarkEnd w:id="35"/>
      <w:bookmarkEnd w:id="36"/>
    </w:p>
    <w:p w14:paraId="254E66C4" w14:textId="4F603386" w:rsidR="00BA6F79" w:rsidRPr="0032481A" w:rsidRDefault="00687FF5" w:rsidP="00BA6F79">
      <w:pPr>
        <w:pStyle w:val="Heading3"/>
      </w:pPr>
      <w:r w:rsidRPr="00687FF5">
        <w:t>2.4.5 Measures to be Implemented Following Construction</w:t>
      </w:r>
    </w:p>
    <w:p w14:paraId="6931DB36" w14:textId="0CA54594" w:rsidR="00687FF5" w:rsidRPr="00687FF5" w:rsidRDefault="00687FF5" w:rsidP="00687FF5">
      <w:pPr>
        <w:rPr>
          <w:lang w:bidi="en-US"/>
        </w:rPr>
      </w:pPr>
      <w:bookmarkStart w:id="40" w:name="_Hlk81996966"/>
      <w:bookmarkStart w:id="41" w:name="_Hlk81996988"/>
      <w:r w:rsidRPr="00687FF5">
        <w:rPr>
          <w:lang w:bidi="en-US"/>
        </w:rPr>
        <w:t xml:space="preserve">TxDOT shall implement the following </w:t>
      </w:r>
      <w:r w:rsidR="00B5707D">
        <w:rPr>
          <w:lang w:bidi="en-US"/>
        </w:rPr>
        <w:t>CMs</w:t>
      </w:r>
      <w:r w:rsidRPr="00687FF5">
        <w:rPr>
          <w:lang w:bidi="en-US"/>
        </w:rPr>
        <w:t xml:space="preserve"> at or after the completion of construction:</w:t>
      </w:r>
    </w:p>
    <w:p w14:paraId="38B3A1CD" w14:textId="77777777" w:rsidR="00687FF5" w:rsidRPr="00687FF5" w:rsidRDefault="00687FF5" w:rsidP="00687FF5">
      <w:pPr>
        <w:pStyle w:val="ListBullet"/>
      </w:pPr>
      <w:bookmarkStart w:id="42" w:name="_Hlk98493051"/>
      <w:bookmarkEnd w:id="40"/>
      <w:r w:rsidRPr="00687FF5">
        <w:t xml:space="preserve">Disturbed areas shall be re-vegetated according to TxDOT’s standard practices and the TCEQ Construction General Permit. Re-vegetation efforts </w:t>
      </w:r>
      <w:proofErr w:type="gramStart"/>
      <w:r w:rsidRPr="00687FF5">
        <w:t>shall</w:t>
      </w:r>
      <w:proofErr w:type="gramEnd"/>
      <w:r w:rsidRPr="00687FF5">
        <w:t xml:space="preserve"> provide appropriate and sustainable cover to prevent erosion and siltation.</w:t>
      </w:r>
    </w:p>
    <w:p w14:paraId="5E5300A0" w14:textId="77777777" w:rsidR="00687FF5" w:rsidRPr="00687FF5" w:rsidRDefault="00687FF5" w:rsidP="00687FF5">
      <w:pPr>
        <w:pStyle w:val="ListBullet"/>
      </w:pPr>
      <w:bookmarkStart w:id="43" w:name="_Hlk81997011"/>
      <w:bookmarkEnd w:id="41"/>
      <w:bookmarkEnd w:id="42"/>
      <w:r w:rsidRPr="000A5270">
        <w:rPr>
          <w:shd w:val="clear" w:color="auto" w:fill="F2CE1B"/>
        </w:rPr>
        <w:t>[add any other proposed site-specific post-construction surveys or monitoring]</w:t>
      </w:r>
      <w:bookmarkEnd w:id="43"/>
    </w:p>
    <w:p w14:paraId="4BC943BF" w14:textId="4E508B86" w:rsidR="00BA6F79" w:rsidRPr="00581CE9" w:rsidRDefault="00687FF5" w:rsidP="00581CE9">
      <w:bookmarkStart w:id="44" w:name="_Hlk81997089"/>
      <w:r w:rsidRPr="00581CE9">
        <w:rPr>
          <w:shd w:val="clear" w:color="auto" w:fill="F2CE1B"/>
        </w:rPr>
        <w:t>[The following section must only be included in BAs for projects where take is</w:t>
      </w:r>
      <w:r w:rsidRPr="00581CE9">
        <w:t xml:space="preserve"> </w:t>
      </w:r>
      <w:r w:rsidRPr="00581CE9">
        <w:rPr>
          <w:shd w:val="clear" w:color="auto" w:fill="F2CE1B"/>
        </w:rPr>
        <w:t>anticipated and a formal consultation with the USFWS is required.]</w:t>
      </w:r>
      <w:bookmarkEnd w:id="44"/>
    </w:p>
    <w:p w14:paraId="0338C85D" w14:textId="0AE906F9" w:rsidR="00BA6F79" w:rsidRPr="0032481A" w:rsidRDefault="00687FF5" w:rsidP="00BA6F79">
      <w:pPr>
        <w:pStyle w:val="Heading3"/>
      </w:pPr>
      <w:r w:rsidRPr="00687FF5">
        <w:lastRenderedPageBreak/>
        <w:t>2.4.6 Other Conservation Measures</w:t>
      </w:r>
    </w:p>
    <w:p w14:paraId="438CE8CA" w14:textId="3655869A" w:rsidR="009260DC" w:rsidRDefault="00687FF5" w:rsidP="00687FF5">
      <w:r w:rsidRPr="00687FF5">
        <w:t>For unavoidable impacts to the federally listed species affected by the project, TxDOT and</w:t>
      </w:r>
      <w:r w:rsidR="00581CE9">
        <w:t xml:space="preserve"> </w:t>
      </w:r>
      <w:r w:rsidRPr="00687FF5">
        <w:t xml:space="preserve">or the Project Sponsor shall </w:t>
      </w:r>
      <w:r w:rsidRPr="006A2C4B">
        <w:rPr>
          <w:shd w:val="clear" w:color="auto" w:fill="F2CE1B"/>
        </w:rPr>
        <w:t>[described proposed offset, which could include additional species surveys, specimen collections for genetic sampling, payment to a third-party mitigation provider or habitat conservation plan, or other mitigative measures suggested by the USFWS and agreed to by TxDOT (or vice versa)]</w:t>
      </w:r>
      <w:r w:rsidRPr="00687FF5">
        <w:t xml:space="preserve">. Mitigation measures shall be secured before the start of construction </w:t>
      </w:r>
      <w:r w:rsidRPr="006A2C4B">
        <w:rPr>
          <w:shd w:val="clear" w:color="auto" w:fill="F2CE1B"/>
        </w:rPr>
        <w:t>[or within a timeframe agreed to by USFWS]</w:t>
      </w:r>
      <w:r w:rsidRPr="00687FF5">
        <w:t>.</w:t>
      </w:r>
    </w:p>
    <w:p w14:paraId="0FCB729D" w14:textId="77777777" w:rsidR="009260DC" w:rsidRDefault="009260DC">
      <w:pPr>
        <w:spacing w:after="0" w:line="240" w:lineRule="auto"/>
      </w:pPr>
      <w:r>
        <w:br w:type="page"/>
      </w:r>
    </w:p>
    <w:p w14:paraId="0AF8B3BA" w14:textId="77777777" w:rsidR="005D638D" w:rsidRDefault="005D638D" w:rsidP="000A5D0B">
      <w:pPr>
        <w:pStyle w:val="Heading2"/>
      </w:pPr>
      <w:r>
        <w:lastRenderedPageBreak/>
        <w:t>Revision History</w:t>
      </w:r>
    </w:p>
    <w:p w14:paraId="02138D03" w14:textId="2C11C37B" w:rsidR="000A5D0B" w:rsidRPr="000A5D0B" w:rsidRDefault="000A5D0B" w:rsidP="000A5D0B">
      <w:pPr>
        <w:pStyle w:val="Caption"/>
      </w:pPr>
      <w:r w:rsidRPr="000A5D0B">
        <w:t xml:space="preserve">Table </w:t>
      </w:r>
      <w:fldSimple w:instr=" SEQ Table \* ARABIC ">
        <w:r w:rsidR="003C7930">
          <w:rPr>
            <w:noProof/>
          </w:rPr>
          <w:t>1</w:t>
        </w:r>
      </w:fldSimple>
      <w:r w:rsidRPr="000A5D0B">
        <w:t>. Document revision history</w:t>
      </w:r>
    </w:p>
    <w:tbl>
      <w:tblPr>
        <w:tblStyle w:val="ATFTxDOTTable"/>
        <w:tblW w:w="0" w:type="auto"/>
        <w:tblInd w:w="0" w:type="dxa"/>
        <w:tblLook w:val="0420" w:firstRow="1" w:lastRow="0" w:firstColumn="0" w:lastColumn="0" w:noHBand="0" w:noVBand="1"/>
        <w:tblCaption w:val="Document revision history"/>
        <w:tblDescription w:val="This table presents the full revision history of the document, organized from the most current to the oldest revision month, with a corresponding description of the changes made."/>
      </w:tblPr>
      <w:tblGrid>
        <w:gridCol w:w="2425"/>
        <w:gridCol w:w="8365"/>
      </w:tblGrid>
      <w:tr w:rsidR="003F3CC1" w14:paraId="7AEE318E" w14:textId="77777777" w:rsidTr="00E3647F">
        <w:trPr>
          <w:cnfStyle w:val="100000000000" w:firstRow="1" w:lastRow="0" w:firstColumn="0" w:lastColumn="0" w:oddVBand="0" w:evenVBand="0" w:oddHBand="0" w:evenHBand="0" w:firstRowFirstColumn="0" w:firstRowLastColumn="0" w:lastRowFirstColumn="0" w:lastRowLastColumn="0"/>
        </w:trPr>
        <w:tc>
          <w:tcPr>
            <w:tcW w:w="2425" w:type="dxa"/>
          </w:tcPr>
          <w:p w14:paraId="43156689" w14:textId="77777777" w:rsidR="003F3CC1" w:rsidRPr="00A07348" w:rsidRDefault="003F3CC1" w:rsidP="005D638D">
            <w:pPr>
              <w:rPr>
                <w:color w:val="FFFFFF" w:themeColor="background1"/>
              </w:rPr>
            </w:pPr>
            <w:r w:rsidRPr="00A07348">
              <w:rPr>
                <w:color w:val="FFFFFF" w:themeColor="background1"/>
              </w:rPr>
              <w:t xml:space="preserve">Effective </w:t>
            </w:r>
            <w:r w:rsidR="002A12D5" w:rsidRPr="00A07348">
              <w:rPr>
                <w:color w:val="FFFFFF" w:themeColor="background1"/>
              </w:rPr>
              <w:t>d</w:t>
            </w:r>
            <w:r w:rsidRPr="00A07348">
              <w:rPr>
                <w:color w:val="FFFFFF" w:themeColor="background1"/>
              </w:rPr>
              <w:t>ate</w:t>
            </w:r>
            <w:r w:rsidR="002A12D5" w:rsidRPr="00A07348">
              <w:rPr>
                <w:color w:val="FFFFFF" w:themeColor="background1"/>
              </w:rPr>
              <w:t xml:space="preserve"> (month year)</w:t>
            </w:r>
          </w:p>
        </w:tc>
        <w:tc>
          <w:tcPr>
            <w:tcW w:w="8365" w:type="dxa"/>
          </w:tcPr>
          <w:p w14:paraId="270B6353" w14:textId="77777777" w:rsidR="003F3CC1" w:rsidRPr="00A07348" w:rsidRDefault="002A12D5" w:rsidP="005D638D">
            <w:pPr>
              <w:rPr>
                <w:color w:val="FFFFFF" w:themeColor="background1"/>
              </w:rPr>
            </w:pPr>
            <w:r w:rsidRPr="00A07348">
              <w:rPr>
                <w:color w:val="FFFFFF" w:themeColor="background1"/>
              </w:rPr>
              <w:t>Reason for and description of change</w:t>
            </w:r>
          </w:p>
        </w:tc>
      </w:tr>
      <w:tr w:rsidR="003F3CC1" w14:paraId="72504233" w14:textId="77777777" w:rsidTr="00E3647F">
        <w:trPr>
          <w:cnfStyle w:val="000000100000" w:firstRow="0" w:lastRow="0" w:firstColumn="0" w:lastColumn="0" w:oddVBand="0" w:evenVBand="0" w:oddHBand="1" w:evenHBand="0" w:firstRowFirstColumn="0" w:firstRowLastColumn="0" w:lastRowFirstColumn="0" w:lastRowLastColumn="0"/>
        </w:trPr>
        <w:tc>
          <w:tcPr>
            <w:tcW w:w="2425" w:type="dxa"/>
          </w:tcPr>
          <w:p w14:paraId="1EEFFC97" w14:textId="495BEF70" w:rsidR="003F3CC1" w:rsidRPr="006544A8" w:rsidRDefault="00E43C02" w:rsidP="005D638D">
            <w:pPr>
              <w:rPr>
                <w:b/>
                <w:bCs/>
              </w:rPr>
            </w:pPr>
            <w:r>
              <w:t>September</w:t>
            </w:r>
            <w:r w:rsidR="00624C21" w:rsidRPr="006544A8">
              <w:t xml:space="preserve"> </w:t>
            </w:r>
            <w:r w:rsidR="003C7930" w:rsidRPr="006544A8">
              <w:t>2026</w:t>
            </w:r>
          </w:p>
        </w:tc>
        <w:tc>
          <w:tcPr>
            <w:tcW w:w="8365" w:type="dxa"/>
          </w:tcPr>
          <w:p w14:paraId="77B9E4D3" w14:textId="0EF68992" w:rsidR="003F3CC1" w:rsidRPr="006544A8" w:rsidRDefault="002A12D5" w:rsidP="00542454">
            <w:r w:rsidRPr="006544A8">
              <w:t xml:space="preserve">Version </w:t>
            </w:r>
            <w:r w:rsidR="003C7930" w:rsidRPr="006544A8">
              <w:t>2</w:t>
            </w:r>
          </w:p>
          <w:p w14:paraId="17F4AC9D" w14:textId="77777777" w:rsidR="00687FF5" w:rsidRDefault="003C7930" w:rsidP="003C7930">
            <w:pPr>
              <w:pStyle w:val="ListBullet"/>
            </w:pPr>
            <w:r w:rsidRPr="006544A8">
              <w:t>Updat</w:t>
            </w:r>
            <w:r w:rsidR="005B2E0F" w:rsidRPr="006544A8">
              <w:t>ed</w:t>
            </w:r>
            <w:r w:rsidRPr="006544A8">
              <w:t xml:space="preserve"> for accessibility compliance and TxDOT branding standards.</w:t>
            </w:r>
          </w:p>
          <w:p w14:paraId="318C66CB" w14:textId="6CE7C598" w:rsidR="00B21FBF" w:rsidRPr="006544A8" w:rsidRDefault="00B21FBF" w:rsidP="003C7930">
            <w:pPr>
              <w:pStyle w:val="ListBullet"/>
            </w:pPr>
            <w:r>
              <w:t>Updated various language for additional clarity</w:t>
            </w:r>
          </w:p>
        </w:tc>
      </w:tr>
      <w:tr w:rsidR="003C7930" w14:paraId="39552376" w14:textId="77777777" w:rsidTr="00E3647F">
        <w:trPr>
          <w:cnfStyle w:val="000000010000" w:firstRow="0" w:lastRow="0" w:firstColumn="0" w:lastColumn="0" w:oddVBand="0" w:evenVBand="0" w:oddHBand="0" w:evenHBand="1" w:firstRowFirstColumn="0" w:firstRowLastColumn="0" w:lastRowFirstColumn="0" w:lastRowLastColumn="0"/>
        </w:trPr>
        <w:tc>
          <w:tcPr>
            <w:tcW w:w="2425" w:type="dxa"/>
          </w:tcPr>
          <w:p w14:paraId="3A72107F" w14:textId="67DAD99C" w:rsidR="003C7930" w:rsidRPr="006544A8" w:rsidRDefault="003C7930" w:rsidP="003C7930">
            <w:r w:rsidRPr="006544A8">
              <w:t>May 2022</w:t>
            </w:r>
          </w:p>
        </w:tc>
        <w:tc>
          <w:tcPr>
            <w:tcW w:w="8365" w:type="dxa"/>
          </w:tcPr>
          <w:p w14:paraId="391F28B6" w14:textId="5E0E2DD1" w:rsidR="003C7930" w:rsidRPr="006544A8" w:rsidRDefault="003C7930" w:rsidP="003C7930">
            <w:r w:rsidRPr="006544A8">
              <w:t>Version 1</w:t>
            </w:r>
          </w:p>
          <w:p w14:paraId="44EFA9E2" w14:textId="6052DEBE" w:rsidR="003C7930" w:rsidRPr="006544A8" w:rsidRDefault="003C7930" w:rsidP="003C7930">
            <w:pPr>
              <w:pStyle w:val="ListBullet"/>
            </w:pPr>
            <w:r w:rsidRPr="006544A8">
              <w:t>Used in combination with the documentation standards to prepare a Biological Assessment (BA) for formal consultation or a Biological Evaluation (BE) for informal consultation for Karst Invertebrates, Aquifer Invertebrates, and Salamanders with the USFWS.</w:t>
            </w:r>
          </w:p>
        </w:tc>
      </w:tr>
    </w:tbl>
    <w:p w14:paraId="0C08912C" w14:textId="77777777" w:rsidR="003F3CC1" w:rsidRPr="005D638D" w:rsidRDefault="003F3CC1" w:rsidP="00781A58"/>
    <w:sectPr w:rsidR="003F3CC1" w:rsidRPr="005D638D" w:rsidSect="0010454F">
      <w:headerReference w:type="default" r:id="rId11"/>
      <w:footerReference w:type="default" r:id="rId12"/>
      <w:headerReference w:type="first" r:id="rId13"/>
      <w:pgSz w:w="12240" w:h="15840" w:code="1"/>
      <w:pgMar w:top="720" w:right="720" w:bottom="720" w:left="720"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C99C9" w14:textId="77777777" w:rsidR="00286B20" w:rsidRDefault="00286B20" w:rsidP="00CE2B96">
      <w:pPr>
        <w:spacing w:after="0"/>
      </w:pPr>
      <w:r>
        <w:separator/>
      </w:r>
    </w:p>
  </w:endnote>
  <w:endnote w:type="continuationSeparator" w:id="0">
    <w:p w14:paraId="0F8058A4" w14:textId="77777777" w:rsidR="00286B20" w:rsidRDefault="00286B20" w:rsidP="00CE2B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Verdana Bold">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CE4C1" w14:textId="35A13F21" w:rsidR="00E15D9F" w:rsidRPr="00A07068" w:rsidRDefault="00C02127" w:rsidP="0010454F">
    <w:pPr>
      <w:pStyle w:val="Footer"/>
      <w:spacing w:before="360" w:line="360" w:lineRule="auto"/>
      <w:jc w:val="right"/>
      <w:rPr>
        <w:b/>
        <w:bCs/>
        <w:color w:val="0056A9"/>
      </w:rPr>
    </w:pPr>
    <w:r w:rsidRPr="006A2C4B">
      <w:rPr>
        <w:noProof/>
        <w:color w:val="0056A9"/>
      </w:rPr>
      <mc:AlternateContent>
        <mc:Choice Requires="wps">
          <w:drawing>
            <wp:anchor distT="0" distB="0" distL="114300" distR="114300" simplePos="0" relativeHeight="251658240" behindDoc="0" locked="0" layoutInCell="1" allowOverlap="1" wp14:anchorId="473DA5F8" wp14:editId="231505B8">
              <wp:simplePos x="0" y="0"/>
              <wp:positionH relativeFrom="margin">
                <wp:posOffset>0</wp:posOffset>
              </wp:positionH>
              <wp:positionV relativeFrom="paragraph">
                <wp:posOffset>86065</wp:posOffset>
              </wp:positionV>
              <wp:extent cx="6844381" cy="6795"/>
              <wp:effectExtent l="0" t="0" r="13970" b="31750"/>
              <wp:wrapNone/>
              <wp:docPr id="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44381" cy="6795"/>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shapetype w14:anchorId="1A86021D" id="_x0000_t32" coordsize="21600,21600" o:spt="32" o:oned="t" path="m,l21600,21600e" filled="f">
              <v:path arrowok="t" fillok="f" o:connecttype="none"/>
              <o:lock v:ext="edit" shapetype="t"/>
            </v:shapetype>
            <v:shape id="AutoShape 12" o:spid="_x0000_s1026" type="#_x0000_t32" alt="&quot;&quot;" style="position:absolute;margin-left:0;margin-top:6.8pt;width:538.95pt;height:.55pt;flip:x;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" strokecolor="#d81f26">
              <w10:wrap anchorx="margin"/>
            </v:shape>
          </w:pict>
        </mc:Fallback>
      </mc:AlternateContent>
    </w:r>
    <w:r w:rsidR="006A2C4B" w:rsidRPr="006A2C4B">
      <w:rPr>
        <w:color w:val="0056A9"/>
      </w:rPr>
      <w:t xml:space="preserve"> </w:t>
    </w:r>
    <w:r w:rsidR="00277D35">
      <w:rPr>
        <w:color w:val="0056A9"/>
      </w:rPr>
      <w:t xml:space="preserve">Guidance: </w:t>
    </w:r>
    <w:r w:rsidR="006A2C4B" w:rsidRPr="006A2C4B">
      <w:rPr>
        <w:noProof/>
        <w:color w:val="0056A9"/>
      </w:rPr>
      <w:t>Conservation Measures</w:t>
    </w:r>
    <w:r w:rsidR="00277D35">
      <w:rPr>
        <w:noProof/>
        <w:color w:val="0056A9"/>
      </w:rPr>
      <w:t xml:space="preserve"> for</w:t>
    </w:r>
    <w:r w:rsidR="006A2C4B" w:rsidRPr="006A2C4B">
      <w:rPr>
        <w:noProof/>
        <w:color w:val="0056A9"/>
      </w:rPr>
      <w:t xml:space="preserve"> Karst Invertebrates, Aquifer Invertebrates, and Salamanders for Biological Assessments and Biological Evaluations</w:t>
    </w:r>
    <w:r w:rsidR="0032481A">
      <w:rPr>
        <w:color w:val="0056A9"/>
      </w:rPr>
      <w:t xml:space="preserve"> </w:t>
    </w:r>
    <w:r w:rsidR="00BD2218" w:rsidRPr="00542454">
      <w:rPr>
        <w:color w:val="0056A9"/>
      </w:rPr>
      <w:t xml:space="preserve">| </w:t>
    </w:r>
    <w:r w:rsidR="00BD2218" w:rsidRPr="00BD2218">
      <w:rPr>
        <w:b/>
        <w:bCs/>
        <w:color w:val="0056A9"/>
      </w:rPr>
      <w:fldChar w:fldCharType="begin"/>
    </w:r>
    <w:r w:rsidR="00BD2218" w:rsidRPr="00BD2218">
      <w:rPr>
        <w:b/>
        <w:bCs/>
        <w:color w:val="0056A9"/>
      </w:rPr>
      <w:instrText xml:space="preserve"> PAGE   \* MERGEFORMAT </w:instrText>
    </w:r>
    <w:r w:rsidR="00BD2218" w:rsidRPr="00BD2218">
      <w:rPr>
        <w:b/>
        <w:bCs/>
        <w:color w:val="0056A9"/>
      </w:rPr>
      <w:fldChar w:fldCharType="separate"/>
    </w:r>
    <w:r w:rsidR="00BD2218" w:rsidRPr="00BD2218">
      <w:rPr>
        <w:b/>
        <w:bCs/>
        <w:noProof/>
        <w:color w:val="0056A9"/>
      </w:rPr>
      <w:t>1</w:t>
    </w:r>
    <w:r w:rsidR="00BD2218" w:rsidRPr="00BD2218">
      <w:rPr>
        <w:b/>
        <w:bCs/>
        <w:noProof/>
        <w:color w:val="0056A9"/>
      </w:rPr>
      <w:fldChar w:fldCharType="end"/>
    </w:r>
  </w:p>
  <w:p w14:paraId="66A07250" w14:textId="77777777" w:rsidR="002376C2" w:rsidRDefault="002376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516D2" w14:textId="77777777" w:rsidR="00286B20" w:rsidRDefault="00286B20" w:rsidP="00CE2B96">
      <w:pPr>
        <w:spacing w:after="0"/>
      </w:pPr>
      <w:r>
        <w:separator/>
      </w:r>
    </w:p>
  </w:footnote>
  <w:footnote w:type="continuationSeparator" w:id="0">
    <w:p w14:paraId="38771948" w14:textId="77777777" w:rsidR="00286B20" w:rsidRDefault="00286B20" w:rsidP="00CE2B9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A68BE" w14:textId="77777777" w:rsidR="001705BC" w:rsidRDefault="009E532E" w:rsidP="001705BC">
    <w:pPr>
      <w:pStyle w:val="Header"/>
      <w:spacing w:after="400"/>
      <w:jc w:val="right"/>
    </w:pPr>
    <w:r>
      <w:rPr>
        <w:noProof/>
      </w:rPr>
      <w:drawing>
        <wp:inline distT="0" distB="0" distL="0" distR="0" wp14:anchorId="4DA16A63" wp14:editId="447B3F71">
          <wp:extent cx="2020824" cy="384048"/>
          <wp:effectExtent l="0" t="0" r="0" b="0"/>
          <wp:docPr id="1517796457" name="Picture 1" descr="Texas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96457" name="Picture 1" descr="Texas Department of Transportation logo"/>
                  <pic:cNvPicPr/>
                </pic:nvPicPr>
                <pic:blipFill>
                  <a:blip r:embed="rId1">
                    <a:extLst>
                      <a:ext uri="{28A0092B-C50C-407E-A947-70E740481C1C}">
                        <a14:useLocalDpi xmlns:a14="http://schemas.microsoft.com/office/drawing/2010/main" val="0"/>
                      </a:ext>
                    </a:extLst>
                  </a:blip>
                  <a:stretch>
                    <a:fillRect/>
                  </a:stretch>
                </pic:blipFill>
                <pic:spPr>
                  <a:xfrm>
                    <a:off x="0" y="0"/>
                    <a:ext cx="2020824" cy="38404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1C14B" w14:textId="77777777" w:rsidR="00CE2B96" w:rsidRPr="002A75F2" w:rsidRDefault="00CE2B96" w:rsidP="002A75F2">
    <w:pPr>
      <w:spacing w:after="2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C12DE"/>
    <w:multiLevelType w:val="multilevel"/>
    <w:tmpl w:val="C6BE2430"/>
    <w:lvl w:ilvl="0">
      <w:start w:val="1"/>
      <w:numFmt w:val="decimal"/>
      <w:pStyle w:val="ListNumber"/>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 w15:restartNumberingAfterBreak="0">
    <w:nsid w:val="7AFD11F3"/>
    <w:multiLevelType w:val="multilevel"/>
    <w:tmpl w:val="1C3A27A0"/>
    <w:lvl w:ilvl="0">
      <w:start w:val="1"/>
      <w:numFmt w:val="bullet"/>
      <w:pStyle w:val="ListBullet"/>
      <w:lvlText w:val=""/>
      <w:lvlJc w:val="left"/>
      <w:pPr>
        <w:ind w:left="360" w:hanging="360"/>
      </w:pPr>
      <w:rPr>
        <w:rFonts w:ascii="Symbol" w:hAnsi="Symbol" w:hint="default"/>
        <w:color w:val="0056A9" w:themeColor="accent1"/>
      </w:rPr>
    </w:lvl>
    <w:lvl w:ilvl="1">
      <w:start w:val="1"/>
      <w:numFmt w:val="bullet"/>
      <w:lvlText w:val="–"/>
      <w:lvlJc w:val="left"/>
      <w:pPr>
        <w:ind w:left="720" w:hanging="360"/>
      </w:pPr>
      <w:rPr>
        <w:rFonts w:ascii="Franklin Gothic Book" w:hAnsi="Franklin Gothic Book" w:hint="default"/>
        <w:color w:val="0056A9" w:themeColor="accent1"/>
      </w:rPr>
    </w:lvl>
    <w:lvl w:ilvl="2">
      <w:start w:val="1"/>
      <w:numFmt w:val="bullet"/>
      <w:lvlText w:val=""/>
      <w:lvlJc w:val="left"/>
      <w:pPr>
        <w:ind w:left="1080" w:hanging="360"/>
      </w:pPr>
      <w:rPr>
        <w:rFonts w:ascii="Wingdings" w:hAnsi="Wingdings" w:hint="default"/>
        <w:color w:val="0056A9" w:themeColor="accent1"/>
      </w:rPr>
    </w:lvl>
    <w:lvl w:ilvl="3">
      <w:start w:val="1"/>
      <w:numFmt w:val="bullet"/>
      <w:lvlText w:val=""/>
      <w:lvlJc w:val="left"/>
      <w:pPr>
        <w:ind w:left="1440" w:hanging="360"/>
      </w:pPr>
      <w:rPr>
        <w:rFonts w:ascii="Symbol" w:hAnsi="Symbol" w:hint="default"/>
        <w:color w:val="0056A9" w:themeColor="accent1"/>
      </w:rPr>
    </w:lvl>
    <w:lvl w:ilvl="4">
      <w:start w:val="1"/>
      <w:numFmt w:val="bullet"/>
      <w:lvlText w:val="°"/>
      <w:lvlJc w:val="left"/>
      <w:pPr>
        <w:ind w:left="1800" w:hanging="360"/>
      </w:pPr>
      <w:rPr>
        <w:rFonts w:ascii="Verdana" w:hAnsi="Verdana" w:hint="default"/>
        <w:color w:val="0056A9" w:themeColor="accent1"/>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486940803">
    <w:abstractNumId w:val="1"/>
  </w:num>
  <w:num w:numId="2" w16cid:durableId="94503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revisionView w:markup="0" w:insDel="0" w:formatting="0"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D29"/>
    <w:rsid w:val="00000482"/>
    <w:rsid w:val="0003040F"/>
    <w:rsid w:val="0003167A"/>
    <w:rsid w:val="000340FF"/>
    <w:rsid w:val="00034EBA"/>
    <w:rsid w:val="00042206"/>
    <w:rsid w:val="00051E7A"/>
    <w:rsid w:val="00054F18"/>
    <w:rsid w:val="0005583F"/>
    <w:rsid w:val="00073C60"/>
    <w:rsid w:val="00074844"/>
    <w:rsid w:val="00075AE3"/>
    <w:rsid w:val="000925DC"/>
    <w:rsid w:val="000940FB"/>
    <w:rsid w:val="00096633"/>
    <w:rsid w:val="0009755A"/>
    <w:rsid w:val="000A5270"/>
    <w:rsid w:val="000A5D0B"/>
    <w:rsid w:val="000B2945"/>
    <w:rsid w:val="000B5A5C"/>
    <w:rsid w:val="000C17AD"/>
    <w:rsid w:val="000C7AD7"/>
    <w:rsid w:val="000E0386"/>
    <w:rsid w:val="000F6094"/>
    <w:rsid w:val="0010454F"/>
    <w:rsid w:val="00105532"/>
    <w:rsid w:val="00107391"/>
    <w:rsid w:val="00113CD3"/>
    <w:rsid w:val="0013642E"/>
    <w:rsid w:val="00142D29"/>
    <w:rsid w:val="001439CD"/>
    <w:rsid w:val="001468A0"/>
    <w:rsid w:val="00146BE0"/>
    <w:rsid w:val="00163395"/>
    <w:rsid w:val="001705BC"/>
    <w:rsid w:val="001761D7"/>
    <w:rsid w:val="00181735"/>
    <w:rsid w:val="0018694B"/>
    <w:rsid w:val="00190DCD"/>
    <w:rsid w:val="00191AFD"/>
    <w:rsid w:val="00193C0D"/>
    <w:rsid w:val="0019588E"/>
    <w:rsid w:val="001A69C9"/>
    <w:rsid w:val="001B0171"/>
    <w:rsid w:val="001B5185"/>
    <w:rsid w:val="001B6C26"/>
    <w:rsid w:val="001C3E75"/>
    <w:rsid w:val="001D3D2C"/>
    <w:rsid w:val="001E5E7E"/>
    <w:rsid w:val="001F4FAC"/>
    <w:rsid w:val="001F68C4"/>
    <w:rsid w:val="00231E0F"/>
    <w:rsid w:val="002340C7"/>
    <w:rsid w:val="002376C2"/>
    <w:rsid w:val="002515F6"/>
    <w:rsid w:val="002531E4"/>
    <w:rsid w:val="002672BD"/>
    <w:rsid w:val="00273031"/>
    <w:rsid w:val="00277D35"/>
    <w:rsid w:val="002805FC"/>
    <w:rsid w:val="00284504"/>
    <w:rsid w:val="00285252"/>
    <w:rsid w:val="00286B20"/>
    <w:rsid w:val="00290571"/>
    <w:rsid w:val="00290A05"/>
    <w:rsid w:val="002934DC"/>
    <w:rsid w:val="002A05A5"/>
    <w:rsid w:val="002A12D5"/>
    <w:rsid w:val="002A75F2"/>
    <w:rsid w:val="002B1115"/>
    <w:rsid w:val="002B5599"/>
    <w:rsid w:val="002C57BC"/>
    <w:rsid w:val="002D0309"/>
    <w:rsid w:val="002D1778"/>
    <w:rsid w:val="002D382D"/>
    <w:rsid w:val="002D4CD2"/>
    <w:rsid w:val="002F3D6D"/>
    <w:rsid w:val="00317F2E"/>
    <w:rsid w:val="0032481A"/>
    <w:rsid w:val="0033219C"/>
    <w:rsid w:val="003452E7"/>
    <w:rsid w:val="00366F3D"/>
    <w:rsid w:val="00367FE0"/>
    <w:rsid w:val="00386C3D"/>
    <w:rsid w:val="003922C6"/>
    <w:rsid w:val="003A504F"/>
    <w:rsid w:val="003A52F6"/>
    <w:rsid w:val="003A5E41"/>
    <w:rsid w:val="003A67E5"/>
    <w:rsid w:val="003C7930"/>
    <w:rsid w:val="003D41C5"/>
    <w:rsid w:val="003D6291"/>
    <w:rsid w:val="003E1328"/>
    <w:rsid w:val="003E4697"/>
    <w:rsid w:val="003F3CC1"/>
    <w:rsid w:val="00405A2D"/>
    <w:rsid w:val="00410FDA"/>
    <w:rsid w:val="004112F8"/>
    <w:rsid w:val="0042061E"/>
    <w:rsid w:val="00427DBB"/>
    <w:rsid w:val="0043109A"/>
    <w:rsid w:val="00437537"/>
    <w:rsid w:val="00437A34"/>
    <w:rsid w:val="004567BC"/>
    <w:rsid w:val="00487276"/>
    <w:rsid w:val="004A1071"/>
    <w:rsid w:val="004B2441"/>
    <w:rsid w:val="004B325C"/>
    <w:rsid w:val="004D0572"/>
    <w:rsid w:val="004E14DC"/>
    <w:rsid w:val="004E496F"/>
    <w:rsid w:val="004E7B23"/>
    <w:rsid w:val="004F4944"/>
    <w:rsid w:val="004F697B"/>
    <w:rsid w:val="00501A04"/>
    <w:rsid w:val="00531145"/>
    <w:rsid w:val="00531212"/>
    <w:rsid w:val="005360C8"/>
    <w:rsid w:val="00542454"/>
    <w:rsid w:val="005456F3"/>
    <w:rsid w:val="005555C5"/>
    <w:rsid w:val="0058136A"/>
    <w:rsid w:val="00581CE9"/>
    <w:rsid w:val="00595D36"/>
    <w:rsid w:val="005A2713"/>
    <w:rsid w:val="005A5FEE"/>
    <w:rsid w:val="005B2E0F"/>
    <w:rsid w:val="005D35F1"/>
    <w:rsid w:val="005D638D"/>
    <w:rsid w:val="005D6FD8"/>
    <w:rsid w:val="005E2E34"/>
    <w:rsid w:val="005E451D"/>
    <w:rsid w:val="006125F2"/>
    <w:rsid w:val="00616BB0"/>
    <w:rsid w:val="00624C21"/>
    <w:rsid w:val="006258E9"/>
    <w:rsid w:val="00626A92"/>
    <w:rsid w:val="006379EB"/>
    <w:rsid w:val="00640ADD"/>
    <w:rsid w:val="00641CD6"/>
    <w:rsid w:val="006447CE"/>
    <w:rsid w:val="0064565C"/>
    <w:rsid w:val="006479F3"/>
    <w:rsid w:val="00647A00"/>
    <w:rsid w:val="006544A8"/>
    <w:rsid w:val="00655FA9"/>
    <w:rsid w:val="00664BC7"/>
    <w:rsid w:val="00665943"/>
    <w:rsid w:val="00665AFF"/>
    <w:rsid w:val="00687A4D"/>
    <w:rsid w:val="00687FF5"/>
    <w:rsid w:val="006978E7"/>
    <w:rsid w:val="006A2C4B"/>
    <w:rsid w:val="006B34EF"/>
    <w:rsid w:val="006C55B8"/>
    <w:rsid w:val="006F528A"/>
    <w:rsid w:val="007018A2"/>
    <w:rsid w:val="0070413E"/>
    <w:rsid w:val="00707B89"/>
    <w:rsid w:val="0072002A"/>
    <w:rsid w:val="0072716B"/>
    <w:rsid w:val="0074006C"/>
    <w:rsid w:val="007414D4"/>
    <w:rsid w:val="007524CB"/>
    <w:rsid w:val="007556A7"/>
    <w:rsid w:val="00763838"/>
    <w:rsid w:val="00767521"/>
    <w:rsid w:val="00770AA6"/>
    <w:rsid w:val="00771021"/>
    <w:rsid w:val="00774C8C"/>
    <w:rsid w:val="0078177E"/>
    <w:rsid w:val="00781A58"/>
    <w:rsid w:val="00785416"/>
    <w:rsid w:val="00791127"/>
    <w:rsid w:val="00795ADB"/>
    <w:rsid w:val="007970FE"/>
    <w:rsid w:val="00797F86"/>
    <w:rsid w:val="007A147F"/>
    <w:rsid w:val="007A3B26"/>
    <w:rsid w:val="007B00A8"/>
    <w:rsid w:val="007C06C2"/>
    <w:rsid w:val="007D21BF"/>
    <w:rsid w:val="007E4B7F"/>
    <w:rsid w:val="007F081F"/>
    <w:rsid w:val="007F1E4C"/>
    <w:rsid w:val="00801268"/>
    <w:rsid w:val="00814D36"/>
    <w:rsid w:val="00814FB3"/>
    <w:rsid w:val="008322C0"/>
    <w:rsid w:val="0086528F"/>
    <w:rsid w:val="0087110F"/>
    <w:rsid w:val="00885A03"/>
    <w:rsid w:val="008905E4"/>
    <w:rsid w:val="00893375"/>
    <w:rsid w:val="00894429"/>
    <w:rsid w:val="008A427D"/>
    <w:rsid w:val="008A4F34"/>
    <w:rsid w:val="008B2F1E"/>
    <w:rsid w:val="008B49EB"/>
    <w:rsid w:val="008C1217"/>
    <w:rsid w:val="00900F14"/>
    <w:rsid w:val="0090638D"/>
    <w:rsid w:val="00915FFB"/>
    <w:rsid w:val="009160AB"/>
    <w:rsid w:val="0091704D"/>
    <w:rsid w:val="00917F65"/>
    <w:rsid w:val="009204BB"/>
    <w:rsid w:val="009260DC"/>
    <w:rsid w:val="00940488"/>
    <w:rsid w:val="009425A6"/>
    <w:rsid w:val="00947AC2"/>
    <w:rsid w:val="00952C20"/>
    <w:rsid w:val="00955095"/>
    <w:rsid w:val="00967F5A"/>
    <w:rsid w:val="00972963"/>
    <w:rsid w:val="0097321E"/>
    <w:rsid w:val="00976A16"/>
    <w:rsid w:val="009936DA"/>
    <w:rsid w:val="00995A37"/>
    <w:rsid w:val="009A5D92"/>
    <w:rsid w:val="009A7078"/>
    <w:rsid w:val="009B0174"/>
    <w:rsid w:val="009B1BDD"/>
    <w:rsid w:val="009B5127"/>
    <w:rsid w:val="009D6D7E"/>
    <w:rsid w:val="009D75C0"/>
    <w:rsid w:val="009E532E"/>
    <w:rsid w:val="009F72F5"/>
    <w:rsid w:val="00A01F44"/>
    <w:rsid w:val="00A07068"/>
    <w:rsid w:val="00A07348"/>
    <w:rsid w:val="00A166DE"/>
    <w:rsid w:val="00A22F82"/>
    <w:rsid w:val="00A44609"/>
    <w:rsid w:val="00A47819"/>
    <w:rsid w:val="00A47D0D"/>
    <w:rsid w:val="00A517D8"/>
    <w:rsid w:val="00A53A66"/>
    <w:rsid w:val="00A70747"/>
    <w:rsid w:val="00A71049"/>
    <w:rsid w:val="00A858D7"/>
    <w:rsid w:val="00AB3983"/>
    <w:rsid w:val="00AD4351"/>
    <w:rsid w:val="00AE1A16"/>
    <w:rsid w:val="00AE29F5"/>
    <w:rsid w:val="00AE5576"/>
    <w:rsid w:val="00AE5A40"/>
    <w:rsid w:val="00B01C81"/>
    <w:rsid w:val="00B076D5"/>
    <w:rsid w:val="00B21FBF"/>
    <w:rsid w:val="00B22256"/>
    <w:rsid w:val="00B22F31"/>
    <w:rsid w:val="00B2563B"/>
    <w:rsid w:val="00B406D5"/>
    <w:rsid w:val="00B43AD4"/>
    <w:rsid w:val="00B55323"/>
    <w:rsid w:val="00B5707D"/>
    <w:rsid w:val="00B63CB8"/>
    <w:rsid w:val="00B711AB"/>
    <w:rsid w:val="00B76CBA"/>
    <w:rsid w:val="00B84690"/>
    <w:rsid w:val="00B85D46"/>
    <w:rsid w:val="00B900B0"/>
    <w:rsid w:val="00BA1297"/>
    <w:rsid w:val="00BA6E8B"/>
    <w:rsid w:val="00BA6F79"/>
    <w:rsid w:val="00BB6980"/>
    <w:rsid w:val="00BD2218"/>
    <w:rsid w:val="00BD5415"/>
    <w:rsid w:val="00BD7E0B"/>
    <w:rsid w:val="00C02127"/>
    <w:rsid w:val="00C10F1E"/>
    <w:rsid w:val="00C27E67"/>
    <w:rsid w:val="00C31BC5"/>
    <w:rsid w:val="00C347FF"/>
    <w:rsid w:val="00C575AE"/>
    <w:rsid w:val="00C75AB3"/>
    <w:rsid w:val="00C85086"/>
    <w:rsid w:val="00C923ED"/>
    <w:rsid w:val="00CA268F"/>
    <w:rsid w:val="00CB2FFC"/>
    <w:rsid w:val="00CC00DC"/>
    <w:rsid w:val="00CC1675"/>
    <w:rsid w:val="00CD0B21"/>
    <w:rsid w:val="00CE2B96"/>
    <w:rsid w:val="00CE56C8"/>
    <w:rsid w:val="00CE6274"/>
    <w:rsid w:val="00CE6A5A"/>
    <w:rsid w:val="00CF0FA4"/>
    <w:rsid w:val="00D058C9"/>
    <w:rsid w:val="00D07333"/>
    <w:rsid w:val="00D11322"/>
    <w:rsid w:val="00D21F8F"/>
    <w:rsid w:val="00D2641B"/>
    <w:rsid w:val="00D3741B"/>
    <w:rsid w:val="00D42E0B"/>
    <w:rsid w:val="00D4473A"/>
    <w:rsid w:val="00D46BC3"/>
    <w:rsid w:val="00D520FF"/>
    <w:rsid w:val="00D52D93"/>
    <w:rsid w:val="00D641FB"/>
    <w:rsid w:val="00D87291"/>
    <w:rsid w:val="00DB1269"/>
    <w:rsid w:val="00DB4970"/>
    <w:rsid w:val="00DB6A6F"/>
    <w:rsid w:val="00DD2CD4"/>
    <w:rsid w:val="00DD5129"/>
    <w:rsid w:val="00DE6ED5"/>
    <w:rsid w:val="00E04705"/>
    <w:rsid w:val="00E04EB5"/>
    <w:rsid w:val="00E064A3"/>
    <w:rsid w:val="00E15D9F"/>
    <w:rsid w:val="00E214B2"/>
    <w:rsid w:val="00E302A4"/>
    <w:rsid w:val="00E33825"/>
    <w:rsid w:val="00E347DA"/>
    <w:rsid w:val="00E35DBF"/>
    <w:rsid w:val="00E3647F"/>
    <w:rsid w:val="00E43C02"/>
    <w:rsid w:val="00E47D85"/>
    <w:rsid w:val="00E50774"/>
    <w:rsid w:val="00E75EDD"/>
    <w:rsid w:val="00E76641"/>
    <w:rsid w:val="00E83835"/>
    <w:rsid w:val="00EB0613"/>
    <w:rsid w:val="00ED1226"/>
    <w:rsid w:val="00ED20AC"/>
    <w:rsid w:val="00ED4395"/>
    <w:rsid w:val="00EE5A53"/>
    <w:rsid w:val="00EE6DDC"/>
    <w:rsid w:val="00EF7847"/>
    <w:rsid w:val="00F11034"/>
    <w:rsid w:val="00F136BE"/>
    <w:rsid w:val="00F148FA"/>
    <w:rsid w:val="00F2183B"/>
    <w:rsid w:val="00F223E2"/>
    <w:rsid w:val="00F22C28"/>
    <w:rsid w:val="00F35F29"/>
    <w:rsid w:val="00F36EBB"/>
    <w:rsid w:val="00F44653"/>
    <w:rsid w:val="00F476E5"/>
    <w:rsid w:val="00F47B34"/>
    <w:rsid w:val="00F53357"/>
    <w:rsid w:val="00F57900"/>
    <w:rsid w:val="00F63F58"/>
    <w:rsid w:val="00F7213E"/>
    <w:rsid w:val="00F7418B"/>
    <w:rsid w:val="00F8718F"/>
    <w:rsid w:val="00F91BD5"/>
    <w:rsid w:val="00FA2BFD"/>
    <w:rsid w:val="00FB2FFC"/>
    <w:rsid w:val="00FB3F6D"/>
    <w:rsid w:val="00FB5597"/>
    <w:rsid w:val="00FC4A49"/>
    <w:rsid w:val="00FE4245"/>
    <w:rsid w:val="00FE4D24"/>
    <w:rsid w:val="00FE6FD1"/>
    <w:rsid w:val="00FF44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0AF709"/>
  <w15:chartTrackingRefBased/>
  <w15:docId w15:val="{40E784FC-9148-49C7-AEC5-92D1BCFA0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357"/>
    <w:pPr>
      <w:spacing w:after="200" w:line="360" w:lineRule="auto"/>
    </w:pPr>
    <w:rPr>
      <w:color w:val="000000" w:themeColor="text1"/>
    </w:rPr>
  </w:style>
  <w:style w:type="paragraph" w:styleId="Heading1">
    <w:name w:val="heading 1"/>
    <w:basedOn w:val="Normal"/>
    <w:next w:val="Normal"/>
    <w:link w:val="Heading1Char"/>
    <w:autoRedefine/>
    <w:uiPriority w:val="9"/>
    <w:qFormat/>
    <w:rsid w:val="00EE5A53"/>
    <w:pPr>
      <w:keepNext/>
      <w:keepLines/>
      <w:spacing w:before="240" w:after="0"/>
      <w:outlineLvl w:val="0"/>
    </w:pPr>
    <w:rPr>
      <w:rFonts w:asciiTheme="majorHAnsi" w:eastAsiaTheme="majorEastAsia" w:hAnsiTheme="majorHAnsi" w:cstheme="majorBidi"/>
      <w:b/>
      <w:color w:val="0056A9" w:themeColor="accent1"/>
      <w:sz w:val="36"/>
      <w:szCs w:val="32"/>
    </w:rPr>
  </w:style>
  <w:style w:type="paragraph" w:styleId="Heading2">
    <w:name w:val="heading 2"/>
    <w:basedOn w:val="Normal"/>
    <w:next w:val="Normal"/>
    <w:link w:val="Heading2Char"/>
    <w:autoRedefine/>
    <w:uiPriority w:val="9"/>
    <w:unhideWhenUsed/>
    <w:qFormat/>
    <w:rsid w:val="00C347FF"/>
    <w:pPr>
      <w:keepNext/>
      <w:keepLines/>
      <w:spacing w:before="240" w:after="0"/>
      <w:ind w:right="360"/>
      <w:outlineLvl w:val="1"/>
    </w:pPr>
    <w:rPr>
      <w:rFonts w:asciiTheme="majorHAnsi" w:eastAsiaTheme="majorEastAsia" w:hAnsiTheme="majorHAnsi" w:cstheme="majorBidi"/>
      <w:b/>
      <w:color w:val="0056A9" w:themeColor="accent1"/>
      <w:sz w:val="32"/>
      <w:szCs w:val="26"/>
    </w:rPr>
  </w:style>
  <w:style w:type="paragraph" w:styleId="Heading3">
    <w:name w:val="heading 3"/>
    <w:basedOn w:val="Normal"/>
    <w:next w:val="Normal"/>
    <w:link w:val="Heading3Char"/>
    <w:autoRedefine/>
    <w:uiPriority w:val="9"/>
    <w:unhideWhenUsed/>
    <w:qFormat/>
    <w:rsid w:val="00EE5A53"/>
    <w:pPr>
      <w:keepNext/>
      <w:keepLines/>
      <w:spacing w:before="40" w:after="0"/>
      <w:outlineLvl w:val="2"/>
    </w:pPr>
    <w:rPr>
      <w:rFonts w:asciiTheme="majorHAnsi" w:eastAsiaTheme="majorEastAsia" w:hAnsiTheme="majorHAnsi" w:cstheme="majorBidi"/>
      <w:b/>
      <w:color w:val="002E69" w:themeColor="accent5"/>
      <w:sz w:val="28"/>
    </w:rPr>
  </w:style>
  <w:style w:type="paragraph" w:styleId="Heading4">
    <w:name w:val="heading 4"/>
    <w:basedOn w:val="Normal"/>
    <w:next w:val="Normal"/>
    <w:link w:val="Heading4Char"/>
    <w:autoRedefine/>
    <w:uiPriority w:val="9"/>
    <w:unhideWhenUsed/>
    <w:qFormat/>
    <w:rsid w:val="00EE5A53"/>
    <w:pPr>
      <w:keepNext/>
      <w:keepLines/>
      <w:spacing w:before="40" w:after="0"/>
      <w:outlineLvl w:val="3"/>
    </w:pPr>
    <w:rPr>
      <w:rFonts w:asciiTheme="majorHAnsi" w:eastAsiaTheme="majorEastAsia" w:hAnsiTheme="majorHAnsi" w:cstheme="majorBidi"/>
      <w:b/>
      <w:i/>
      <w:iCs/>
      <w:color w:val="002E69" w:themeColor="accent5"/>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F63F58"/>
    <w:rPr>
      <w:color w:val="000000" w:themeColor="text1"/>
      <w:sz w:val="20"/>
    </w:rPr>
  </w:style>
  <w:style w:type="character" w:customStyle="1" w:styleId="Heading1Char">
    <w:name w:val="Heading 1 Char"/>
    <w:basedOn w:val="DefaultParagraphFont"/>
    <w:link w:val="Heading1"/>
    <w:uiPriority w:val="9"/>
    <w:rsid w:val="00EE5A53"/>
    <w:rPr>
      <w:rFonts w:asciiTheme="majorHAnsi" w:eastAsiaTheme="majorEastAsia" w:hAnsiTheme="majorHAnsi" w:cstheme="majorBidi"/>
      <w:b/>
      <w:color w:val="0056A9" w:themeColor="accent1"/>
      <w:sz w:val="36"/>
      <w:szCs w:val="32"/>
    </w:rPr>
  </w:style>
  <w:style w:type="character" w:customStyle="1" w:styleId="Heading2Char">
    <w:name w:val="Heading 2 Char"/>
    <w:basedOn w:val="DefaultParagraphFont"/>
    <w:link w:val="Heading2"/>
    <w:uiPriority w:val="9"/>
    <w:rsid w:val="00C347FF"/>
    <w:rPr>
      <w:rFonts w:asciiTheme="majorHAnsi" w:eastAsiaTheme="majorEastAsia" w:hAnsiTheme="majorHAnsi" w:cstheme="majorBidi"/>
      <w:b/>
      <w:color w:val="0056A9" w:themeColor="accent1"/>
      <w:sz w:val="32"/>
      <w:szCs w:val="26"/>
    </w:rPr>
  </w:style>
  <w:style w:type="paragraph" w:styleId="ListParagraph">
    <w:name w:val="List Paragraph"/>
    <w:basedOn w:val="Normal"/>
    <w:uiPriority w:val="34"/>
    <w:qFormat/>
    <w:rsid w:val="00437A34"/>
    <w:pPr>
      <w:spacing w:before="120"/>
      <w:ind w:left="720"/>
      <w:contextualSpacing/>
    </w:pPr>
  </w:style>
  <w:style w:type="paragraph" w:styleId="Header">
    <w:name w:val="header"/>
    <w:basedOn w:val="Normal"/>
    <w:link w:val="HeaderChar"/>
    <w:uiPriority w:val="99"/>
    <w:unhideWhenUsed/>
    <w:rsid w:val="001705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5BC"/>
    <w:rPr>
      <w:color w:val="000000" w:themeColor="text1"/>
      <w:sz w:val="20"/>
    </w:rPr>
  </w:style>
  <w:style w:type="paragraph" w:styleId="Footer">
    <w:name w:val="footer"/>
    <w:basedOn w:val="Normal"/>
    <w:link w:val="FooterChar"/>
    <w:uiPriority w:val="99"/>
    <w:unhideWhenUsed/>
    <w:rsid w:val="001705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5BC"/>
    <w:rPr>
      <w:color w:val="000000" w:themeColor="text1"/>
      <w:sz w:val="20"/>
    </w:rPr>
  </w:style>
  <w:style w:type="character" w:customStyle="1" w:styleId="Heading3Char">
    <w:name w:val="Heading 3 Char"/>
    <w:basedOn w:val="DefaultParagraphFont"/>
    <w:link w:val="Heading3"/>
    <w:uiPriority w:val="9"/>
    <w:rsid w:val="00EE5A53"/>
    <w:rPr>
      <w:rFonts w:asciiTheme="majorHAnsi" w:eastAsiaTheme="majorEastAsia" w:hAnsiTheme="majorHAnsi" w:cstheme="majorBidi"/>
      <w:b/>
      <w:color w:val="002E69" w:themeColor="accent5"/>
      <w:sz w:val="28"/>
    </w:rPr>
  </w:style>
  <w:style w:type="character" w:customStyle="1" w:styleId="Heading4Char">
    <w:name w:val="Heading 4 Char"/>
    <w:basedOn w:val="DefaultParagraphFont"/>
    <w:link w:val="Heading4"/>
    <w:uiPriority w:val="9"/>
    <w:rsid w:val="00EE5A53"/>
    <w:rPr>
      <w:rFonts w:asciiTheme="majorHAnsi" w:eastAsiaTheme="majorEastAsia" w:hAnsiTheme="majorHAnsi" w:cstheme="majorBidi"/>
      <w:b/>
      <w:i/>
      <w:iCs/>
      <w:color w:val="002E69" w:themeColor="accent5"/>
      <w:sz w:val="26"/>
    </w:rPr>
  </w:style>
  <w:style w:type="paragraph" w:styleId="ListBullet">
    <w:name w:val="List Bullet"/>
    <w:basedOn w:val="Normal"/>
    <w:uiPriority w:val="1"/>
    <w:qFormat/>
    <w:rsid w:val="00E50774"/>
    <w:pPr>
      <w:numPr>
        <w:numId w:val="1"/>
      </w:numPr>
      <w:contextualSpacing/>
    </w:pPr>
    <w:rPr>
      <w:rFonts w:ascii="Verdana" w:eastAsia="MS Mincho" w:hAnsi="Verdana" w:cs="Times New Roman"/>
      <w:color w:val="000000"/>
      <w:kern w:val="0"/>
      <w:szCs w:val="22"/>
      <w14:ligatures w14:val="none"/>
    </w:rPr>
  </w:style>
  <w:style w:type="paragraph" w:styleId="FootnoteText">
    <w:name w:val="footnote text"/>
    <w:basedOn w:val="Normal"/>
    <w:link w:val="FootnoteTextChar"/>
    <w:uiPriority w:val="99"/>
    <w:semiHidden/>
    <w:unhideWhenUsed/>
    <w:rsid w:val="005456F3"/>
    <w:pPr>
      <w:spacing w:after="0" w:line="240" w:lineRule="auto"/>
    </w:pPr>
    <w:rPr>
      <w:rFonts w:ascii="Arial" w:hAnsi="Arial"/>
      <w:color w:val="auto"/>
      <w:kern w:val="0"/>
      <w:sz w:val="20"/>
      <w:szCs w:val="20"/>
      <w14:ligatures w14:val="none"/>
    </w:rPr>
  </w:style>
  <w:style w:type="character" w:customStyle="1" w:styleId="FootnoteTextChar">
    <w:name w:val="Footnote Text Char"/>
    <w:basedOn w:val="DefaultParagraphFont"/>
    <w:link w:val="FootnoteText"/>
    <w:uiPriority w:val="99"/>
    <w:semiHidden/>
    <w:rsid w:val="005456F3"/>
    <w:rPr>
      <w:rFonts w:ascii="Arial" w:hAnsi="Arial"/>
      <w:kern w:val="0"/>
      <w:sz w:val="20"/>
      <w:szCs w:val="20"/>
      <w14:ligatures w14:val="none"/>
    </w:rPr>
  </w:style>
  <w:style w:type="character" w:styleId="FootnoteReference">
    <w:name w:val="footnote reference"/>
    <w:basedOn w:val="DefaultParagraphFont"/>
    <w:uiPriority w:val="99"/>
    <w:semiHidden/>
    <w:unhideWhenUsed/>
    <w:rsid w:val="005456F3"/>
    <w:rPr>
      <w:vertAlign w:val="superscript"/>
    </w:rPr>
  </w:style>
  <w:style w:type="character" w:styleId="Hyperlink">
    <w:name w:val="Hyperlink"/>
    <w:uiPriority w:val="99"/>
    <w:unhideWhenUsed/>
    <w:rsid w:val="005456F3"/>
    <w:rPr>
      <w:color w:val="0000FF"/>
      <w:u w:val="single"/>
    </w:rPr>
  </w:style>
  <w:style w:type="table" w:styleId="TableGrid">
    <w:name w:val="Table Grid"/>
    <w:basedOn w:val="TableNormal"/>
    <w:uiPriority w:val="39"/>
    <w:rsid w:val="003F3C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2D0309"/>
    <w:tblPr>
      <w:tblStyleRowBandSize w:val="1"/>
      <w:tblStyleColBandSize w:val="1"/>
      <w:tblBorders>
        <w:top w:val="single" w:sz="4" w:space="0" w:color="0056A9" w:themeColor="accent1"/>
        <w:left w:val="single" w:sz="4" w:space="0" w:color="0056A9" w:themeColor="accent1"/>
        <w:bottom w:val="single" w:sz="4" w:space="0" w:color="0056A9" w:themeColor="accent1"/>
        <w:right w:val="single" w:sz="4" w:space="0" w:color="0056A9" w:themeColor="accent1"/>
      </w:tblBorders>
    </w:tblPr>
    <w:tblStylePr w:type="firstRow">
      <w:rPr>
        <w:b/>
        <w:bCs/>
        <w:color w:val="FFFFFF" w:themeColor="background1"/>
      </w:rPr>
      <w:tblPr/>
      <w:tcPr>
        <w:shd w:val="clear" w:color="auto" w:fill="0056A9" w:themeFill="accent1"/>
      </w:tcPr>
    </w:tblStylePr>
    <w:tblStylePr w:type="lastRow">
      <w:rPr>
        <w:b/>
        <w:bCs/>
      </w:rPr>
      <w:tblPr/>
      <w:tcPr>
        <w:tcBorders>
          <w:top w:val="double" w:sz="4" w:space="0" w:color="0056A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6A9" w:themeColor="accent1"/>
          <w:right w:val="single" w:sz="4" w:space="0" w:color="0056A9" w:themeColor="accent1"/>
        </w:tcBorders>
      </w:tcPr>
    </w:tblStylePr>
    <w:tblStylePr w:type="band1Horz">
      <w:tblPr/>
      <w:tcPr>
        <w:tcBorders>
          <w:top w:val="single" w:sz="4" w:space="0" w:color="0056A9" w:themeColor="accent1"/>
          <w:bottom w:val="single" w:sz="4" w:space="0" w:color="0056A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6A9" w:themeColor="accent1"/>
          <w:left w:val="nil"/>
        </w:tcBorders>
      </w:tcPr>
    </w:tblStylePr>
    <w:tblStylePr w:type="swCell">
      <w:tblPr/>
      <w:tcPr>
        <w:tcBorders>
          <w:top w:val="double" w:sz="4" w:space="0" w:color="0056A9" w:themeColor="accent1"/>
          <w:right w:val="nil"/>
        </w:tcBorders>
      </w:tcPr>
    </w:tblStylePr>
  </w:style>
  <w:style w:type="table" w:customStyle="1" w:styleId="ATFTxDOTTable">
    <w:name w:val="ATF TxDOT Table"/>
    <w:basedOn w:val="TableNormal"/>
    <w:uiPriority w:val="99"/>
    <w:rsid w:val="00FE4D24"/>
    <w:rPr>
      <w:rFonts w:ascii="Verdana" w:eastAsia="Verdana" w:hAnsi="Verdana" w:cs="Times New Roman"/>
    </w:rPr>
    <w:tblPr>
      <w:tblStyleRowBandSize w:val="1"/>
      <w:tblStyleCol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Pr>
    <w:tcPr>
      <w:vAlign w:val="center"/>
    </w:tcPr>
    <w:tblStylePr w:type="firstRow">
      <w:rPr>
        <w:b/>
        <w:color w:val="FFFFFF" w:themeColor="background1"/>
      </w:rPr>
      <w:tblPr/>
      <w:tcPr>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paragraph" w:styleId="Caption">
    <w:name w:val="caption"/>
    <w:basedOn w:val="Normal"/>
    <w:next w:val="Normal"/>
    <w:autoRedefine/>
    <w:uiPriority w:val="35"/>
    <w:unhideWhenUsed/>
    <w:qFormat/>
    <w:rsid w:val="000A5D0B"/>
    <w:pPr>
      <w:keepNext/>
      <w:spacing w:line="240" w:lineRule="auto"/>
    </w:pPr>
    <w:rPr>
      <w:b/>
      <w:bCs/>
      <w:iCs/>
      <w:color w:val="000000" w:themeColor="text2"/>
      <w:szCs w:val="18"/>
    </w:rPr>
  </w:style>
  <w:style w:type="paragraph" w:styleId="ListNumber">
    <w:name w:val="List Number"/>
    <w:basedOn w:val="BodyText"/>
    <w:uiPriority w:val="1"/>
    <w:qFormat/>
    <w:rsid w:val="00542454"/>
    <w:pPr>
      <w:numPr>
        <w:numId w:val="2"/>
      </w:numPr>
      <w:tabs>
        <w:tab w:val="num" w:pos="360"/>
      </w:tabs>
      <w:spacing w:after="200"/>
      <w:ind w:left="0" w:firstLine="0"/>
      <w:contextualSpacing/>
    </w:pPr>
    <w:rPr>
      <w:rFonts w:ascii="Verdana" w:eastAsia="MS Mincho" w:hAnsi="Verdana" w:cs="Times New Roman"/>
      <w:color w:val="000000"/>
      <w:kern w:val="0"/>
      <w:szCs w:val="22"/>
      <w14:ligatures w14:val="none"/>
    </w:rPr>
  </w:style>
  <w:style w:type="paragraph" w:styleId="BodyText">
    <w:name w:val="Body Text"/>
    <w:basedOn w:val="Normal"/>
    <w:link w:val="BodyTextChar"/>
    <w:uiPriority w:val="99"/>
    <w:semiHidden/>
    <w:unhideWhenUsed/>
    <w:rsid w:val="00542454"/>
    <w:pPr>
      <w:spacing w:after="120"/>
    </w:pPr>
  </w:style>
  <w:style w:type="character" w:customStyle="1" w:styleId="BodyTextChar">
    <w:name w:val="Body Text Char"/>
    <w:basedOn w:val="DefaultParagraphFont"/>
    <w:link w:val="BodyText"/>
    <w:uiPriority w:val="99"/>
    <w:semiHidden/>
    <w:rsid w:val="00542454"/>
    <w:rPr>
      <w:color w:val="000000" w:themeColor="text1"/>
    </w:rPr>
  </w:style>
  <w:style w:type="paragraph" w:styleId="TableofFigures">
    <w:name w:val="table of figures"/>
    <w:basedOn w:val="Normal"/>
    <w:next w:val="Normal"/>
    <w:uiPriority w:val="99"/>
    <w:unhideWhenUsed/>
    <w:rsid w:val="00542454"/>
    <w:pPr>
      <w:spacing w:after="0"/>
    </w:pPr>
  </w:style>
  <w:style w:type="character" w:styleId="UnresolvedMention">
    <w:name w:val="Unresolved Mention"/>
    <w:basedOn w:val="DefaultParagraphFont"/>
    <w:uiPriority w:val="99"/>
    <w:semiHidden/>
    <w:unhideWhenUsed/>
    <w:rsid w:val="00142D29"/>
    <w:rPr>
      <w:color w:val="605E5C"/>
      <w:shd w:val="clear" w:color="auto" w:fill="E1DFDD"/>
    </w:rPr>
  </w:style>
  <w:style w:type="character" w:styleId="CommentReference">
    <w:name w:val="annotation reference"/>
    <w:basedOn w:val="DefaultParagraphFont"/>
    <w:uiPriority w:val="99"/>
    <w:semiHidden/>
    <w:unhideWhenUsed/>
    <w:rsid w:val="004B2441"/>
    <w:rPr>
      <w:sz w:val="16"/>
      <w:szCs w:val="16"/>
    </w:rPr>
  </w:style>
  <w:style w:type="paragraph" w:styleId="CommentText">
    <w:name w:val="annotation text"/>
    <w:basedOn w:val="Normal"/>
    <w:link w:val="CommentTextChar"/>
    <w:uiPriority w:val="99"/>
    <w:unhideWhenUsed/>
    <w:rsid w:val="004B2441"/>
    <w:pPr>
      <w:spacing w:line="240" w:lineRule="auto"/>
    </w:pPr>
    <w:rPr>
      <w:sz w:val="20"/>
      <w:szCs w:val="20"/>
    </w:rPr>
  </w:style>
  <w:style w:type="character" w:customStyle="1" w:styleId="CommentTextChar">
    <w:name w:val="Comment Text Char"/>
    <w:basedOn w:val="DefaultParagraphFont"/>
    <w:link w:val="CommentText"/>
    <w:uiPriority w:val="99"/>
    <w:rsid w:val="004B2441"/>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4B2441"/>
    <w:rPr>
      <w:b/>
      <w:bCs/>
    </w:rPr>
  </w:style>
  <w:style w:type="character" w:customStyle="1" w:styleId="CommentSubjectChar">
    <w:name w:val="Comment Subject Char"/>
    <w:basedOn w:val="CommentTextChar"/>
    <w:link w:val="CommentSubject"/>
    <w:uiPriority w:val="99"/>
    <w:semiHidden/>
    <w:rsid w:val="004B2441"/>
    <w:rPr>
      <w:b/>
      <w:bCs/>
      <w:color w:val="000000" w:themeColor="text1"/>
      <w:sz w:val="20"/>
      <w:szCs w:val="20"/>
    </w:rPr>
  </w:style>
  <w:style w:type="character" w:styleId="FollowedHyperlink">
    <w:name w:val="FollowedHyperlink"/>
    <w:basedOn w:val="DefaultParagraphFont"/>
    <w:uiPriority w:val="99"/>
    <w:semiHidden/>
    <w:unhideWhenUsed/>
    <w:rsid w:val="00AE5A40"/>
    <w:rPr>
      <w:color w:val="5F0F4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186638">
      <w:bodyDiv w:val="1"/>
      <w:marLeft w:val="0"/>
      <w:marRight w:val="0"/>
      <w:marTop w:val="0"/>
      <w:marBottom w:val="0"/>
      <w:divBdr>
        <w:top w:val="none" w:sz="0" w:space="0" w:color="auto"/>
        <w:left w:val="none" w:sz="0" w:space="0" w:color="auto"/>
        <w:bottom w:val="none" w:sz="0" w:space="0" w:color="auto"/>
        <w:right w:val="none" w:sz="0" w:space="0" w:color="auto"/>
      </w:divBdr>
    </w:div>
    <w:div w:id="685405245">
      <w:bodyDiv w:val="1"/>
      <w:marLeft w:val="0"/>
      <w:marRight w:val="0"/>
      <w:marTop w:val="0"/>
      <w:marBottom w:val="0"/>
      <w:divBdr>
        <w:top w:val="none" w:sz="0" w:space="0" w:color="auto"/>
        <w:left w:val="none" w:sz="0" w:space="0" w:color="auto"/>
        <w:bottom w:val="none" w:sz="0" w:space="0" w:color="auto"/>
        <w:right w:val="none" w:sz="0" w:space="0" w:color="auto"/>
      </w:divBdr>
    </w:div>
    <w:div w:id="834608363">
      <w:bodyDiv w:val="1"/>
      <w:marLeft w:val="0"/>
      <w:marRight w:val="0"/>
      <w:marTop w:val="0"/>
      <w:marBottom w:val="0"/>
      <w:divBdr>
        <w:top w:val="none" w:sz="0" w:space="0" w:color="auto"/>
        <w:left w:val="none" w:sz="0" w:space="0" w:color="auto"/>
        <w:bottom w:val="none" w:sz="0" w:space="0" w:color="auto"/>
        <w:right w:val="none" w:sz="0" w:space="0" w:color="auto"/>
      </w:divBdr>
    </w:div>
    <w:div w:id="1302998700">
      <w:bodyDiv w:val="1"/>
      <w:marLeft w:val="0"/>
      <w:marRight w:val="0"/>
      <w:marTop w:val="0"/>
      <w:marBottom w:val="0"/>
      <w:divBdr>
        <w:top w:val="none" w:sz="0" w:space="0" w:color="auto"/>
        <w:left w:val="none" w:sz="0" w:space="0" w:color="auto"/>
        <w:bottom w:val="none" w:sz="0" w:space="0" w:color="auto"/>
        <w:right w:val="none" w:sz="0" w:space="0" w:color="auto"/>
      </w:divBdr>
    </w:div>
    <w:div w:id="1841265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xdot-brand-template-microsoft-theme">
  <a:themeElements>
    <a:clrScheme name="TxDOT Template Color Scheme">
      <a:dk1>
        <a:srgbClr val="000000"/>
      </a:dk1>
      <a:lt1>
        <a:srgbClr val="FFFFFF"/>
      </a:lt1>
      <a:dk2>
        <a:srgbClr val="000000"/>
      </a:dk2>
      <a:lt2>
        <a:srgbClr val="EBEBEB"/>
      </a:lt2>
      <a:accent1>
        <a:srgbClr val="0056A9"/>
      </a:accent1>
      <a:accent2>
        <a:srgbClr val="D90D0D"/>
      </a:accent2>
      <a:accent3>
        <a:srgbClr val="196533"/>
      </a:accent3>
      <a:accent4>
        <a:srgbClr val="5F0F40"/>
      </a:accent4>
      <a:accent5>
        <a:srgbClr val="002E69"/>
      </a:accent5>
      <a:accent6>
        <a:srgbClr val="333F48"/>
      </a:accent6>
      <a:hlink>
        <a:srgbClr val="0056A9"/>
      </a:hlink>
      <a:folHlink>
        <a:srgbClr val="5F0F40"/>
      </a:folHlink>
    </a:clrScheme>
    <a:fontScheme name="TxDOT Template fonts">
      <a:majorFont>
        <a:latin typeface="Verdana Bold"/>
        <a:ea typeface=""/>
        <a:cs typeface=""/>
      </a:majorFont>
      <a:minorFont>
        <a:latin typeface="Verdana"/>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txdot-brand-template-microsoft-theme" id="{C26E1BF5-F8BE-4F71-85B1-218D4EC69D9E}" vid="{E6DCCC63-DDF4-4C00-AD5C-6EBC44B9848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ebca7cf-140a-45ee-a57c-232cbe52a914">
      <Terms xmlns="http://schemas.microsoft.com/office/infopath/2007/PartnerControls"/>
    </lcf76f155ced4ddcb4097134ff3c332f>
    <TaxCatchAll xmlns="3f35f2c0-af66-4f50-9ad3-498689aa4a67" xsi:nil="true"/>
    <Time xmlns="2ebca7cf-140a-45ee-a57c-232cbe52a91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4CB62EFC96F3B4C9C8D33BF0C6D11BD" ma:contentTypeVersion="13" ma:contentTypeDescription="Create a new document." ma:contentTypeScope="" ma:versionID="29f3db67e83da4997f6af96595e91975">
  <xsd:schema xmlns:xsd="http://www.w3.org/2001/XMLSchema" xmlns:xs="http://www.w3.org/2001/XMLSchema" xmlns:p="http://schemas.microsoft.com/office/2006/metadata/properties" xmlns:ns2="2ebca7cf-140a-45ee-a57c-232cbe52a914" xmlns:ns3="3f35f2c0-af66-4f50-9ad3-498689aa4a67" targetNamespace="http://schemas.microsoft.com/office/2006/metadata/properties" ma:root="true" ma:fieldsID="f4484f1789b76357e7a9615c6261ec79" ns2:_="" ns3:_="">
    <xsd:import namespace="2ebca7cf-140a-45ee-a57c-232cbe52a914"/>
    <xsd:import namespace="3f35f2c0-af66-4f50-9ad3-498689aa4a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Time" minOccurs="0"/>
                <xsd:element ref="ns2:MediaServiceBillingMetadata"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ca7cf-140a-45ee-a57c-232cbe52a9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00b2c1-7ce8-4bfa-b3ce-153ab71b1a0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Time" ma:index="17" nillable="true" ma:displayName="Time" ma:format="DateTime" ma:internalName="Time">
      <xsd:simpleType>
        <xsd:restriction base="dms:DateTim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35f2c0-af66-4f50-9ad3-498689aa4a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079517d-46e2-42ed-9d9f-dbfb45608765}" ma:internalName="TaxCatchAll" ma:showField="CatchAllData" ma:web="3f35f2c0-af66-4f50-9ad3-498689aa4a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38030A-1151-48DB-8A23-26F7EDCC7F4A}">
  <ds:schemaRefs>
    <ds:schemaRef ds:uri="http://schemas.microsoft.com/office/2006/metadata/properties"/>
    <ds:schemaRef ds:uri="http://schemas.microsoft.com/office/infopath/2007/PartnerControls"/>
    <ds:schemaRef ds:uri="2ebca7cf-140a-45ee-a57c-232cbe52a914"/>
    <ds:schemaRef ds:uri="3f35f2c0-af66-4f50-9ad3-498689aa4a67"/>
  </ds:schemaRefs>
</ds:datastoreItem>
</file>

<file path=customXml/itemProps2.xml><?xml version="1.0" encoding="utf-8"?>
<ds:datastoreItem xmlns:ds="http://schemas.openxmlformats.org/officeDocument/2006/customXml" ds:itemID="{354487C1-0562-40A6-9E6F-583F926DFDEC}">
  <ds:schemaRefs>
    <ds:schemaRef ds:uri="http://schemas.openxmlformats.org/officeDocument/2006/bibliography"/>
  </ds:schemaRefs>
</ds:datastoreItem>
</file>

<file path=customXml/itemProps3.xml><?xml version="1.0" encoding="utf-8"?>
<ds:datastoreItem xmlns:ds="http://schemas.openxmlformats.org/officeDocument/2006/customXml" ds:itemID="{5FD7BD06-E033-4AF0-AACC-39A7B57C8F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ca7cf-140a-45ee-a57c-232cbe52a914"/>
    <ds:schemaRef ds:uri="3f35f2c0-af66-4f50-9ad3-498689aa4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DE3115-644F-4C41-8C77-9ABF1A05B7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1535</TotalTime>
  <Pages>12</Pages>
  <Words>3078</Words>
  <Characters>17545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Guidance: Voluntary Conservation Measures for Karst Invertebrates, Aquifer Invertebrates, and Salamanders for Biological Assessments and Biological Evaluations</vt:lpstr>
    </vt:vector>
  </TitlesOfParts>
  <Company/>
  <LinksUpToDate>false</LinksUpToDate>
  <CharactersWithSpaces>20582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Conservation Measures for Karst Invertebrates, Aquifer Invertebrates, and Salamanders for Biological Assessments and Biological Evaluations</dc:title>
  <dc:subject>Used in combination with the documentation standards to prepare a Biological Assessment (BA) for formal consultation or a Biological Evaluation (BE) for informal consultation for Karst Invertebrates, Aquifer Invertebrates, and Salamanders with the USFWS.</dc:subject>
  <dc:creator>TxDOT</dc:creator>
  <cp:keywords>310-03-gui; Natural Resources; species; federal protected</cp:keywords>
  <dc:description>Used in combination with the documentation standards to prepare a Biological Assessment (BA) for formal consultation or a Biological Evaluation (BE) for informal consultation for Karst Invertebrates, Aquifer Invertebrates, and Salamanders with the USFWS.</dc:description>
  <cp:lastModifiedBy>Sarah Matthews</cp:lastModifiedBy>
  <cp:revision>120</cp:revision>
  <dcterms:created xsi:type="dcterms:W3CDTF">2026-05-07T17:42:00Z</dcterms:created>
  <dcterms:modified xsi:type="dcterms:W3CDTF">2026-09-17T17:48:00Z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0x010100D4CB62EFC96F3B4C9C8D33BF0C6D11BD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