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55AC" w14:textId="77777777" w:rsidR="00020E5C" w:rsidRPr="00020E5C" w:rsidRDefault="00020E5C" w:rsidP="00020E5C">
      <w:pPr>
        <w:pStyle w:val="NormalSingleSpaceNoSpaceAfter"/>
      </w:pPr>
    </w:p>
    <w:p w14:paraId="549851AB" w14:textId="5284FBED" w:rsidR="004D3590" w:rsidRDefault="00B94CDA" w:rsidP="004D3590">
      <w:pPr>
        <w:pStyle w:val="CVRTxDOTLogoSpacing"/>
      </w:pPr>
      <w:r>
        <w:drawing>
          <wp:inline distT="0" distB="0" distL="0" distR="0" wp14:anchorId="6CC98EF3" wp14:editId="0B7DF2FF">
            <wp:extent cx="1164253" cy="866575"/>
            <wp:effectExtent l="0" t="0" r="0" b="0"/>
            <wp:docPr id="153094587"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7B8AB6A1" w14:textId="223868BA" w:rsidR="00EC72C0" w:rsidRDefault="00FA356A" w:rsidP="008F567A">
      <w:pPr>
        <w:pStyle w:val="Heading1"/>
      </w:pPr>
      <w:bookmarkStart w:id="0" w:name="_Toc222485201"/>
      <w:bookmarkStart w:id="1" w:name="_Hlk221283923"/>
      <w:bookmarkStart w:id="2" w:name="_Toc217895684"/>
      <w:r w:rsidRPr="00FA356A">
        <w:t>S</w:t>
      </w:r>
      <w:r w:rsidRPr="00FA356A">
        <w:rPr>
          <w:rStyle w:val="Heading1Char"/>
          <w:b/>
          <w:bCs/>
        </w:rPr>
        <w:t xml:space="preserve">tandard Operating Procedure: </w:t>
      </w:r>
      <w:r w:rsidR="001533DC" w:rsidRPr="00FA356A">
        <w:rPr>
          <w:rStyle w:val="Heading1Char"/>
          <w:b/>
          <w:bCs/>
        </w:rPr>
        <w:t>Acquiring and or Purchasing Section 404 Compen</w:t>
      </w:r>
      <w:r w:rsidR="001533DC" w:rsidRPr="00FA356A">
        <w:t>satory Mitigation Credits</w:t>
      </w:r>
      <w:bookmarkEnd w:id="0"/>
      <w:r w:rsidR="001533DC" w:rsidRPr="00FA356A">
        <w:t xml:space="preserve"> </w:t>
      </w:r>
      <w:bookmarkEnd w:id="1"/>
    </w:p>
    <w:p w14:paraId="4BEC2FF4" w14:textId="3ED760C0" w:rsidR="003625BB" w:rsidRDefault="00EC72C0" w:rsidP="004804CD">
      <w:pPr>
        <w:pStyle w:val="CoverPageNormal"/>
      </w:pPr>
      <w:r w:rsidRPr="00FA118A">
        <w:rPr>
          <w:b/>
          <w:bCs w:val="0"/>
        </w:rPr>
        <w:t>Approval Authority:</w:t>
      </w:r>
      <w:r w:rsidRPr="003625BB">
        <w:t xml:space="preserve"> Clover Clamons, N</w:t>
      </w:r>
      <w:r w:rsidR="00D56E08">
        <w:t>atrual Resource</w:t>
      </w:r>
      <w:r w:rsidR="00D071AF">
        <w:t>s</w:t>
      </w:r>
      <w:r w:rsidR="00D56E08">
        <w:t xml:space="preserve"> Management</w:t>
      </w:r>
      <w:r w:rsidRPr="003625BB">
        <w:t xml:space="preserve"> Section Director</w:t>
      </w:r>
    </w:p>
    <w:p w14:paraId="7E0A4B94" w14:textId="67A7788B" w:rsidR="00FE5D65" w:rsidRDefault="004804CD" w:rsidP="004804CD">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r w:rsidRPr="00FA118A">
        <w:rPr>
          <w:b/>
          <w:bCs w:val="0"/>
        </w:rPr>
        <w:t>Review Authority:</w:t>
      </w:r>
      <w:r w:rsidRPr="003625BB">
        <w:t xml:space="preserve"> Mario Mata, </w:t>
      </w:r>
      <w:r w:rsidR="00D56E08" w:rsidRPr="003625BB">
        <w:t>N</w:t>
      </w:r>
      <w:r w:rsidR="00D56E08">
        <w:t>atrual Resource</w:t>
      </w:r>
      <w:r w:rsidR="00D071AF">
        <w:t>s</w:t>
      </w:r>
      <w:r w:rsidR="00D56E08">
        <w:t xml:space="preserve"> Management</w:t>
      </w:r>
      <w:r w:rsidR="00D56E08" w:rsidRPr="003625BB">
        <w:t xml:space="preserve"> </w:t>
      </w:r>
      <w:r w:rsidRPr="003625BB">
        <w:t>Mitigation Point of Contact</w:t>
      </w:r>
      <w:r w:rsidR="004D3590" w:rsidRPr="00EA7288">
        <mc:AlternateContent>
          <mc:Choice Requires="wps">
            <w:drawing>
              <wp:anchor distT="0" distB="0" distL="114300" distR="114300" simplePos="0" relativeHeight="251658240" behindDoc="1" locked="1" layoutInCell="1" allowOverlap="1" wp14:anchorId="165AE959" wp14:editId="33029A46">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EFE4B"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2"/>
    </w:p>
    <w:bookmarkStart w:id="3"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6C025956" w14:textId="77777777" w:rsidR="00AA10E8" w:rsidRDefault="00AA10E8" w:rsidP="00AA10E8">
          <w:pPr>
            <w:pStyle w:val="TOCHeading"/>
          </w:pPr>
          <w:r>
            <w:t>Contents</w:t>
          </w:r>
        </w:p>
        <w:p w14:paraId="7B7BD7DE" w14:textId="6902871C" w:rsidR="00124546" w:rsidRDefault="00EB3C3E">
          <w:pPr>
            <w:pStyle w:val="TOC1"/>
            <w:rPr>
              <w:rFonts w:asciiTheme="minorHAnsi" w:eastAsiaTheme="minorEastAsia" w:hAnsiTheme="minorHAnsi" w:cstheme="minorBidi"/>
              <w:bCs w:val="0"/>
              <w:kern w:val="2"/>
              <w14:ligatures w14:val="standardContextual"/>
            </w:rPr>
          </w:pPr>
          <w:r>
            <w:fldChar w:fldCharType="begin"/>
          </w:r>
          <w:r>
            <w:instrText xml:space="preserve"> TOC \o "1-4" \h \z \u </w:instrText>
          </w:r>
          <w:r>
            <w:fldChar w:fldCharType="separate"/>
          </w:r>
          <w:hyperlink w:anchor="_Toc222485201" w:history="1">
            <w:r w:rsidR="00124546" w:rsidRPr="009858DC">
              <w:rPr>
                <w:rStyle w:val="Hyperlink"/>
              </w:rPr>
              <w:t>Standard Operating Procedure: Acquiring and or Purchasing Section 404 Compensatory Mitigation Credits</w:t>
            </w:r>
            <w:r w:rsidR="00124546">
              <w:rPr>
                <w:webHidden/>
              </w:rPr>
              <w:tab/>
            </w:r>
            <w:r w:rsidR="00124546">
              <w:rPr>
                <w:webHidden/>
              </w:rPr>
              <w:fldChar w:fldCharType="begin"/>
            </w:r>
            <w:r w:rsidR="00124546">
              <w:rPr>
                <w:webHidden/>
              </w:rPr>
              <w:instrText xml:space="preserve"> PAGEREF _Toc222485201 \h </w:instrText>
            </w:r>
            <w:r w:rsidR="00124546">
              <w:rPr>
                <w:webHidden/>
              </w:rPr>
            </w:r>
            <w:r w:rsidR="00124546">
              <w:rPr>
                <w:webHidden/>
              </w:rPr>
              <w:fldChar w:fldCharType="separate"/>
            </w:r>
            <w:r w:rsidR="00124546">
              <w:rPr>
                <w:webHidden/>
              </w:rPr>
              <w:t>1</w:t>
            </w:r>
            <w:r w:rsidR="00124546">
              <w:rPr>
                <w:webHidden/>
              </w:rPr>
              <w:fldChar w:fldCharType="end"/>
            </w:r>
          </w:hyperlink>
        </w:p>
        <w:p w14:paraId="591568B1" w14:textId="0664E973" w:rsidR="00124546" w:rsidRDefault="00124546">
          <w:pPr>
            <w:pStyle w:val="TOC2"/>
            <w:tabs>
              <w:tab w:val="right" w:leader="dot" w:pos="9350"/>
            </w:tabs>
            <w:rPr>
              <w:rFonts w:eastAsiaTheme="minorEastAsia"/>
              <w:noProof/>
              <w:szCs w:val="24"/>
            </w:rPr>
          </w:pPr>
          <w:hyperlink w:anchor="_Toc222485202" w:history="1">
            <w:r w:rsidRPr="009858DC">
              <w:rPr>
                <w:rStyle w:val="Hyperlink"/>
                <w:noProof/>
              </w:rPr>
              <w:t>1.0 Purpose of this Standard Operating Procedure</w:t>
            </w:r>
            <w:r>
              <w:rPr>
                <w:noProof/>
                <w:webHidden/>
              </w:rPr>
              <w:tab/>
            </w:r>
            <w:r>
              <w:rPr>
                <w:noProof/>
                <w:webHidden/>
              </w:rPr>
              <w:fldChar w:fldCharType="begin"/>
            </w:r>
            <w:r>
              <w:rPr>
                <w:noProof/>
                <w:webHidden/>
              </w:rPr>
              <w:instrText xml:space="preserve"> PAGEREF _Toc222485202 \h </w:instrText>
            </w:r>
            <w:r>
              <w:rPr>
                <w:noProof/>
                <w:webHidden/>
              </w:rPr>
            </w:r>
            <w:r>
              <w:rPr>
                <w:noProof/>
                <w:webHidden/>
              </w:rPr>
              <w:fldChar w:fldCharType="separate"/>
            </w:r>
            <w:r>
              <w:rPr>
                <w:noProof/>
                <w:webHidden/>
              </w:rPr>
              <w:t>2</w:t>
            </w:r>
            <w:r>
              <w:rPr>
                <w:noProof/>
                <w:webHidden/>
              </w:rPr>
              <w:fldChar w:fldCharType="end"/>
            </w:r>
          </w:hyperlink>
        </w:p>
        <w:p w14:paraId="255E30AF" w14:textId="41F29BD2" w:rsidR="00124546" w:rsidRDefault="00124546">
          <w:pPr>
            <w:pStyle w:val="TOC2"/>
            <w:tabs>
              <w:tab w:val="right" w:leader="dot" w:pos="9350"/>
            </w:tabs>
            <w:rPr>
              <w:rFonts w:eastAsiaTheme="minorEastAsia"/>
              <w:noProof/>
              <w:szCs w:val="24"/>
            </w:rPr>
          </w:pPr>
          <w:hyperlink w:anchor="_Toc222485203" w:history="1">
            <w:r w:rsidRPr="009858DC">
              <w:rPr>
                <w:rStyle w:val="Hyperlink"/>
                <w:noProof/>
              </w:rPr>
              <w:t>2.0 Subject Overview</w:t>
            </w:r>
            <w:r>
              <w:rPr>
                <w:noProof/>
                <w:webHidden/>
              </w:rPr>
              <w:tab/>
            </w:r>
            <w:r>
              <w:rPr>
                <w:noProof/>
                <w:webHidden/>
              </w:rPr>
              <w:fldChar w:fldCharType="begin"/>
            </w:r>
            <w:r>
              <w:rPr>
                <w:noProof/>
                <w:webHidden/>
              </w:rPr>
              <w:instrText xml:space="preserve"> PAGEREF _Toc222485203 \h </w:instrText>
            </w:r>
            <w:r>
              <w:rPr>
                <w:noProof/>
                <w:webHidden/>
              </w:rPr>
            </w:r>
            <w:r>
              <w:rPr>
                <w:noProof/>
                <w:webHidden/>
              </w:rPr>
              <w:fldChar w:fldCharType="separate"/>
            </w:r>
            <w:r>
              <w:rPr>
                <w:noProof/>
                <w:webHidden/>
              </w:rPr>
              <w:t>2</w:t>
            </w:r>
            <w:r>
              <w:rPr>
                <w:noProof/>
                <w:webHidden/>
              </w:rPr>
              <w:fldChar w:fldCharType="end"/>
            </w:r>
          </w:hyperlink>
        </w:p>
        <w:p w14:paraId="297E7002" w14:textId="17B53B7D" w:rsidR="00124546" w:rsidRDefault="00124546">
          <w:pPr>
            <w:pStyle w:val="TOC2"/>
            <w:tabs>
              <w:tab w:val="right" w:leader="dot" w:pos="9350"/>
            </w:tabs>
            <w:rPr>
              <w:rFonts w:eastAsiaTheme="minorEastAsia"/>
              <w:noProof/>
              <w:szCs w:val="24"/>
            </w:rPr>
          </w:pPr>
          <w:hyperlink w:anchor="_Toc222485204" w:history="1">
            <w:r w:rsidRPr="009858DC">
              <w:rPr>
                <w:rStyle w:val="Hyperlink"/>
                <w:noProof/>
              </w:rPr>
              <w:t>3.0 Authorities</w:t>
            </w:r>
            <w:r>
              <w:rPr>
                <w:noProof/>
                <w:webHidden/>
              </w:rPr>
              <w:tab/>
            </w:r>
            <w:r>
              <w:rPr>
                <w:noProof/>
                <w:webHidden/>
              </w:rPr>
              <w:fldChar w:fldCharType="begin"/>
            </w:r>
            <w:r>
              <w:rPr>
                <w:noProof/>
                <w:webHidden/>
              </w:rPr>
              <w:instrText xml:space="preserve"> PAGEREF _Toc222485204 \h </w:instrText>
            </w:r>
            <w:r>
              <w:rPr>
                <w:noProof/>
                <w:webHidden/>
              </w:rPr>
            </w:r>
            <w:r>
              <w:rPr>
                <w:noProof/>
                <w:webHidden/>
              </w:rPr>
              <w:fldChar w:fldCharType="separate"/>
            </w:r>
            <w:r>
              <w:rPr>
                <w:noProof/>
                <w:webHidden/>
              </w:rPr>
              <w:t>3</w:t>
            </w:r>
            <w:r>
              <w:rPr>
                <w:noProof/>
                <w:webHidden/>
              </w:rPr>
              <w:fldChar w:fldCharType="end"/>
            </w:r>
          </w:hyperlink>
        </w:p>
        <w:p w14:paraId="729BCCAC" w14:textId="12C1B15C" w:rsidR="00124546" w:rsidRDefault="00124546">
          <w:pPr>
            <w:pStyle w:val="TOC2"/>
            <w:tabs>
              <w:tab w:val="right" w:leader="dot" w:pos="9350"/>
            </w:tabs>
            <w:rPr>
              <w:rFonts w:eastAsiaTheme="minorEastAsia"/>
              <w:noProof/>
              <w:szCs w:val="24"/>
            </w:rPr>
          </w:pPr>
          <w:hyperlink w:anchor="_Toc222485205" w:history="1">
            <w:r w:rsidRPr="009858DC">
              <w:rPr>
                <w:rStyle w:val="Hyperlink"/>
                <w:noProof/>
              </w:rPr>
              <w:t>4.0 Personnel</w:t>
            </w:r>
            <w:r>
              <w:rPr>
                <w:noProof/>
                <w:webHidden/>
              </w:rPr>
              <w:tab/>
            </w:r>
            <w:r>
              <w:rPr>
                <w:noProof/>
                <w:webHidden/>
              </w:rPr>
              <w:fldChar w:fldCharType="begin"/>
            </w:r>
            <w:r>
              <w:rPr>
                <w:noProof/>
                <w:webHidden/>
              </w:rPr>
              <w:instrText xml:space="preserve"> PAGEREF _Toc222485205 \h </w:instrText>
            </w:r>
            <w:r>
              <w:rPr>
                <w:noProof/>
                <w:webHidden/>
              </w:rPr>
            </w:r>
            <w:r>
              <w:rPr>
                <w:noProof/>
                <w:webHidden/>
              </w:rPr>
              <w:fldChar w:fldCharType="separate"/>
            </w:r>
            <w:r>
              <w:rPr>
                <w:noProof/>
                <w:webHidden/>
              </w:rPr>
              <w:t>3</w:t>
            </w:r>
            <w:r>
              <w:rPr>
                <w:noProof/>
                <w:webHidden/>
              </w:rPr>
              <w:fldChar w:fldCharType="end"/>
            </w:r>
          </w:hyperlink>
        </w:p>
        <w:p w14:paraId="5E07DB6B" w14:textId="2ABDD0D1" w:rsidR="00124546" w:rsidRDefault="00124546">
          <w:pPr>
            <w:pStyle w:val="TOC3"/>
            <w:tabs>
              <w:tab w:val="right" w:leader="dot" w:pos="9350"/>
            </w:tabs>
            <w:rPr>
              <w:rFonts w:eastAsiaTheme="minorEastAsia"/>
              <w:bCs w:val="0"/>
              <w:szCs w:val="24"/>
            </w:rPr>
          </w:pPr>
          <w:hyperlink w:anchor="_Toc222485206" w:history="1">
            <w:r w:rsidRPr="009858DC">
              <w:rPr>
                <w:rStyle w:val="Hyperlink"/>
              </w:rPr>
              <w:t>4.1 Procedure – Acquiring Mitigation Credits from the Texas Department of Transportation Mitigation Banks</w:t>
            </w:r>
            <w:r>
              <w:rPr>
                <w:webHidden/>
              </w:rPr>
              <w:tab/>
            </w:r>
            <w:r>
              <w:rPr>
                <w:webHidden/>
              </w:rPr>
              <w:fldChar w:fldCharType="begin"/>
            </w:r>
            <w:r>
              <w:rPr>
                <w:webHidden/>
              </w:rPr>
              <w:instrText xml:space="preserve"> PAGEREF _Toc222485206 \h </w:instrText>
            </w:r>
            <w:r>
              <w:rPr>
                <w:webHidden/>
              </w:rPr>
            </w:r>
            <w:r>
              <w:rPr>
                <w:webHidden/>
              </w:rPr>
              <w:fldChar w:fldCharType="separate"/>
            </w:r>
            <w:r>
              <w:rPr>
                <w:webHidden/>
              </w:rPr>
              <w:t>3</w:t>
            </w:r>
            <w:r>
              <w:rPr>
                <w:webHidden/>
              </w:rPr>
              <w:fldChar w:fldCharType="end"/>
            </w:r>
          </w:hyperlink>
        </w:p>
        <w:p w14:paraId="6E79784D" w14:textId="65399909" w:rsidR="00124546" w:rsidRDefault="00124546">
          <w:pPr>
            <w:pStyle w:val="TOC3"/>
            <w:tabs>
              <w:tab w:val="right" w:leader="dot" w:pos="9350"/>
            </w:tabs>
            <w:rPr>
              <w:rFonts w:eastAsiaTheme="minorEastAsia"/>
              <w:bCs w:val="0"/>
              <w:szCs w:val="24"/>
            </w:rPr>
          </w:pPr>
          <w:hyperlink w:anchor="_Toc222485207" w:history="1">
            <w:r w:rsidRPr="009858DC">
              <w:rPr>
                <w:rStyle w:val="Hyperlink"/>
              </w:rPr>
              <w:t>4.2 Procedure – Purchasing Third-Party Mitigation Credits with Right of Way Division Funds</w:t>
            </w:r>
            <w:r>
              <w:rPr>
                <w:webHidden/>
              </w:rPr>
              <w:tab/>
            </w:r>
            <w:r>
              <w:rPr>
                <w:webHidden/>
              </w:rPr>
              <w:fldChar w:fldCharType="begin"/>
            </w:r>
            <w:r>
              <w:rPr>
                <w:webHidden/>
              </w:rPr>
              <w:instrText xml:space="preserve"> PAGEREF _Toc222485207 \h </w:instrText>
            </w:r>
            <w:r>
              <w:rPr>
                <w:webHidden/>
              </w:rPr>
            </w:r>
            <w:r>
              <w:rPr>
                <w:webHidden/>
              </w:rPr>
              <w:fldChar w:fldCharType="separate"/>
            </w:r>
            <w:r>
              <w:rPr>
                <w:webHidden/>
              </w:rPr>
              <w:t>5</w:t>
            </w:r>
            <w:r>
              <w:rPr>
                <w:webHidden/>
              </w:rPr>
              <w:fldChar w:fldCharType="end"/>
            </w:r>
          </w:hyperlink>
        </w:p>
        <w:p w14:paraId="45091969" w14:textId="34AB8CCE" w:rsidR="00124546" w:rsidRDefault="00124546">
          <w:pPr>
            <w:pStyle w:val="TOC3"/>
            <w:tabs>
              <w:tab w:val="right" w:leader="dot" w:pos="9350"/>
            </w:tabs>
            <w:rPr>
              <w:rFonts w:eastAsiaTheme="minorEastAsia"/>
              <w:bCs w:val="0"/>
              <w:szCs w:val="24"/>
            </w:rPr>
          </w:pPr>
          <w:hyperlink w:anchor="_Toc222485208" w:history="1">
            <w:r w:rsidRPr="009858DC">
              <w:rPr>
                <w:rStyle w:val="Hyperlink"/>
              </w:rPr>
              <w:t>4.3 Procedure – Purchasing Third-Party Mitigation Credits with District Funds</w:t>
            </w:r>
            <w:r>
              <w:rPr>
                <w:webHidden/>
              </w:rPr>
              <w:tab/>
            </w:r>
            <w:r>
              <w:rPr>
                <w:webHidden/>
              </w:rPr>
              <w:fldChar w:fldCharType="begin"/>
            </w:r>
            <w:r>
              <w:rPr>
                <w:webHidden/>
              </w:rPr>
              <w:instrText xml:space="preserve"> PAGEREF _Toc222485208 \h </w:instrText>
            </w:r>
            <w:r>
              <w:rPr>
                <w:webHidden/>
              </w:rPr>
            </w:r>
            <w:r>
              <w:rPr>
                <w:webHidden/>
              </w:rPr>
              <w:fldChar w:fldCharType="separate"/>
            </w:r>
            <w:r>
              <w:rPr>
                <w:webHidden/>
              </w:rPr>
              <w:t>10</w:t>
            </w:r>
            <w:r>
              <w:rPr>
                <w:webHidden/>
              </w:rPr>
              <w:fldChar w:fldCharType="end"/>
            </w:r>
          </w:hyperlink>
        </w:p>
        <w:p w14:paraId="0920994E" w14:textId="6D9BF48D" w:rsidR="00124546" w:rsidRDefault="00124546">
          <w:pPr>
            <w:pStyle w:val="TOC2"/>
            <w:tabs>
              <w:tab w:val="right" w:leader="dot" w:pos="9350"/>
            </w:tabs>
            <w:rPr>
              <w:rFonts w:eastAsiaTheme="minorEastAsia"/>
              <w:noProof/>
              <w:szCs w:val="24"/>
            </w:rPr>
          </w:pPr>
          <w:hyperlink w:anchor="_Toc222485209" w:history="1">
            <w:r w:rsidRPr="009858DC">
              <w:rPr>
                <w:rStyle w:val="Hyperlink"/>
                <w:noProof/>
              </w:rPr>
              <w:t>5.0 Abbreviations and Acronyms</w:t>
            </w:r>
            <w:r>
              <w:rPr>
                <w:noProof/>
                <w:webHidden/>
              </w:rPr>
              <w:tab/>
            </w:r>
            <w:r>
              <w:rPr>
                <w:noProof/>
                <w:webHidden/>
              </w:rPr>
              <w:fldChar w:fldCharType="begin"/>
            </w:r>
            <w:r>
              <w:rPr>
                <w:noProof/>
                <w:webHidden/>
              </w:rPr>
              <w:instrText xml:space="preserve"> PAGEREF _Toc222485209 \h </w:instrText>
            </w:r>
            <w:r>
              <w:rPr>
                <w:noProof/>
                <w:webHidden/>
              </w:rPr>
            </w:r>
            <w:r>
              <w:rPr>
                <w:noProof/>
                <w:webHidden/>
              </w:rPr>
              <w:fldChar w:fldCharType="separate"/>
            </w:r>
            <w:r>
              <w:rPr>
                <w:noProof/>
                <w:webHidden/>
              </w:rPr>
              <w:t>15</w:t>
            </w:r>
            <w:r>
              <w:rPr>
                <w:noProof/>
                <w:webHidden/>
              </w:rPr>
              <w:fldChar w:fldCharType="end"/>
            </w:r>
          </w:hyperlink>
        </w:p>
        <w:p w14:paraId="1D75A4AF" w14:textId="07CA5C11" w:rsidR="00AA10E8" w:rsidRDefault="00124546" w:rsidP="00241FB8">
          <w:pPr>
            <w:pStyle w:val="TOC2"/>
            <w:tabs>
              <w:tab w:val="right" w:leader="dot" w:pos="9350"/>
            </w:tabs>
          </w:pPr>
          <w:hyperlink w:anchor="_Toc222485210" w:history="1">
            <w:r w:rsidRPr="009858DC">
              <w:rPr>
                <w:rStyle w:val="Hyperlink"/>
                <w:noProof/>
              </w:rPr>
              <w:t>Revision History</w:t>
            </w:r>
            <w:r>
              <w:rPr>
                <w:noProof/>
                <w:webHidden/>
              </w:rPr>
              <w:tab/>
            </w:r>
            <w:r>
              <w:rPr>
                <w:noProof/>
                <w:webHidden/>
              </w:rPr>
              <w:fldChar w:fldCharType="begin"/>
            </w:r>
            <w:r>
              <w:rPr>
                <w:noProof/>
                <w:webHidden/>
              </w:rPr>
              <w:instrText xml:space="preserve"> PAGEREF _Toc222485210 \h </w:instrText>
            </w:r>
            <w:r>
              <w:rPr>
                <w:noProof/>
                <w:webHidden/>
              </w:rPr>
            </w:r>
            <w:r>
              <w:rPr>
                <w:noProof/>
                <w:webHidden/>
              </w:rPr>
              <w:fldChar w:fldCharType="separate"/>
            </w:r>
            <w:r>
              <w:rPr>
                <w:noProof/>
                <w:webHidden/>
              </w:rPr>
              <w:t>17</w:t>
            </w:r>
            <w:r>
              <w:rPr>
                <w:noProof/>
                <w:webHidden/>
              </w:rPr>
              <w:fldChar w:fldCharType="end"/>
            </w:r>
          </w:hyperlink>
          <w:r w:rsidR="00EB3C3E">
            <w:rPr>
              <w:rFonts w:ascii="Verdana" w:eastAsia="MS Mincho" w:hAnsi="Verdana" w:cs="Traditional Arabic"/>
              <w:noProof/>
              <w:color w:val="0056A9"/>
              <w:kern w:val="0"/>
              <w:szCs w:val="28"/>
              <w14:ligatures w14:val="none"/>
            </w:rPr>
            <w:fldChar w:fldCharType="end"/>
          </w:r>
        </w:p>
      </w:sdtContent>
    </w:sdt>
    <w:p w14:paraId="453B9E46" w14:textId="32B87EC1" w:rsidR="00AA10E8" w:rsidRPr="00E22E30" w:rsidRDefault="00AA10E8">
      <w:pPr>
        <w:spacing w:after="0" w:line="240" w:lineRule="auto"/>
        <w:rPr>
          <w:rFonts w:asciiTheme="majorHAnsi" w:hAnsiTheme="majorHAnsi"/>
          <w:b/>
          <w:sz w:val="32"/>
          <w:szCs w:val="32"/>
        </w:rPr>
      </w:pPr>
      <w:r>
        <w:br w:type="page"/>
      </w:r>
    </w:p>
    <w:p w14:paraId="1B33AEF6" w14:textId="5870EBD6" w:rsidR="003D0A5B" w:rsidRPr="006B544A" w:rsidRDefault="00FF57DC" w:rsidP="006B544A">
      <w:pPr>
        <w:pStyle w:val="Heading2"/>
      </w:pPr>
      <w:bookmarkStart w:id="4" w:name="_Toc222485202"/>
      <w:r w:rsidRPr="006B544A">
        <w:lastRenderedPageBreak/>
        <w:t xml:space="preserve">1.0 </w:t>
      </w:r>
      <w:r w:rsidR="001533DC" w:rsidRPr="006B544A">
        <w:t>Purpose of this S</w:t>
      </w:r>
      <w:r w:rsidR="006B544A" w:rsidRPr="006B544A">
        <w:t>tandard Operating Procedure</w:t>
      </w:r>
      <w:bookmarkEnd w:id="4"/>
      <w:bookmarkEnd w:id="3"/>
    </w:p>
    <w:p w14:paraId="469DC9F1" w14:textId="079D61A6" w:rsidR="001533DC" w:rsidRDefault="001533DC" w:rsidP="00124546">
      <w:r>
        <w:t xml:space="preserve">This </w:t>
      </w:r>
      <w:r w:rsidR="006B544A">
        <w:t>s</w:t>
      </w:r>
      <w:r>
        <w:t xml:space="preserve">tandard </w:t>
      </w:r>
      <w:r w:rsidR="006B544A">
        <w:t>o</w:t>
      </w:r>
      <w:r>
        <w:t xml:space="preserve">perating </w:t>
      </w:r>
      <w:r w:rsidR="006B544A">
        <w:t>p</w:t>
      </w:r>
      <w:r>
        <w:t>rocedure (SOP) outlines the process for the department delegate to acquire wetland</w:t>
      </w:r>
      <w:r w:rsidR="006B544A">
        <w:t xml:space="preserve"> and or </w:t>
      </w:r>
      <w:r>
        <w:t>stream compensatory mitigation credits 1) from one of the three Texas Department of Transportation (TxDOT) mitigation banks, 2) by purchasing from a third-party mitigation bank using Right of Way</w:t>
      </w:r>
      <w:r w:rsidR="006B544A">
        <w:t xml:space="preserve"> Division (ROW)</w:t>
      </w:r>
      <w:r>
        <w:t xml:space="preserve"> funds, and or 3) by purchasing from a third third-party mitigation bank using district funds. The amount (in acres and or linear feet) and type of impact must be known prior to implementing this SOP. The project sponsor or department delegate may also reference the Section 404 Compensatory Mitigation Flowchart.</w:t>
      </w:r>
    </w:p>
    <w:p w14:paraId="28CBCA71" w14:textId="0985F212" w:rsidR="001C12E5" w:rsidRDefault="001533DC" w:rsidP="00124546">
      <w:r>
        <w:t>This SOP supersedes the Mitigation Procurement Policy Memorandum issued by Environmental Affairs Division (ENV) on June 17, 2013. This SOP also supersedes the Legislative Budget Board (LBB) Notification Process Memorandum issued on September 12, 2016. As of September 1, 2019, the LBB notification process is no longer required.</w:t>
      </w:r>
    </w:p>
    <w:p w14:paraId="2D2217EF" w14:textId="16BE6CAF" w:rsidR="001C12E5" w:rsidRDefault="001533DC" w:rsidP="001533DC">
      <w:pPr>
        <w:pStyle w:val="Heading2"/>
      </w:pPr>
      <w:bookmarkStart w:id="5" w:name="_Toc217895686"/>
      <w:bookmarkStart w:id="6" w:name="_Toc222485203"/>
      <w:r>
        <w:t>2.0</w:t>
      </w:r>
      <w:r w:rsidR="00FF57DC">
        <w:t xml:space="preserve"> </w:t>
      </w:r>
      <w:bookmarkEnd w:id="5"/>
      <w:r w:rsidRPr="001533DC">
        <w:t>Subject Overview</w:t>
      </w:r>
      <w:bookmarkEnd w:id="6"/>
    </w:p>
    <w:p w14:paraId="51576202" w14:textId="366F767E" w:rsidR="001533DC" w:rsidRDefault="001533DC" w:rsidP="00124546">
      <w:r>
        <w:t xml:space="preserve">Per the 2008 Final Compensatory Mitigation Rule, the United States Army Corps of Engineers (USACE) prefers the use of mitigation banks over permittee responsible mitigation when a project impacts waters of the U.S., including wetlands. Three single-user TxDOT mitigation banks (in other words, Anderson Tract Mitigation Bank, Blue Elbow Swamp, and Coastal Bottomlands Mitigation Bank) provide wetland credits for TxDOT on-system projects that are located within the mitigation banks’ service areas. Numerous USACE-approved third-party mitigation banks offer wetland and or stream credits for those projects that are not serviced by TxDOT’s three mitigation banks, and for those projects that are serviced by TxDOT’s mitigation banks but require stream credits. General location and credit information on TxDOT and third-party mitigation banks is available on the </w:t>
      </w:r>
      <w:r>
        <w:lastRenderedPageBreak/>
        <w:t xml:space="preserve">USACE’s </w:t>
      </w:r>
      <w:hyperlink r:id="rId15" w:history="1">
        <w:r w:rsidRPr="00C007A7">
          <w:rPr>
            <w:rStyle w:val="Hyperlink"/>
            <w:rFonts w:cstheme="minorBidi"/>
          </w:rPr>
          <w:t>Regulatory In-lieu Fee and Bank Information Tracking System (RIBITS) website</w:t>
        </w:r>
      </w:hyperlink>
      <w:r w:rsidR="00C007A7">
        <w:t xml:space="preserve">. </w:t>
      </w:r>
      <w:r>
        <w:t xml:space="preserve"> For specific, up-to-date information on any bank of interest, such as precise boundaries of the services areas or number and type of credits available, please contact the following:</w:t>
      </w:r>
    </w:p>
    <w:p w14:paraId="2057CFAA" w14:textId="17B36B91" w:rsidR="001533DC" w:rsidRPr="00C66B1A" w:rsidRDefault="001533DC" w:rsidP="00C66B1A">
      <w:pPr>
        <w:pStyle w:val="ListNumber"/>
      </w:pPr>
      <w:r w:rsidRPr="00C66B1A">
        <w:t xml:space="preserve">The Natural Resources Management (NRM) Mitigation </w:t>
      </w:r>
      <w:r w:rsidR="006B544A" w:rsidRPr="00C66B1A">
        <w:t>p</w:t>
      </w:r>
      <w:r w:rsidRPr="00C66B1A">
        <w:t xml:space="preserve">oint of </w:t>
      </w:r>
      <w:r w:rsidR="006B544A" w:rsidRPr="00C66B1A">
        <w:t>c</w:t>
      </w:r>
      <w:r w:rsidRPr="00C66B1A">
        <w:t xml:space="preserve">ontact (POC) for TxDOT’s mitigation banks </w:t>
      </w:r>
    </w:p>
    <w:p w14:paraId="0FFCFF39" w14:textId="2243503F" w:rsidR="001C12E5" w:rsidRPr="00C66B1A" w:rsidRDefault="001533DC" w:rsidP="00C66B1A">
      <w:pPr>
        <w:pStyle w:val="ListNumber"/>
      </w:pPr>
      <w:r w:rsidRPr="00C66B1A">
        <w:t>The mitigation bank sponsor for third-party mitigation banks</w:t>
      </w:r>
    </w:p>
    <w:p w14:paraId="0EBD4510" w14:textId="54467774" w:rsidR="00C007A7" w:rsidRDefault="00C007A7" w:rsidP="00C007A7">
      <w:pPr>
        <w:pStyle w:val="Heading2"/>
      </w:pPr>
      <w:bookmarkStart w:id="7" w:name="_Toc222485204"/>
      <w:r>
        <w:t xml:space="preserve">3.0 </w:t>
      </w:r>
      <w:r w:rsidRPr="00C007A7">
        <w:t>Authorities</w:t>
      </w:r>
      <w:bookmarkEnd w:id="7"/>
    </w:p>
    <w:p w14:paraId="30DAEEC1" w14:textId="7A8F6DFC" w:rsidR="001C12E5" w:rsidRDefault="00C007A7" w:rsidP="003D0A5B">
      <w:r w:rsidRPr="00C007A7">
        <w:t>The use of this SOP is Environmental Affairs Division (ENV) policy in accordance with the USACE’s 2008 Final Compensatory Mitigation Rule.</w:t>
      </w:r>
    </w:p>
    <w:p w14:paraId="11327DE2" w14:textId="4BD51C5C" w:rsidR="00C007A7" w:rsidRDefault="00C007A7" w:rsidP="00C007A7">
      <w:pPr>
        <w:pStyle w:val="Heading2"/>
      </w:pPr>
      <w:bookmarkStart w:id="8" w:name="_Toc222485205"/>
      <w:r>
        <w:t xml:space="preserve">4.0 </w:t>
      </w:r>
      <w:r w:rsidRPr="00C007A7">
        <w:t>Personnel</w:t>
      </w:r>
      <w:bookmarkEnd w:id="8"/>
    </w:p>
    <w:p w14:paraId="2214E5F9" w14:textId="62B40358" w:rsidR="00C007A7" w:rsidRDefault="00C007A7" w:rsidP="006B544A">
      <w:pPr>
        <w:rPr>
          <w:b/>
          <w:bCs/>
        </w:rPr>
      </w:pPr>
      <w:r w:rsidRPr="00C007A7">
        <w:t xml:space="preserve">The project sponsor or department delegate, Natural Resources Management (NRM) Mitigation </w:t>
      </w:r>
      <w:r w:rsidR="006B544A">
        <w:t>p</w:t>
      </w:r>
      <w:r w:rsidRPr="00C007A7">
        <w:t xml:space="preserve">oint of </w:t>
      </w:r>
      <w:r w:rsidR="006B544A">
        <w:t>c</w:t>
      </w:r>
      <w:r w:rsidRPr="00C007A7">
        <w:t>ontact (POC), Environmental Affairs Division (ENV) Director, R</w:t>
      </w:r>
      <w:r>
        <w:t xml:space="preserve">ight of Way </w:t>
      </w:r>
      <w:r w:rsidR="006B544A">
        <w:t xml:space="preserve">Division </w:t>
      </w:r>
      <w:r>
        <w:t>(R</w:t>
      </w:r>
      <w:r w:rsidRPr="00C007A7">
        <w:t>OW</w:t>
      </w:r>
      <w:r>
        <w:t>)</w:t>
      </w:r>
      <w:r w:rsidRPr="00C007A7">
        <w:t xml:space="preserve"> Director and POC, and General Counsel Division (GCD) POC have responsibilities in the following procedures</w:t>
      </w:r>
      <w:r w:rsidRPr="00C007A7">
        <w:rPr>
          <w:b/>
          <w:bCs/>
        </w:rPr>
        <w:t>.</w:t>
      </w:r>
    </w:p>
    <w:p w14:paraId="548D5174" w14:textId="111EF9ED" w:rsidR="00C007A7" w:rsidRPr="00C007A7" w:rsidRDefault="00C007A7" w:rsidP="00C007A7">
      <w:pPr>
        <w:pStyle w:val="Heading3"/>
      </w:pPr>
      <w:bookmarkStart w:id="9" w:name="_Ref221280951"/>
      <w:bookmarkStart w:id="10" w:name="_Toc222485206"/>
      <w:r>
        <w:t xml:space="preserve">4.1 </w:t>
      </w:r>
      <w:r w:rsidRPr="00C007A7">
        <w:t>Procedure – Acquiring Mitigation Credits from the T</w:t>
      </w:r>
      <w:r w:rsidR="007A24D4">
        <w:t>exas Department of Transportation</w:t>
      </w:r>
      <w:r w:rsidRPr="00C007A7">
        <w:t xml:space="preserve"> Mitigation Banks</w:t>
      </w:r>
      <w:bookmarkEnd w:id="9"/>
      <w:bookmarkEnd w:id="10"/>
    </w:p>
    <w:p w14:paraId="4C7AAEC0" w14:textId="30F4C4FA" w:rsidR="00C007A7" w:rsidRPr="00C007A7" w:rsidRDefault="00C007A7" w:rsidP="007A24D4">
      <w:pPr>
        <w:pStyle w:val="ListNumber"/>
        <w:numPr>
          <w:ilvl w:val="0"/>
          <w:numId w:val="4"/>
        </w:numPr>
        <w:ind w:left="540" w:hanging="540"/>
      </w:pPr>
      <w:r w:rsidRPr="00C007A7">
        <w:t xml:space="preserve">The project sponsor or department delegate reviews all banks on the </w:t>
      </w:r>
      <w:hyperlink r:id="rId16" w:history="1">
        <w:r w:rsidRPr="00C007A7">
          <w:rPr>
            <w:rStyle w:val="Hyperlink"/>
          </w:rPr>
          <w:t>RIBITS website</w:t>
        </w:r>
      </w:hyperlink>
      <w:r w:rsidRPr="00C007A7">
        <w:t xml:space="preserve"> or contacts the NRM Mitigation POC to ensure that the project area is serviced by one of TxDOT’s three mitigation banks (</w:t>
      </w:r>
      <w:r>
        <w:t>in other words</w:t>
      </w:r>
      <w:r w:rsidRPr="00C007A7">
        <w:t xml:space="preserve">, Anderson Tract Mitigation Bank, Blue Elbow Swamp, or Coastal Bottomlands Mitigation Bank). </w:t>
      </w:r>
    </w:p>
    <w:p w14:paraId="198ECCE6" w14:textId="4CD602E8" w:rsidR="00C007A7" w:rsidRPr="00C007A7" w:rsidRDefault="00C007A7" w:rsidP="00BC1AE2">
      <w:pPr>
        <w:pStyle w:val="ListNumber"/>
        <w:ind w:left="540" w:hanging="540"/>
      </w:pPr>
      <w:r w:rsidRPr="00C007A7">
        <w:t xml:space="preserve">The project sponsor or department delegate contacts the NRM Mitigation POC to ensure that credits are available at the TxDOT mitigation bank. If the project is an on-system project located within the service area of </w:t>
      </w:r>
      <w:r w:rsidRPr="00C007A7">
        <w:lastRenderedPageBreak/>
        <w:t>a TxDOT mitigation bank and appropriate credits are available, then the TxDOT bank must be used.</w:t>
      </w:r>
    </w:p>
    <w:p w14:paraId="16576288" w14:textId="0DE42E4E" w:rsidR="00C007A7" w:rsidRPr="00C007A7" w:rsidRDefault="00C007A7" w:rsidP="00BC1AE2">
      <w:pPr>
        <w:pStyle w:val="ListNumber"/>
        <w:ind w:left="540" w:hanging="540"/>
      </w:pPr>
      <w:r w:rsidRPr="00C007A7">
        <w:t>The project sponsor or department delegate submits the Section 404 permit to the USACE and proposes to withdraw credits from the appropriate TxDOT mitigation bank to offset any required mitigation.</w:t>
      </w:r>
    </w:p>
    <w:p w14:paraId="316BC01E" w14:textId="4AD088B3" w:rsidR="00C007A7" w:rsidRPr="00C007A7" w:rsidRDefault="00C007A7" w:rsidP="00BC1AE2">
      <w:pPr>
        <w:pStyle w:val="ListNumber"/>
        <w:ind w:left="540" w:hanging="540"/>
      </w:pPr>
      <w:r w:rsidRPr="00C007A7">
        <w:t>The project sponsor or department delegate receives the USACE authorization (</w:t>
      </w:r>
      <w:r>
        <w:t>in other words</w:t>
      </w:r>
      <w:r w:rsidRPr="00C007A7">
        <w:t>, verification or permit).</w:t>
      </w:r>
    </w:p>
    <w:p w14:paraId="0DB60808" w14:textId="1C94FD1D" w:rsidR="00C007A7" w:rsidRPr="00C007A7" w:rsidRDefault="00C007A7" w:rsidP="00BC1AE2">
      <w:pPr>
        <w:pStyle w:val="ListNumber"/>
        <w:ind w:left="540" w:hanging="540"/>
      </w:pPr>
      <w:r w:rsidRPr="00C007A7">
        <w:t>The project sponsor or department delegate requests the NRM Mitigation POC withdraw mitigation credits from the appropriate TxDOT mitigation bank, per the USACE authorization.</w:t>
      </w:r>
    </w:p>
    <w:p w14:paraId="1B5ED92D" w14:textId="5B8820E7" w:rsidR="00C007A7" w:rsidRPr="00C007A7" w:rsidRDefault="00C007A7" w:rsidP="00BC1AE2">
      <w:pPr>
        <w:pStyle w:val="ListNumber"/>
        <w:ind w:left="540" w:hanging="540"/>
      </w:pPr>
      <w:r w:rsidRPr="00C007A7">
        <w:t>The NRM Mitigation POC submits a cover letter and copy of the mitigation bank credit ledger reflecting the deduction to the USACE, per the USACE authorization, as documentation of compliance with the mitigation requirement.</w:t>
      </w:r>
    </w:p>
    <w:p w14:paraId="7499B73C" w14:textId="06AEEE1E" w:rsidR="00C007A7" w:rsidRDefault="00C007A7" w:rsidP="00BC1AE2">
      <w:pPr>
        <w:pStyle w:val="ListNumber"/>
        <w:ind w:left="540" w:hanging="540"/>
      </w:pPr>
      <w:r w:rsidRPr="00C007A7">
        <w:t>The project sponsor or department delegate must upload in Environmental Compliance Oversight System (ECOS) under the ECOS Activity – Perform Water Compensatory Mitigation, the letter from the NRM Mitigation POC, as documented evidence, that the mitigation has been completed.</w:t>
      </w:r>
    </w:p>
    <w:p w14:paraId="74E22382" w14:textId="1D2F0EC3" w:rsidR="00D704C5" w:rsidRDefault="00C007A7" w:rsidP="00C007A7">
      <w:pPr>
        <w:rPr>
          <w:b/>
          <w:bCs/>
        </w:rPr>
      </w:pPr>
      <w:r w:rsidRPr="00C007A7">
        <w:rPr>
          <w:b/>
          <w:bCs/>
        </w:rPr>
        <w:t>The procedure is complete.</w:t>
      </w:r>
    </w:p>
    <w:p w14:paraId="31561B6B" w14:textId="77777777" w:rsidR="00D704C5" w:rsidRDefault="00D704C5">
      <w:pPr>
        <w:spacing w:after="0" w:line="240" w:lineRule="auto"/>
        <w:rPr>
          <w:b/>
          <w:bCs/>
        </w:rPr>
      </w:pPr>
      <w:r>
        <w:rPr>
          <w:b/>
          <w:bCs/>
        </w:rPr>
        <w:br w:type="page"/>
      </w:r>
    </w:p>
    <w:p w14:paraId="55F00AFB" w14:textId="0EF73B90" w:rsidR="00C007A7" w:rsidRDefault="00C007A7" w:rsidP="00C007A7">
      <w:pPr>
        <w:pStyle w:val="Heading3"/>
      </w:pPr>
      <w:bookmarkStart w:id="11" w:name="_Toc222485207"/>
      <w:r>
        <w:lastRenderedPageBreak/>
        <w:t xml:space="preserve">4.2 </w:t>
      </w:r>
      <w:r w:rsidRPr="00C007A7">
        <w:t>Procedure – Purchasing Third-Party Mitigation Credits with R</w:t>
      </w:r>
      <w:r w:rsidR="007A24D4">
        <w:t>ight of Way Division</w:t>
      </w:r>
      <w:r w:rsidRPr="00C007A7">
        <w:t xml:space="preserve"> Funds</w:t>
      </w:r>
      <w:bookmarkEnd w:id="11"/>
    </w:p>
    <w:p w14:paraId="67AFD84E" w14:textId="58579CED" w:rsidR="00C007A7" w:rsidRDefault="00C007A7" w:rsidP="007A24D4">
      <w:pPr>
        <w:pStyle w:val="ListNumber"/>
        <w:numPr>
          <w:ilvl w:val="0"/>
          <w:numId w:val="5"/>
        </w:numPr>
        <w:ind w:left="540" w:hanging="540"/>
      </w:pPr>
      <w:r>
        <w:t xml:space="preserve">The project sponsor or department delegate reviews all banks on the </w:t>
      </w:r>
      <w:hyperlink r:id="rId17" w:history="1">
        <w:r w:rsidRPr="007A24D4">
          <w:rPr>
            <w:rStyle w:val="Hyperlink"/>
          </w:rPr>
          <w:t>RIBITS website</w:t>
        </w:r>
      </w:hyperlink>
      <w:r>
        <w:t xml:space="preserve"> to determine which mitigation bank service area(s) service(s) the proposed project location.</w:t>
      </w:r>
    </w:p>
    <w:p w14:paraId="600A2038" w14:textId="76D2FC87" w:rsidR="00C007A7" w:rsidRDefault="00C007A7" w:rsidP="00C007A7">
      <w:pPr>
        <w:pStyle w:val="ListNumber"/>
        <w:numPr>
          <w:ilvl w:val="1"/>
          <w:numId w:val="1"/>
        </w:numPr>
      </w:pPr>
      <w:r>
        <w:t xml:space="preserve">If the project is an on-system project located within the service area of a TxDOT mitigation bank and appropriate credits are available, then the TxDOT bank must be used. </w:t>
      </w:r>
      <w:r w:rsidR="007A24D4" w:rsidRPr="007A24D4">
        <w:rPr>
          <w:color w:val="0056A9" w:themeColor="accent1"/>
          <w:u w:val="single"/>
        </w:rPr>
        <w:fldChar w:fldCharType="begin"/>
      </w:r>
      <w:r w:rsidR="007A24D4" w:rsidRPr="007A24D4">
        <w:rPr>
          <w:color w:val="0056A9" w:themeColor="accent1"/>
          <w:u w:val="single"/>
        </w:rPr>
        <w:instrText xml:space="preserve"> REF _Ref221280951 \h </w:instrText>
      </w:r>
      <w:r w:rsidR="007A24D4" w:rsidRPr="007A24D4">
        <w:rPr>
          <w:color w:val="0056A9" w:themeColor="accent1"/>
          <w:u w:val="single"/>
        </w:rPr>
      </w:r>
      <w:r w:rsidR="007A24D4" w:rsidRPr="007A24D4">
        <w:rPr>
          <w:color w:val="0056A9" w:themeColor="accent1"/>
          <w:u w:val="single"/>
        </w:rPr>
        <w:fldChar w:fldCharType="separate"/>
      </w:r>
      <w:r w:rsidR="007A24D4" w:rsidRPr="007A24D4">
        <w:rPr>
          <w:color w:val="0056A9" w:themeColor="accent1"/>
          <w:u w:val="single"/>
        </w:rPr>
        <w:t>4.1 Procedure</w:t>
      </w:r>
      <w:r w:rsidR="007A24D4" w:rsidRPr="007A24D4">
        <w:rPr>
          <w:color w:val="0056A9" w:themeColor="accent1"/>
          <w:u w:val="single"/>
        </w:rPr>
        <w:fldChar w:fldCharType="end"/>
      </w:r>
      <w:r>
        <w:t>, above.</w:t>
      </w:r>
    </w:p>
    <w:p w14:paraId="7F82F628" w14:textId="392934B7" w:rsidR="00C007A7" w:rsidRDefault="00C007A7" w:rsidP="00C007A7">
      <w:pPr>
        <w:pStyle w:val="ListNumber"/>
        <w:numPr>
          <w:ilvl w:val="1"/>
          <w:numId w:val="1"/>
        </w:numPr>
      </w:pPr>
      <w:r>
        <w:t>Note that credits may be acquired</w:t>
      </w:r>
      <w:r w:rsidR="007A24D4">
        <w:t xml:space="preserve"> and or </w:t>
      </w:r>
      <w:r>
        <w:t>purchased from multiple mitigation banks to satisfy project mitigation requirements identified in the USACE authorization.</w:t>
      </w:r>
    </w:p>
    <w:p w14:paraId="5E2A595C" w14:textId="5E7C494F" w:rsidR="00C007A7" w:rsidRDefault="00C007A7" w:rsidP="007A24D4">
      <w:pPr>
        <w:pStyle w:val="ListNumber"/>
        <w:ind w:left="540" w:hanging="540"/>
      </w:pPr>
      <w:r>
        <w:t>The project sponsor or department delegate determines the number of mitigation credits needed for purchase from all banks that service the project area. It should be noted that there may be any number of banks servicing a given project area, ranging from none to many. If there are no banks servicing the project area, the project sponsor or department delegate must consider other options, such as use of an out-of-area bank or permittee-responsible mitigation, and this SOP may not apply.</w:t>
      </w:r>
    </w:p>
    <w:p w14:paraId="19B30FF1" w14:textId="788D0E1E" w:rsidR="00C007A7" w:rsidRDefault="00C007A7" w:rsidP="00C007A7">
      <w:pPr>
        <w:pStyle w:val="ListNumber"/>
        <w:numPr>
          <w:ilvl w:val="1"/>
          <w:numId w:val="1"/>
        </w:numPr>
      </w:pPr>
      <w:r>
        <w:t>A conditional and</w:t>
      </w:r>
      <w:r w:rsidR="007A24D4">
        <w:t xml:space="preserve"> </w:t>
      </w:r>
      <w:r>
        <w:t>or functional assessment of the impact area may be necessary to determine the number and type of credits required for mitigation using a non-heritage</w:t>
      </w:r>
      <w:r w:rsidR="007A24D4">
        <w:t xml:space="preserve"> or</w:t>
      </w:r>
      <w:r>
        <w:t xml:space="preserve"> legacy bank. The type of conditional and</w:t>
      </w:r>
      <w:r w:rsidR="007A24D4">
        <w:t xml:space="preserve"> </w:t>
      </w:r>
      <w:r>
        <w:t>or functional assessment performed must match the assessment methodology used to establish the bank(s), or the results of the performed assessment must be able to be converted to the assessment methodology the bank(s) using a conversion rate or rates approved by the USACE.</w:t>
      </w:r>
    </w:p>
    <w:p w14:paraId="05774B26" w14:textId="588DF809" w:rsidR="00C007A7" w:rsidRDefault="00C007A7" w:rsidP="00C007A7">
      <w:pPr>
        <w:pStyle w:val="ListNumber"/>
        <w:numPr>
          <w:ilvl w:val="1"/>
          <w:numId w:val="1"/>
        </w:numPr>
      </w:pPr>
      <w:r>
        <w:t xml:space="preserve">Calculate the number of </w:t>
      </w:r>
      <w:r w:rsidR="00BB58C0">
        <w:t>credits</w:t>
      </w:r>
      <w:r>
        <w:t xml:space="preserve"> by type, needed based on the formula in the mitigation banking instrument (MBI). The number of </w:t>
      </w:r>
      <w:r>
        <w:lastRenderedPageBreak/>
        <w:t>credits, by type, must be determined and</w:t>
      </w:r>
      <w:r w:rsidR="007A24D4">
        <w:t xml:space="preserve"> </w:t>
      </w:r>
      <w:r>
        <w:t>or verified by the project sponsor or department delegate.</w:t>
      </w:r>
    </w:p>
    <w:p w14:paraId="4C8AA5EE" w14:textId="21FA7C87" w:rsidR="00C007A7" w:rsidRDefault="00C007A7" w:rsidP="007A24D4">
      <w:pPr>
        <w:pStyle w:val="ListNumber"/>
        <w:ind w:left="540" w:hanging="540"/>
      </w:pPr>
      <w:bookmarkStart w:id="12" w:name="_Ref221280847"/>
      <w:r>
        <w:t>The project sponsor or department delegate solicits bids (i</w:t>
      </w:r>
      <w:r w:rsidR="007A24D4">
        <w:t>n other words</w:t>
      </w:r>
      <w:r>
        <w:t>, draft mitigation bank agreements that exhibit cost per credit, by type) from all mitigation banks that service the project area, regardless of what service area (i</w:t>
      </w:r>
      <w:r w:rsidR="007A24D4">
        <w:t>n other words</w:t>
      </w:r>
      <w:r>
        <w:t>, primary, secondary, or tertiary) the project is located within, and have the appropriate number and type of credits available.</w:t>
      </w:r>
      <w:bookmarkEnd w:id="12"/>
    </w:p>
    <w:p w14:paraId="7E0C6CFB" w14:textId="668A5A4A" w:rsidR="00C007A7" w:rsidRDefault="00C007A7" w:rsidP="00C007A7">
      <w:pPr>
        <w:pStyle w:val="ListNumber"/>
        <w:numPr>
          <w:ilvl w:val="1"/>
          <w:numId w:val="1"/>
        </w:numPr>
      </w:pPr>
      <w:r>
        <w:t>Contact each mitigation bank that services the project area.</w:t>
      </w:r>
    </w:p>
    <w:p w14:paraId="3DBDCB00" w14:textId="308530BE" w:rsidR="00C007A7" w:rsidRDefault="00C007A7" w:rsidP="00C007A7">
      <w:pPr>
        <w:pStyle w:val="ListNumber"/>
        <w:numPr>
          <w:ilvl w:val="1"/>
          <w:numId w:val="1"/>
        </w:numPr>
      </w:pPr>
      <w:r>
        <w:t>Determine whether the mitigation bank has the appropriate number and type of credits available.</w:t>
      </w:r>
    </w:p>
    <w:p w14:paraId="3521958B" w14:textId="74A752FF" w:rsidR="00C007A7" w:rsidRDefault="00C007A7" w:rsidP="00C007A7">
      <w:pPr>
        <w:pStyle w:val="ListNumber"/>
        <w:numPr>
          <w:ilvl w:val="1"/>
          <w:numId w:val="1"/>
        </w:numPr>
      </w:pPr>
      <w:r>
        <w:t xml:space="preserve">Determine the cost per credit, by type, and request total mitigation cost </w:t>
      </w:r>
      <w:r w:rsidR="007A24D4">
        <w:t>(in other words,</w:t>
      </w:r>
      <w:r>
        <w:t xml:space="preserve"> a bid) for all necessary credits, by type.</w:t>
      </w:r>
    </w:p>
    <w:p w14:paraId="6472C777" w14:textId="33B7F1BF" w:rsidR="00C007A7" w:rsidRDefault="00C007A7" w:rsidP="007A24D4">
      <w:pPr>
        <w:pStyle w:val="ListNumber"/>
        <w:ind w:left="540" w:hanging="540"/>
      </w:pPr>
      <w:r>
        <w:t>Select the best value (i</w:t>
      </w:r>
      <w:r w:rsidR="007A24D4">
        <w:t>n other words</w:t>
      </w:r>
      <w:r>
        <w:t>, lowest cost) mitigation option after analyzing all offers.</w:t>
      </w:r>
    </w:p>
    <w:p w14:paraId="225B157F" w14:textId="270B933A" w:rsidR="00C007A7" w:rsidRDefault="00C007A7" w:rsidP="00C007A7">
      <w:pPr>
        <w:pStyle w:val="ListNumber"/>
        <w:numPr>
          <w:ilvl w:val="1"/>
          <w:numId w:val="1"/>
        </w:numPr>
      </w:pPr>
      <w:r>
        <w:t xml:space="preserve">Use the Best Value Mitigation Table Template available on the </w:t>
      </w:r>
      <w:hyperlink r:id="rId18" w:history="1">
        <w:r w:rsidRPr="00FB68A1">
          <w:rPr>
            <w:rStyle w:val="Hyperlink"/>
          </w:rPr>
          <w:t>ENV Toolkit</w:t>
        </w:r>
      </w:hyperlink>
      <w:r>
        <w:t xml:space="preserve"> page to create a table providing information on all mitigation banks that service the project area. Note that the example tab in the Best Value Mitigation Table Template provides a completed example for reference.</w:t>
      </w:r>
    </w:p>
    <w:p w14:paraId="1B5466E1" w14:textId="1098EE73" w:rsidR="00C007A7" w:rsidRDefault="00C007A7" w:rsidP="00C007A7">
      <w:pPr>
        <w:pStyle w:val="ListNumber"/>
        <w:numPr>
          <w:ilvl w:val="1"/>
          <w:numId w:val="1"/>
        </w:numPr>
      </w:pPr>
      <w:r>
        <w:t>Review all information and select the best value mitigation option based on total cost.</w:t>
      </w:r>
    </w:p>
    <w:p w14:paraId="0FFB92FE" w14:textId="60B1774A" w:rsidR="00C007A7" w:rsidRDefault="00C007A7" w:rsidP="00C007A7">
      <w:pPr>
        <w:pStyle w:val="ListNumber"/>
        <w:numPr>
          <w:ilvl w:val="1"/>
          <w:numId w:val="1"/>
        </w:numPr>
      </w:pPr>
      <w:r>
        <w:t xml:space="preserve">Include the Best Value Mitigation Table with the draft mitigation agreement identified in </w:t>
      </w:r>
      <w:r w:rsidR="00131FAA">
        <w:t xml:space="preserve">number </w:t>
      </w:r>
      <w:r w:rsidR="007A24D4" w:rsidRPr="007A24D4">
        <w:rPr>
          <w:color w:val="0056A9" w:themeColor="accent1"/>
          <w:u w:val="single"/>
        </w:rPr>
        <w:fldChar w:fldCharType="begin"/>
      </w:r>
      <w:r w:rsidR="007A24D4" w:rsidRPr="007A24D4">
        <w:rPr>
          <w:color w:val="0056A9" w:themeColor="accent1"/>
          <w:u w:val="single"/>
        </w:rPr>
        <w:instrText xml:space="preserve"> REF _Ref221280847 \r \h </w:instrText>
      </w:r>
      <w:r w:rsidR="007A24D4" w:rsidRPr="007A24D4">
        <w:rPr>
          <w:color w:val="0056A9" w:themeColor="accent1"/>
          <w:u w:val="single"/>
        </w:rPr>
      </w:r>
      <w:r w:rsidR="007A24D4" w:rsidRPr="007A24D4">
        <w:rPr>
          <w:color w:val="0056A9" w:themeColor="accent1"/>
          <w:u w:val="single"/>
        </w:rPr>
        <w:fldChar w:fldCharType="separate"/>
      </w:r>
      <w:r w:rsidR="007A24D4" w:rsidRPr="007A24D4">
        <w:rPr>
          <w:color w:val="0056A9" w:themeColor="accent1"/>
          <w:u w:val="single"/>
        </w:rPr>
        <w:t>3</w:t>
      </w:r>
      <w:r w:rsidR="007A24D4" w:rsidRPr="007A24D4">
        <w:rPr>
          <w:color w:val="0056A9" w:themeColor="accent1"/>
          <w:u w:val="single"/>
        </w:rPr>
        <w:fldChar w:fldCharType="end"/>
      </w:r>
      <w:r>
        <w:t>, above.</w:t>
      </w:r>
    </w:p>
    <w:p w14:paraId="4142D82A" w14:textId="2E883D10" w:rsidR="00C007A7" w:rsidRDefault="00C007A7" w:rsidP="007A24D4">
      <w:pPr>
        <w:pStyle w:val="ListNumber"/>
        <w:ind w:left="540" w:hanging="540"/>
      </w:pPr>
      <w:r>
        <w:t>The project sponsor or department delegate submits the draft mitigation agreement(s), associated table, and selected option(s) with any necessary explanation other than cost via email to the General Counsel Division (GCD) POC and the NRM Mitigation POC.</w:t>
      </w:r>
    </w:p>
    <w:p w14:paraId="3C6B9E72" w14:textId="563C49FA" w:rsidR="00C007A7" w:rsidRDefault="00C007A7" w:rsidP="007A24D4">
      <w:pPr>
        <w:pStyle w:val="ListNumber"/>
        <w:ind w:left="540" w:hanging="540"/>
      </w:pPr>
      <w:r>
        <w:t xml:space="preserve">The project sponsor or department delegate addresses GCD’s comments on the mitigation agreement(s) by facilitating resolution of disputes </w:t>
      </w:r>
      <w:r>
        <w:lastRenderedPageBreak/>
        <w:t>pertaining to legalese between the GCD POC and the mitigation bank POC(s).</w:t>
      </w:r>
    </w:p>
    <w:p w14:paraId="07AA576E" w14:textId="2A002174" w:rsidR="00C007A7" w:rsidRDefault="00C007A7" w:rsidP="007A24D4">
      <w:pPr>
        <w:pStyle w:val="ListNumber"/>
        <w:ind w:left="540" w:hanging="540"/>
      </w:pPr>
      <w:r>
        <w:t>The project sponsor or department delegate submits a mitigation memo packet to the ROW and ENV Division Directors and copies the ROW POC and NRM Mitigation POC via DocuSign. The ROW Division Director signs first and the ENV Division Director signs second. All other POCs must also receive final signed copies of the documents via DocuSign. The following information must be included in the mitigation memo packet:</w:t>
      </w:r>
    </w:p>
    <w:p w14:paraId="2CE8CC89" w14:textId="22DA3B14" w:rsidR="00C007A7" w:rsidRDefault="00C007A7" w:rsidP="00C007A7">
      <w:pPr>
        <w:pStyle w:val="ListNumber"/>
        <w:numPr>
          <w:ilvl w:val="1"/>
          <w:numId w:val="1"/>
        </w:numPr>
      </w:pPr>
      <w:r>
        <w:t>A transmittal memo detailing the proposed mitigation option that is drafted for signature.</w:t>
      </w:r>
    </w:p>
    <w:p w14:paraId="79FB78BC" w14:textId="26D4B2CE" w:rsidR="00C007A7" w:rsidRDefault="00C007A7" w:rsidP="00C007A7">
      <w:pPr>
        <w:pStyle w:val="ListNumber"/>
        <w:numPr>
          <w:ilvl w:val="1"/>
          <w:numId w:val="1"/>
        </w:numPr>
      </w:pPr>
      <w:r>
        <w:t>A request for payment from ROW to purchase the mitigation credits.</w:t>
      </w:r>
    </w:p>
    <w:p w14:paraId="3F53C3C0" w14:textId="05278B67" w:rsidR="00C007A7" w:rsidRDefault="00C007A7" w:rsidP="00C007A7">
      <w:pPr>
        <w:pStyle w:val="ListNumber"/>
        <w:numPr>
          <w:ilvl w:val="1"/>
          <w:numId w:val="1"/>
        </w:numPr>
      </w:pPr>
      <w:r>
        <w:t>The Best Value Mitigation Table showing justification for bank(s) selection.</w:t>
      </w:r>
    </w:p>
    <w:p w14:paraId="0B89758B" w14:textId="514F79A9" w:rsidR="00C007A7" w:rsidRDefault="00C007A7" w:rsidP="00C007A7">
      <w:pPr>
        <w:pStyle w:val="ListNumber"/>
        <w:numPr>
          <w:ilvl w:val="1"/>
          <w:numId w:val="1"/>
        </w:numPr>
      </w:pPr>
      <w:r>
        <w:t>A statement verifying that a TxDOT mitigation bank was not available for mitigation purposes on this project because 1) the project is off-system, 2) no TxDOT mitigation bank services the project area, and</w:t>
      </w:r>
      <w:r w:rsidR="007A24D4">
        <w:t xml:space="preserve"> </w:t>
      </w:r>
      <w:r>
        <w:t>or 3) the necessary number and</w:t>
      </w:r>
      <w:r w:rsidR="007A24D4">
        <w:t xml:space="preserve"> </w:t>
      </w:r>
      <w:r>
        <w:t xml:space="preserve">or type of credits are not available. </w:t>
      </w:r>
    </w:p>
    <w:p w14:paraId="336F1257" w14:textId="17C4D8D0" w:rsidR="00C007A7" w:rsidRDefault="00C007A7" w:rsidP="00C007A7">
      <w:pPr>
        <w:pStyle w:val="ListNumber"/>
        <w:numPr>
          <w:ilvl w:val="1"/>
          <w:numId w:val="1"/>
        </w:numPr>
      </w:pPr>
      <w:r>
        <w:t>A copy of the draft mitigation agreement(s) (without signatures) from the mitigation bank(s).</w:t>
      </w:r>
    </w:p>
    <w:p w14:paraId="471F59F7" w14:textId="58F571E4" w:rsidR="00C007A7" w:rsidRDefault="00C007A7" w:rsidP="00C007A7">
      <w:pPr>
        <w:pStyle w:val="ListNumber"/>
        <w:numPr>
          <w:ilvl w:val="1"/>
          <w:numId w:val="1"/>
        </w:numPr>
      </w:pPr>
      <w:r>
        <w:t>The following information, either included as a component of the mitigation bank agreement(s) or provided as additional information by the project sponsor or department delegate:</w:t>
      </w:r>
    </w:p>
    <w:p w14:paraId="18CB21B7" w14:textId="4A3C2258" w:rsidR="00C007A7" w:rsidRDefault="00C007A7" w:rsidP="007A24D4">
      <w:pPr>
        <w:pStyle w:val="ListNumber"/>
        <w:numPr>
          <w:ilvl w:val="2"/>
          <w:numId w:val="1"/>
        </w:numPr>
        <w:ind w:left="1710" w:hanging="630"/>
      </w:pPr>
      <w:r>
        <w:t>Project or Roadway Name</w:t>
      </w:r>
      <w:r w:rsidR="007A24D4">
        <w:t xml:space="preserve"> or </w:t>
      </w:r>
      <w:r>
        <w:t xml:space="preserve">Number </w:t>
      </w:r>
    </w:p>
    <w:p w14:paraId="43D919CF" w14:textId="795280D2" w:rsidR="00C007A7" w:rsidRDefault="00C007A7" w:rsidP="007A24D4">
      <w:pPr>
        <w:pStyle w:val="ListNumber"/>
        <w:numPr>
          <w:ilvl w:val="2"/>
          <w:numId w:val="1"/>
        </w:numPr>
        <w:ind w:left="1710" w:hanging="630"/>
      </w:pPr>
      <w:r>
        <w:t>County(ies) where the project is located</w:t>
      </w:r>
    </w:p>
    <w:p w14:paraId="7ABFFA1B" w14:textId="4DE06BF7" w:rsidR="00C007A7" w:rsidRDefault="00C007A7" w:rsidP="007A24D4">
      <w:pPr>
        <w:pStyle w:val="ListNumber"/>
        <w:numPr>
          <w:ilvl w:val="2"/>
          <w:numId w:val="1"/>
        </w:numPr>
        <w:ind w:left="1710" w:hanging="630"/>
      </w:pPr>
      <w:r>
        <w:t>Project Control Section Job Number (CSJ)</w:t>
      </w:r>
    </w:p>
    <w:p w14:paraId="31EACAD5" w14:textId="7CE84AAF" w:rsidR="00C007A7" w:rsidRDefault="00C007A7" w:rsidP="007A24D4">
      <w:pPr>
        <w:pStyle w:val="ListNumber"/>
        <w:numPr>
          <w:ilvl w:val="2"/>
          <w:numId w:val="1"/>
        </w:numPr>
        <w:ind w:left="1710" w:hanging="630"/>
      </w:pPr>
      <w:r>
        <w:t>USACE permit number and date of authorization, if applicable</w:t>
      </w:r>
    </w:p>
    <w:p w14:paraId="17740BF2" w14:textId="3F40E161" w:rsidR="00C007A7" w:rsidRDefault="00C007A7" w:rsidP="007A24D4">
      <w:pPr>
        <w:pStyle w:val="ListNumber"/>
        <w:numPr>
          <w:ilvl w:val="2"/>
          <w:numId w:val="1"/>
        </w:numPr>
        <w:ind w:left="1710" w:hanging="630"/>
      </w:pPr>
      <w:r>
        <w:t>Total amount of impacts in acres and</w:t>
      </w:r>
      <w:r w:rsidR="007A24D4">
        <w:t xml:space="preserve"> </w:t>
      </w:r>
      <w:r>
        <w:t>or linear feet by type of Waters of the U</w:t>
      </w:r>
      <w:r w:rsidR="007A24D4">
        <w:t>nited States</w:t>
      </w:r>
      <w:r>
        <w:t xml:space="preserve"> (WOTUS)</w:t>
      </w:r>
    </w:p>
    <w:p w14:paraId="59FB1017" w14:textId="72FEF9BB" w:rsidR="00C007A7" w:rsidRDefault="00C007A7" w:rsidP="007A24D4">
      <w:pPr>
        <w:pStyle w:val="ListNumber"/>
        <w:numPr>
          <w:ilvl w:val="2"/>
          <w:numId w:val="1"/>
        </w:numPr>
        <w:ind w:left="1710" w:hanging="630"/>
      </w:pPr>
      <w:r>
        <w:lastRenderedPageBreak/>
        <w:t>Total amount of impacts in acres and</w:t>
      </w:r>
      <w:r w:rsidR="007A24D4">
        <w:t xml:space="preserve"> </w:t>
      </w:r>
      <w:r>
        <w:t>or linear feet by single and complete crossing for all crossings requiring mitigation</w:t>
      </w:r>
    </w:p>
    <w:p w14:paraId="0FA51FA5" w14:textId="08D9E2EA" w:rsidR="00C007A7" w:rsidRDefault="00C007A7" w:rsidP="007A24D4">
      <w:pPr>
        <w:pStyle w:val="ListNumber"/>
        <w:numPr>
          <w:ilvl w:val="2"/>
          <w:numId w:val="1"/>
        </w:numPr>
        <w:ind w:left="1710" w:hanging="630"/>
      </w:pPr>
      <w:r>
        <w:t>Quality of WOTUS impacted, either presented using the high-medium-low profile or as the resulting score(s) of the appropriate USACE-approved conditional</w:t>
      </w:r>
      <w:r w:rsidR="007A24D4">
        <w:t xml:space="preserve"> and or </w:t>
      </w:r>
      <w:r>
        <w:t>functional assessment methodology</w:t>
      </w:r>
    </w:p>
    <w:p w14:paraId="4CBBB5E3" w14:textId="29E2E0E2" w:rsidR="00C007A7" w:rsidRDefault="00C007A7" w:rsidP="007A24D4">
      <w:pPr>
        <w:pStyle w:val="ListNumber"/>
        <w:numPr>
          <w:ilvl w:val="2"/>
          <w:numId w:val="1"/>
        </w:numPr>
        <w:ind w:left="1710" w:hanging="630"/>
      </w:pPr>
      <w:r>
        <w:t>Geographic service area(s) (i</w:t>
      </w:r>
      <w:r w:rsidR="007A24D4">
        <w:t>n other words</w:t>
      </w:r>
      <w:r>
        <w:t>, primary, secondary, or tertiary) servicing the project area and any applicable multiplier</w:t>
      </w:r>
    </w:p>
    <w:p w14:paraId="583DA11A" w14:textId="60EDD78C" w:rsidR="00C007A7" w:rsidRDefault="00C007A7" w:rsidP="007A24D4">
      <w:pPr>
        <w:pStyle w:val="ListNumber"/>
        <w:numPr>
          <w:ilvl w:val="2"/>
          <w:numId w:val="1"/>
        </w:numPr>
        <w:ind w:left="1710" w:hanging="630"/>
      </w:pPr>
      <w:r>
        <w:t>The applicable formula(s) for credit calculation, including the calculation itself (i</w:t>
      </w:r>
      <w:r w:rsidR="007A24D4">
        <w:t>n other words</w:t>
      </w:r>
      <w:r>
        <w:t>, show your work), along with written indication that the calculation was performed or verified by the project sponsor or department delegate</w:t>
      </w:r>
    </w:p>
    <w:p w14:paraId="4F5A41E7" w14:textId="1E892215" w:rsidR="00C007A7" w:rsidRDefault="00C007A7" w:rsidP="007A24D4">
      <w:pPr>
        <w:pStyle w:val="ListNumber"/>
        <w:numPr>
          <w:ilvl w:val="2"/>
          <w:numId w:val="1"/>
        </w:numPr>
        <w:ind w:left="1710" w:hanging="630"/>
      </w:pPr>
      <w:r>
        <w:t>Total cost for all credits, by cost per type of credit</w:t>
      </w:r>
    </w:p>
    <w:p w14:paraId="549F247E" w14:textId="1ED050C1" w:rsidR="00C007A7" w:rsidRDefault="00C007A7" w:rsidP="007A24D4">
      <w:pPr>
        <w:pStyle w:val="ListNumber"/>
        <w:ind w:left="540" w:hanging="540"/>
      </w:pPr>
      <w:r>
        <w:t>Once the mitigation memo packet documents are signed and the NRM Mitigation POC receives a signed copy, the NRM Mitigation POC notifies the project sponsor or department delegate that the mitigation banking agreement(s) can be signed.</w:t>
      </w:r>
    </w:p>
    <w:p w14:paraId="7847CCFD" w14:textId="2F4BAA0D" w:rsidR="00C007A7" w:rsidRDefault="00C007A7" w:rsidP="007A24D4">
      <w:pPr>
        <w:pStyle w:val="ListNumber"/>
        <w:ind w:left="540" w:hanging="540"/>
      </w:pPr>
      <w:r>
        <w:t>The District Engineer or Deputy District Engineer signs the mitigation banking agreement(s).</w:t>
      </w:r>
    </w:p>
    <w:p w14:paraId="758FF03B" w14:textId="23AB36A1" w:rsidR="00C007A7" w:rsidRDefault="00C007A7" w:rsidP="007A24D4">
      <w:pPr>
        <w:pStyle w:val="ListNumber"/>
        <w:ind w:left="540" w:hanging="540"/>
      </w:pPr>
      <w:r>
        <w:t>The ROW POC facilitates routing of the funds to the mitigation bank(s) for credit purchase.</w:t>
      </w:r>
    </w:p>
    <w:p w14:paraId="2DFFFE0C" w14:textId="20A12E40" w:rsidR="00C007A7" w:rsidRDefault="00C007A7" w:rsidP="007A24D4">
      <w:pPr>
        <w:pStyle w:val="ListNumber"/>
        <w:ind w:left="540" w:hanging="540"/>
      </w:pPr>
      <w:r>
        <w:t>The mitigation bank(s) provide(s) a letter to the USACE</w:t>
      </w:r>
      <w:r w:rsidR="007A24D4">
        <w:t xml:space="preserve">, </w:t>
      </w:r>
      <w:r>
        <w:t>project sponsor or department delegate indicating that the mitigation has been purchased. The letter must include sufficient detail to serve as a purchase receipt, as well as confirmation that the mitigation requirement associated with the USACE authorization has been satisfied.</w:t>
      </w:r>
    </w:p>
    <w:p w14:paraId="50C1DA84" w14:textId="358749C4" w:rsidR="00C007A7" w:rsidRDefault="00C007A7" w:rsidP="00BC1AE2">
      <w:pPr>
        <w:pStyle w:val="ListNumber"/>
        <w:numPr>
          <w:ilvl w:val="1"/>
          <w:numId w:val="1"/>
        </w:numPr>
      </w:pPr>
      <w:r>
        <w:t xml:space="preserve">The project sponsor or department delegate must upload in Environmental Compliance Oversight System (ECOS) under the ECOS Activity – Perform Water Compensatory Mitigation, the letter </w:t>
      </w:r>
      <w:r>
        <w:lastRenderedPageBreak/>
        <w:t>from the Mitigation Provider, as documented evidence, that the mitigation has been completed.</w:t>
      </w:r>
    </w:p>
    <w:p w14:paraId="37E8D0B9" w14:textId="3E610C31" w:rsidR="00C007A7" w:rsidRDefault="00C007A7" w:rsidP="007A24D4">
      <w:pPr>
        <w:pStyle w:val="ListNumber"/>
        <w:ind w:left="540" w:hanging="540"/>
      </w:pPr>
      <w:r>
        <w:t>The project sponsor or department delegate notifies the NRM Mitigation POC of the credit transaction, and the NRM Mitigation POC reflects the purchase in ENV’s mitigation tracking spreadsheet.</w:t>
      </w:r>
    </w:p>
    <w:p w14:paraId="07958B10" w14:textId="158F23A7" w:rsidR="00D704C5" w:rsidRDefault="00C007A7" w:rsidP="00C007A7">
      <w:pPr>
        <w:rPr>
          <w:b/>
          <w:bCs/>
        </w:rPr>
      </w:pPr>
      <w:r w:rsidRPr="00C007A7">
        <w:rPr>
          <w:b/>
          <w:bCs/>
        </w:rPr>
        <w:t>The procedure is complete.</w:t>
      </w:r>
    </w:p>
    <w:p w14:paraId="2F5785E6" w14:textId="77777777" w:rsidR="00D704C5" w:rsidRDefault="00D704C5">
      <w:pPr>
        <w:spacing w:after="0" w:line="240" w:lineRule="auto"/>
        <w:rPr>
          <w:b/>
          <w:bCs/>
        </w:rPr>
      </w:pPr>
      <w:r>
        <w:rPr>
          <w:b/>
          <w:bCs/>
        </w:rPr>
        <w:br w:type="page"/>
      </w:r>
    </w:p>
    <w:p w14:paraId="4395F445" w14:textId="218AD3E0" w:rsidR="00C007A7" w:rsidRDefault="00B803C4" w:rsidP="00B803C4">
      <w:pPr>
        <w:pStyle w:val="Heading3"/>
      </w:pPr>
      <w:bookmarkStart w:id="13" w:name="_Toc222485208"/>
      <w:r>
        <w:lastRenderedPageBreak/>
        <w:t xml:space="preserve">4.3 </w:t>
      </w:r>
      <w:r w:rsidR="00A841BB" w:rsidRPr="00A841BB">
        <w:t>Procedure – Purchasing Third-Party Mitigation Credits with District Funds</w:t>
      </w:r>
      <w:bookmarkEnd w:id="13"/>
    </w:p>
    <w:p w14:paraId="3BAAD0B3" w14:textId="59762A9A" w:rsidR="003E7E04" w:rsidRPr="003E7E04" w:rsidRDefault="003E7E04" w:rsidP="00C66B1A">
      <w:pPr>
        <w:pStyle w:val="ListNumber"/>
        <w:numPr>
          <w:ilvl w:val="0"/>
          <w:numId w:val="17"/>
        </w:numPr>
      </w:pPr>
      <w:r w:rsidRPr="003E7E04">
        <w:t xml:space="preserve">The project sponsor or department delegate reviews all banks on the </w:t>
      </w:r>
      <w:hyperlink r:id="rId19" w:history="1">
        <w:r w:rsidRPr="003E7E04">
          <w:rPr>
            <w:rStyle w:val="Hyperlink"/>
          </w:rPr>
          <w:t>RIBITS website</w:t>
        </w:r>
      </w:hyperlink>
      <w:r w:rsidRPr="003E7E04">
        <w:t xml:space="preserve"> to determine which mitigation bank service area(s) service(s) the proposed project location. </w:t>
      </w:r>
    </w:p>
    <w:p w14:paraId="23154A21" w14:textId="6FFA58F0" w:rsidR="003E7E04" w:rsidRPr="003E7E04" w:rsidRDefault="003E7E04" w:rsidP="00BC1AE2">
      <w:pPr>
        <w:pStyle w:val="ListNumber"/>
        <w:numPr>
          <w:ilvl w:val="1"/>
          <w:numId w:val="1"/>
        </w:numPr>
      </w:pPr>
      <w:r w:rsidRPr="003E7E04">
        <w:t xml:space="preserve">If the project is an on-system project located within the service area of a TxDOT mitigation bank and appropriate credits are available, then the TxDOT bank must be used. See </w:t>
      </w:r>
      <w:r w:rsidR="00082C51" w:rsidRPr="00BC1AE2">
        <w:fldChar w:fldCharType="begin"/>
      </w:r>
      <w:r w:rsidR="00082C51" w:rsidRPr="00BC1AE2">
        <w:instrText xml:space="preserve"> REF _Ref221280951 \h </w:instrText>
      </w:r>
      <w:r w:rsidR="00BC1AE2">
        <w:instrText xml:space="preserve"> \* MERGEFORMAT </w:instrText>
      </w:r>
      <w:r w:rsidR="00082C51" w:rsidRPr="00BC1AE2">
        <w:fldChar w:fldCharType="separate"/>
      </w:r>
      <w:r w:rsidR="00FB68A1" w:rsidRPr="00FB68A1">
        <w:rPr>
          <w:color w:val="0056A9" w:themeColor="accent1"/>
          <w:u w:val="single"/>
        </w:rPr>
        <w:fldChar w:fldCharType="begin"/>
      </w:r>
      <w:r w:rsidR="00FB68A1" w:rsidRPr="00FB68A1">
        <w:rPr>
          <w:color w:val="0056A9" w:themeColor="accent1"/>
          <w:u w:val="single"/>
        </w:rPr>
        <w:instrText xml:space="preserve"> REF _Ref221280951 \h </w:instrText>
      </w:r>
      <w:r w:rsidR="00FB68A1" w:rsidRPr="00FB68A1">
        <w:rPr>
          <w:color w:val="0056A9" w:themeColor="accent1"/>
          <w:u w:val="single"/>
        </w:rPr>
      </w:r>
      <w:r w:rsidR="00FB68A1" w:rsidRPr="00FB68A1">
        <w:rPr>
          <w:color w:val="0056A9" w:themeColor="accent1"/>
          <w:u w:val="single"/>
        </w:rPr>
        <w:fldChar w:fldCharType="separate"/>
      </w:r>
      <w:r w:rsidR="00FB68A1" w:rsidRPr="00FB68A1">
        <w:rPr>
          <w:color w:val="0056A9" w:themeColor="accent1"/>
          <w:u w:val="single"/>
        </w:rPr>
        <w:t>4.1 Procedure</w:t>
      </w:r>
      <w:r w:rsidR="00FB68A1" w:rsidRPr="00FB68A1">
        <w:rPr>
          <w:color w:val="0056A9" w:themeColor="accent1"/>
          <w:u w:val="single"/>
        </w:rPr>
        <w:fldChar w:fldCharType="end"/>
      </w:r>
      <w:r w:rsidR="00082C51" w:rsidRPr="00BC1AE2">
        <w:fldChar w:fldCharType="end"/>
      </w:r>
      <w:r w:rsidRPr="003E7E04">
        <w:t xml:space="preserve"> above.</w:t>
      </w:r>
    </w:p>
    <w:p w14:paraId="02C9AB6F" w14:textId="4DA89F1D" w:rsidR="003E7E04" w:rsidRPr="003E7E04" w:rsidRDefault="003E7E04" w:rsidP="00BC1AE2">
      <w:pPr>
        <w:pStyle w:val="ListNumber"/>
        <w:numPr>
          <w:ilvl w:val="1"/>
          <w:numId w:val="1"/>
        </w:numPr>
      </w:pPr>
      <w:r w:rsidRPr="003E7E04">
        <w:t>Note that credits may be acquired</w:t>
      </w:r>
      <w:r w:rsidR="00082C51">
        <w:t xml:space="preserve"> and or </w:t>
      </w:r>
      <w:r w:rsidRPr="003E7E04">
        <w:t>purchased from multiple mitigation banks to satisfy project mitigation requirements identified in the USACE authorization.</w:t>
      </w:r>
    </w:p>
    <w:p w14:paraId="0DC273D4" w14:textId="65791F06" w:rsidR="003E7E04" w:rsidRPr="003E7E04" w:rsidRDefault="003E7E04" w:rsidP="004C0CAA">
      <w:pPr>
        <w:pStyle w:val="ListNumber"/>
      </w:pPr>
      <w:r w:rsidRPr="003E7E04">
        <w:t>The project sponsor or department delegate determines the number of mitigation credits needed for purchase from all banks that service the project area. It should be noted that there may be any number of banks servicing a given project area, ranging from none to many. If there are no banks servicing the project area, the project sponsor or department delegate must consider other options, such as use of an out-of-area bank or permittee-responsible mitigation, and this SOP may not apply.</w:t>
      </w:r>
    </w:p>
    <w:p w14:paraId="77E24FD3" w14:textId="4127A496" w:rsidR="003E7E04" w:rsidRPr="003E7E04" w:rsidRDefault="003E7E04" w:rsidP="00961EBF">
      <w:pPr>
        <w:pStyle w:val="ListNumber"/>
        <w:numPr>
          <w:ilvl w:val="1"/>
          <w:numId w:val="1"/>
        </w:numPr>
      </w:pPr>
      <w:r w:rsidRPr="003E7E04">
        <w:t>A conditional and</w:t>
      </w:r>
      <w:r w:rsidR="00296656">
        <w:t xml:space="preserve"> </w:t>
      </w:r>
      <w:r w:rsidRPr="003E7E04">
        <w:t>or functional assessment of the impact area may be necessary to determine the number and type of credits required for mitigation using a non-heritage</w:t>
      </w:r>
      <w:r w:rsidR="00296656">
        <w:t xml:space="preserve"> or </w:t>
      </w:r>
      <w:r w:rsidRPr="003E7E04">
        <w:t>legacy bank. The type of conditional and</w:t>
      </w:r>
      <w:r w:rsidR="00296656">
        <w:t xml:space="preserve"> </w:t>
      </w:r>
      <w:r w:rsidRPr="003E7E04">
        <w:t>or functional assessment performed must match the assessment methodology used to establish the bank(s), or the results of the performed assessment must be able to be converted to the assessment methodology the bank(s) using a conversion rate or rates approved by the USACE.</w:t>
      </w:r>
    </w:p>
    <w:p w14:paraId="401D5141" w14:textId="4B3DBEF4" w:rsidR="003E7E04" w:rsidRPr="003E7E04" w:rsidRDefault="003E7E04" w:rsidP="00961EBF">
      <w:pPr>
        <w:pStyle w:val="ListNumber"/>
        <w:numPr>
          <w:ilvl w:val="1"/>
          <w:numId w:val="1"/>
        </w:numPr>
      </w:pPr>
      <w:r w:rsidRPr="003E7E04">
        <w:t xml:space="preserve">Calculate the number of </w:t>
      </w:r>
      <w:r w:rsidR="001579DD" w:rsidRPr="003E7E04">
        <w:t>credits</w:t>
      </w:r>
      <w:r w:rsidRPr="003E7E04">
        <w:t xml:space="preserve"> by type, needed based on the formula in the mitigation banking instrument (MBI). The number of </w:t>
      </w:r>
      <w:r w:rsidRPr="003E7E04">
        <w:lastRenderedPageBreak/>
        <w:t>credits, by type, must be determined and</w:t>
      </w:r>
      <w:r w:rsidR="00296656">
        <w:t xml:space="preserve"> </w:t>
      </w:r>
      <w:r w:rsidRPr="003E7E04">
        <w:t>or verified by the project sponsor or department delegate.</w:t>
      </w:r>
    </w:p>
    <w:p w14:paraId="3FC31157" w14:textId="7A18627A" w:rsidR="003E7E04" w:rsidRPr="003E7E04" w:rsidRDefault="003E7E04" w:rsidP="00296656">
      <w:pPr>
        <w:pStyle w:val="ListNumber"/>
        <w:ind w:left="540" w:hanging="540"/>
      </w:pPr>
      <w:bookmarkStart w:id="14" w:name="_Ref221514204"/>
      <w:r w:rsidRPr="003E7E04">
        <w:t>The project sponsor or department delegate solicits bids (</w:t>
      </w:r>
      <w:r w:rsidR="00296656">
        <w:t>in other words</w:t>
      </w:r>
      <w:r w:rsidRPr="003E7E04">
        <w:t>, draft mitigation bank agreements that exhibit cost per credit, by type) from all mitigation banks that service the project area, regardless of what service area (i</w:t>
      </w:r>
      <w:r w:rsidR="00296656">
        <w:t>n other words</w:t>
      </w:r>
      <w:r w:rsidRPr="003E7E04">
        <w:t>, primary, secondary, or tertiary) the project is located within, and have the appropriate number and type of credits available.</w:t>
      </w:r>
      <w:bookmarkEnd w:id="14"/>
    </w:p>
    <w:p w14:paraId="397D1192" w14:textId="5C5B3153" w:rsidR="003E7E04" w:rsidRPr="003E7E04" w:rsidRDefault="003E7E04" w:rsidP="00296656">
      <w:pPr>
        <w:pStyle w:val="ListNumber"/>
        <w:numPr>
          <w:ilvl w:val="1"/>
          <w:numId w:val="1"/>
        </w:numPr>
      </w:pPr>
      <w:bookmarkStart w:id="15" w:name="_Ref221515866"/>
      <w:r w:rsidRPr="003E7E04">
        <w:t>Contact each mitigation bank that services the project area.</w:t>
      </w:r>
      <w:bookmarkEnd w:id="15"/>
    </w:p>
    <w:p w14:paraId="0E17D526" w14:textId="06BFBC2A" w:rsidR="003E7E04" w:rsidRPr="003E7E04" w:rsidRDefault="003E7E04" w:rsidP="00296656">
      <w:pPr>
        <w:pStyle w:val="ListNumber"/>
        <w:numPr>
          <w:ilvl w:val="1"/>
          <w:numId w:val="1"/>
        </w:numPr>
      </w:pPr>
      <w:r w:rsidRPr="003E7E04">
        <w:t>Determine whether the mitigation bank has the appropriate number and type of credits available.</w:t>
      </w:r>
    </w:p>
    <w:p w14:paraId="4358D4BE" w14:textId="0F3D6A2D" w:rsidR="003E7E04" w:rsidRPr="003E7E04" w:rsidRDefault="003E7E04" w:rsidP="00296656">
      <w:pPr>
        <w:pStyle w:val="ListNumber"/>
        <w:numPr>
          <w:ilvl w:val="1"/>
          <w:numId w:val="1"/>
        </w:numPr>
      </w:pPr>
      <w:r w:rsidRPr="003E7E04">
        <w:t>Determine the cost per credit, by type, and request total mitigation cost (i</w:t>
      </w:r>
      <w:r w:rsidR="00296656">
        <w:t>n other words</w:t>
      </w:r>
      <w:r w:rsidRPr="003E7E04">
        <w:t>, a bid) for all necessary credits, by type.</w:t>
      </w:r>
    </w:p>
    <w:p w14:paraId="41E650DE" w14:textId="7F717DC0" w:rsidR="003E7E04" w:rsidRPr="003E7E04" w:rsidRDefault="003E7E04" w:rsidP="00296656">
      <w:pPr>
        <w:pStyle w:val="ListNumber"/>
        <w:ind w:left="540" w:hanging="540"/>
      </w:pPr>
      <w:r w:rsidRPr="003E7E04">
        <w:t>Select the best value (i</w:t>
      </w:r>
      <w:r w:rsidR="00296656">
        <w:t>n other words</w:t>
      </w:r>
      <w:r w:rsidRPr="003E7E04">
        <w:t>, lowest cost) mitigation option after analyzing all offers.</w:t>
      </w:r>
    </w:p>
    <w:p w14:paraId="3BB9384E" w14:textId="6A6585EF" w:rsidR="003E7E04" w:rsidRPr="003E7E04" w:rsidRDefault="00296656" w:rsidP="00296656">
      <w:pPr>
        <w:pStyle w:val="ListNumber"/>
        <w:numPr>
          <w:ilvl w:val="1"/>
          <w:numId w:val="1"/>
        </w:numPr>
      </w:pPr>
      <w:r>
        <w:t>U</w:t>
      </w:r>
      <w:r w:rsidR="003E7E04" w:rsidRPr="003E7E04">
        <w:t xml:space="preserve">se the Best Value Mitigation Table Template available on the </w:t>
      </w:r>
      <w:hyperlink r:id="rId20" w:history="1">
        <w:r w:rsidR="003E7E04" w:rsidRPr="00FB68A1">
          <w:rPr>
            <w:rStyle w:val="Hyperlink"/>
          </w:rPr>
          <w:t>ENV Toolkit</w:t>
        </w:r>
      </w:hyperlink>
      <w:r w:rsidR="003E7E04" w:rsidRPr="003E7E04">
        <w:t xml:space="preserve"> page to create a table providing information on all mitigation banks that service the project area. Note that the example tab in the Best Value Mitigation Table Template provides a completed example for reference.</w:t>
      </w:r>
    </w:p>
    <w:p w14:paraId="4BB1D224" w14:textId="4C00B576" w:rsidR="003E7E04" w:rsidRPr="003E7E04" w:rsidRDefault="00296656" w:rsidP="00296656">
      <w:pPr>
        <w:pStyle w:val="ListNumber"/>
        <w:numPr>
          <w:ilvl w:val="1"/>
          <w:numId w:val="1"/>
        </w:numPr>
      </w:pPr>
      <w:r>
        <w:t>R</w:t>
      </w:r>
      <w:r w:rsidR="003E7E04" w:rsidRPr="003E7E04">
        <w:t>eview all information and select the best value mitigation option based on total cost.</w:t>
      </w:r>
    </w:p>
    <w:p w14:paraId="7FD785B1" w14:textId="504FB85C" w:rsidR="003E7E04" w:rsidRPr="009F4847" w:rsidRDefault="00296656" w:rsidP="002D65F4">
      <w:pPr>
        <w:pStyle w:val="ListNumber"/>
        <w:numPr>
          <w:ilvl w:val="1"/>
          <w:numId w:val="1"/>
        </w:numPr>
      </w:pPr>
      <w:r w:rsidRPr="009F4847">
        <w:t>I</w:t>
      </w:r>
      <w:r w:rsidR="003E7E04" w:rsidRPr="009F4847">
        <w:t xml:space="preserve">nclude the Best Value Mitigation Table with the draft mitigation agreement identified in </w:t>
      </w:r>
      <w:r w:rsidR="00306180" w:rsidRPr="009F4847">
        <w:t xml:space="preserve">number </w:t>
      </w:r>
      <w:r w:rsidR="00953ED8" w:rsidRPr="002D65F4">
        <w:fldChar w:fldCharType="begin"/>
      </w:r>
      <w:r w:rsidR="00953ED8" w:rsidRPr="002D65F4">
        <w:instrText xml:space="preserve"> REF _Ref221514204 \h </w:instrText>
      </w:r>
      <w:r w:rsidR="009F4847" w:rsidRPr="002D65F4">
        <w:instrText xml:space="preserve"> \* MERGEFORMAT </w:instrText>
      </w:r>
      <w:r w:rsidR="00953ED8" w:rsidRPr="002D65F4">
        <w:fldChar w:fldCharType="separate"/>
      </w:r>
      <w:r w:rsidR="00953ED8" w:rsidRPr="002D65F4">
        <w:t>The project sponsor or department delegate solicits bids (in other words, draft mitigation bank agreements that exhibit cost per credit, by type) from all mitigation banks that service the project area, regardless of what service area (in other words, primary, secondary, or tertiary) the project is located within, and have the appropriate number and type of credits available.</w:t>
      </w:r>
      <w:r w:rsidR="00953ED8" w:rsidRPr="002D65F4">
        <w:fldChar w:fldCharType="end"/>
      </w:r>
      <w:r w:rsidR="009F4847" w:rsidRPr="002D65F4">
        <w:t xml:space="preserve"> i</w:t>
      </w:r>
      <w:r w:rsidR="009F4847" w:rsidRPr="009F4847">
        <w:t xml:space="preserve">dentified in </w:t>
      </w:r>
      <w:r w:rsidR="00131FAA">
        <w:rPr>
          <w:color w:val="auto"/>
        </w:rPr>
        <w:t>number</w:t>
      </w:r>
      <w:r w:rsidR="002D65F4" w:rsidRPr="002D65F4">
        <w:rPr>
          <w:color w:val="auto"/>
        </w:rPr>
        <w:t xml:space="preserve"> </w:t>
      </w:r>
      <w:r w:rsidR="00131FAA" w:rsidRPr="00131FAA">
        <w:rPr>
          <w:color w:val="0056A9" w:themeColor="accent1"/>
        </w:rPr>
        <w:fldChar w:fldCharType="begin"/>
      </w:r>
      <w:r w:rsidR="00131FAA" w:rsidRPr="00131FAA">
        <w:rPr>
          <w:color w:val="0056A9" w:themeColor="accent1"/>
        </w:rPr>
        <w:instrText xml:space="preserve"> REF _Ref221514204 \r \h </w:instrText>
      </w:r>
      <w:r w:rsidR="00131FAA" w:rsidRPr="00131FAA">
        <w:rPr>
          <w:color w:val="0056A9" w:themeColor="accent1"/>
        </w:rPr>
      </w:r>
      <w:r w:rsidR="00131FAA" w:rsidRPr="00131FAA">
        <w:rPr>
          <w:color w:val="0056A9" w:themeColor="accent1"/>
        </w:rPr>
        <w:fldChar w:fldCharType="separate"/>
      </w:r>
      <w:r w:rsidR="00131FAA" w:rsidRPr="00131FAA">
        <w:rPr>
          <w:color w:val="0056A9" w:themeColor="accent1"/>
        </w:rPr>
        <w:t>3</w:t>
      </w:r>
      <w:r w:rsidR="00131FAA" w:rsidRPr="00131FAA">
        <w:rPr>
          <w:color w:val="0056A9" w:themeColor="accent1"/>
        </w:rPr>
        <w:fldChar w:fldCharType="end"/>
      </w:r>
      <w:r w:rsidR="003E7E04" w:rsidRPr="009F4847">
        <w:t>, above.</w:t>
      </w:r>
    </w:p>
    <w:p w14:paraId="0A30D69C" w14:textId="0C7FA4B3" w:rsidR="003E7E04" w:rsidRPr="003E7E04" w:rsidRDefault="003E7E04" w:rsidP="00296656">
      <w:pPr>
        <w:pStyle w:val="ListNumber"/>
        <w:ind w:left="540" w:hanging="540"/>
      </w:pPr>
      <w:r w:rsidRPr="003E7E04">
        <w:lastRenderedPageBreak/>
        <w:t>The project sponsor or department delegate submits the draft mitigation agreement(s), associated table, and selected option(s) with any necessary explanation other than cost via email to the General Counsel Division (GCD) POC and the NRM Mitigation POC.</w:t>
      </w:r>
    </w:p>
    <w:p w14:paraId="0EA5C32A" w14:textId="0EFC2273" w:rsidR="003E7E04" w:rsidRPr="003E7E04" w:rsidRDefault="003E7E04" w:rsidP="00296656">
      <w:pPr>
        <w:pStyle w:val="ListNumber"/>
        <w:ind w:left="540" w:hanging="540"/>
      </w:pPr>
      <w:r w:rsidRPr="003E7E04">
        <w:t>The project sponsor or department delegate addresses GCD’s comments on the mitigation agreement(s) by facilitating resolution of disputes pertaining to legalese between the GCD POC and the mitigation bank POC(s).</w:t>
      </w:r>
    </w:p>
    <w:p w14:paraId="083CE758" w14:textId="0D44D757" w:rsidR="003E7E04" w:rsidRPr="003E7E04" w:rsidRDefault="003E7E04" w:rsidP="00296656">
      <w:pPr>
        <w:pStyle w:val="ListNumber"/>
        <w:ind w:left="540" w:hanging="540"/>
      </w:pPr>
      <w:r w:rsidRPr="003E7E04">
        <w:t>The project sponsor or department delegate submits a mitigation memo packet to the ENV Division Director and copies the NRM Mitigation POC via DocuSign. The following information must be included in the mitigation memo packet:</w:t>
      </w:r>
    </w:p>
    <w:p w14:paraId="2383E094" w14:textId="03CB8FF2" w:rsidR="003E7E04" w:rsidRPr="003E7E04" w:rsidRDefault="003E7E04" w:rsidP="00296656">
      <w:pPr>
        <w:pStyle w:val="ListNumber"/>
        <w:numPr>
          <w:ilvl w:val="1"/>
          <w:numId w:val="1"/>
        </w:numPr>
      </w:pPr>
      <w:r w:rsidRPr="003E7E04">
        <w:t>A transmittal memo detailing the proposed mitigation option drafted for signature by the ENV Division Director,</w:t>
      </w:r>
    </w:p>
    <w:p w14:paraId="154B5DCB" w14:textId="45096006" w:rsidR="003E7E04" w:rsidRPr="003E7E04" w:rsidRDefault="003E7E04" w:rsidP="00296656">
      <w:pPr>
        <w:pStyle w:val="ListNumber"/>
        <w:numPr>
          <w:ilvl w:val="1"/>
          <w:numId w:val="1"/>
        </w:numPr>
      </w:pPr>
      <w:r w:rsidRPr="003E7E04">
        <w:t>The Best Value Mitigation Table showing justification for bank(s) selection.</w:t>
      </w:r>
    </w:p>
    <w:p w14:paraId="0759E7ED" w14:textId="26A275CD" w:rsidR="003E7E04" w:rsidRPr="003E7E04" w:rsidRDefault="003E7E04" w:rsidP="00296656">
      <w:pPr>
        <w:pStyle w:val="ListNumber"/>
        <w:numPr>
          <w:ilvl w:val="1"/>
          <w:numId w:val="1"/>
        </w:numPr>
      </w:pPr>
      <w:r w:rsidRPr="003E7E04">
        <w:t>A statement verifying that a TxDOT mitigation bank was not available for mitigation purposes on this project because 1) the project is off-system, 2) no TxDOT mitigation bank services the project area, and</w:t>
      </w:r>
      <w:r w:rsidR="00296656">
        <w:t xml:space="preserve"> </w:t>
      </w:r>
      <w:r w:rsidRPr="003E7E04">
        <w:t>or 3) the necessary number and</w:t>
      </w:r>
      <w:r w:rsidR="00296656">
        <w:t xml:space="preserve"> </w:t>
      </w:r>
      <w:r w:rsidRPr="003E7E04">
        <w:t>or type of credits are not available.</w:t>
      </w:r>
    </w:p>
    <w:p w14:paraId="1F2324E6" w14:textId="7C774215" w:rsidR="003E7E04" w:rsidRPr="003E7E04" w:rsidRDefault="003E7E04" w:rsidP="00296656">
      <w:pPr>
        <w:pStyle w:val="ListNumber"/>
        <w:numPr>
          <w:ilvl w:val="1"/>
          <w:numId w:val="1"/>
        </w:numPr>
      </w:pPr>
      <w:r w:rsidRPr="003E7E04">
        <w:t>A copy of the draft mitigation agreement(s) (without signatures) from the mitigation bank(s)</w:t>
      </w:r>
    </w:p>
    <w:p w14:paraId="224B4F11" w14:textId="511E8F42" w:rsidR="003E7E04" w:rsidRPr="003E7E04" w:rsidRDefault="003E7E04" w:rsidP="00296656">
      <w:pPr>
        <w:pStyle w:val="ListNumber"/>
        <w:numPr>
          <w:ilvl w:val="1"/>
          <w:numId w:val="1"/>
        </w:numPr>
      </w:pPr>
      <w:r w:rsidRPr="003E7E04">
        <w:t>The following information, either included as a component of the mitigation bank agreement(s) or provided as additional information by the project sponsor or department delegate:</w:t>
      </w:r>
    </w:p>
    <w:p w14:paraId="3E250BE7" w14:textId="6123AEAE" w:rsidR="003E7E04" w:rsidRPr="003E7E04" w:rsidRDefault="003E7E04" w:rsidP="007961FC">
      <w:pPr>
        <w:pStyle w:val="ListNumber"/>
        <w:numPr>
          <w:ilvl w:val="2"/>
          <w:numId w:val="1"/>
        </w:numPr>
        <w:ind w:left="1710" w:hanging="630"/>
      </w:pPr>
      <w:r w:rsidRPr="003E7E04">
        <w:t>Project or Roadway Name</w:t>
      </w:r>
      <w:r w:rsidR="00296656">
        <w:t xml:space="preserve">n or </w:t>
      </w:r>
      <w:r w:rsidRPr="003E7E04">
        <w:t>Number</w:t>
      </w:r>
    </w:p>
    <w:p w14:paraId="2E4676C2" w14:textId="1B67C555" w:rsidR="003E7E04" w:rsidRPr="003E7E04" w:rsidRDefault="003E7E04" w:rsidP="007961FC">
      <w:pPr>
        <w:pStyle w:val="ListNumber"/>
        <w:numPr>
          <w:ilvl w:val="2"/>
          <w:numId w:val="1"/>
        </w:numPr>
        <w:ind w:left="1710" w:hanging="630"/>
      </w:pPr>
      <w:r w:rsidRPr="003E7E04">
        <w:t>County(ies) where the project is located.</w:t>
      </w:r>
    </w:p>
    <w:p w14:paraId="6046C226" w14:textId="6C40C247" w:rsidR="003E7E04" w:rsidRPr="003E7E04" w:rsidRDefault="003E7E04" w:rsidP="007961FC">
      <w:pPr>
        <w:pStyle w:val="ListNumber"/>
        <w:numPr>
          <w:ilvl w:val="2"/>
          <w:numId w:val="1"/>
        </w:numPr>
        <w:ind w:left="1710" w:hanging="630"/>
      </w:pPr>
      <w:r w:rsidRPr="003E7E04">
        <w:t>Project CSJ</w:t>
      </w:r>
    </w:p>
    <w:p w14:paraId="15930532" w14:textId="3A035BF9" w:rsidR="003E7E04" w:rsidRPr="003E7E04" w:rsidRDefault="003E7E04" w:rsidP="007961FC">
      <w:pPr>
        <w:pStyle w:val="ListNumber"/>
        <w:numPr>
          <w:ilvl w:val="2"/>
          <w:numId w:val="1"/>
        </w:numPr>
        <w:ind w:left="1710" w:hanging="630"/>
      </w:pPr>
      <w:r w:rsidRPr="003E7E04">
        <w:t>USACE permit number and date of authorization, if applicable</w:t>
      </w:r>
    </w:p>
    <w:p w14:paraId="443B1D64" w14:textId="6BF5FEBF" w:rsidR="003E7E04" w:rsidRPr="003E7E04" w:rsidRDefault="003E7E04" w:rsidP="007961FC">
      <w:pPr>
        <w:pStyle w:val="ListNumber"/>
        <w:numPr>
          <w:ilvl w:val="2"/>
          <w:numId w:val="1"/>
        </w:numPr>
        <w:ind w:left="1710" w:hanging="630"/>
      </w:pPr>
      <w:r w:rsidRPr="003E7E04">
        <w:lastRenderedPageBreak/>
        <w:t>Total amount of impacts in acres and</w:t>
      </w:r>
      <w:r w:rsidR="00296656">
        <w:t xml:space="preserve"> </w:t>
      </w:r>
      <w:r w:rsidRPr="003E7E04">
        <w:t>or linear feet by type of WOTUS</w:t>
      </w:r>
    </w:p>
    <w:p w14:paraId="2AE35115" w14:textId="1986A124" w:rsidR="003E7E04" w:rsidRPr="003E7E04" w:rsidRDefault="003E7E04" w:rsidP="007961FC">
      <w:pPr>
        <w:pStyle w:val="ListNumber"/>
        <w:numPr>
          <w:ilvl w:val="2"/>
          <w:numId w:val="1"/>
        </w:numPr>
        <w:ind w:left="1710" w:hanging="630"/>
      </w:pPr>
      <w:r w:rsidRPr="003E7E04">
        <w:t>Total amount of impacts in acres and</w:t>
      </w:r>
      <w:r w:rsidR="00690E09">
        <w:t xml:space="preserve"> </w:t>
      </w:r>
      <w:r w:rsidRPr="003E7E04">
        <w:t>or linear feet by single and complete crossing for all crossings requiring mitigation</w:t>
      </w:r>
    </w:p>
    <w:p w14:paraId="6DAA5E9B" w14:textId="6EE310E6" w:rsidR="003E7E04" w:rsidRPr="003E7E04" w:rsidRDefault="003E7E04" w:rsidP="007961FC">
      <w:pPr>
        <w:pStyle w:val="ListNumber"/>
        <w:numPr>
          <w:ilvl w:val="2"/>
          <w:numId w:val="1"/>
        </w:numPr>
        <w:ind w:left="1710" w:hanging="630"/>
      </w:pPr>
      <w:r w:rsidRPr="003E7E04">
        <w:t>Quality of WOTUS impacted, either presented using the high-medium-low profile or as the resulting score(s) of the appropriate USACE-approved conditional</w:t>
      </w:r>
      <w:r w:rsidR="00296656">
        <w:t xml:space="preserve"> and or </w:t>
      </w:r>
      <w:r w:rsidRPr="003E7E04">
        <w:t>functional assessment methodology</w:t>
      </w:r>
    </w:p>
    <w:p w14:paraId="3BFC4131" w14:textId="180C4729" w:rsidR="003E7E04" w:rsidRPr="003E7E04" w:rsidRDefault="003E7E04" w:rsidP="007961FC">
      <w:pPr>
        <w:pStyle w:val="ListNumber"/>
        <w:numPr>
          <w:ilvl w:val="2"/>
          <w:numId w:val="1"/>
        </w:numPr>
        <w:ind w:left="1710" w:hanging="630"/>
      </w:pPr>
      <w:r w:rsidRPr="003E7E04">
        <w:t>Geographic service area(s) (i</w:t>
      </w:r>
      <w:r w:rsidR="00296656">
        <w:t>n other words</w:t>
      </w:r>
      <w:r w:rsidRPr="003E7E04">
        <w:t>, primary, secondary, or tertiary) servicing the project area and any applicable multiplier</w:t>
      </w:r>
    </w:p>
    <w:p w14:paraId="575DC965" w14:textId="169255D9" w:rsidR="003E7E04" w:rsidRPr="003E7E04" w:rsidRDefault="003E7E04" w:rsidP="007961FC">
      <w:pPr>
        <w:pStyle w:val="ListNumber"/>
        <w:numPr>
          <w:ilvl w:val="2"/>
          <w:numId w:val="1"/>
        </w:numPr>
        <w:ind w:left="1710" w:hanging="630"/>
      </w:pPr>
      <w:r w:rsidRPr="003E7E04">
        <w:t>The applicable formula(s) for credit calculation, including the calculation itself (</w:t>
      </w:r>
      <w:r w:rsidR="00296656">
        <w:t>in other words</w:t>
      </w:r>
      <w:r w:rsidRPr="003E7E04">
        <w:t>, show your work), along with written indication that the calculation was performed or verified by the project sponsor or department delegate.</w:t>
      </w:r>
    </w:p>
    <w:p w14:paraId="4404044E" w14:textId="1E279099" w:rsidR="003E7E04" w:rsidRPr="003E7E04" w:rsidRDefault="003E7E04" w:rsidP="007961FC">
      <w:pPr>
        <w:pStyle w:val="ListNumber"/>
        <w:numPr>
          <w:ilvl w:val="2"/>
          <w:numId w:val="1"/>
        </w:numPr>
        <w:ind w:left="1710" w:hanging="630"/>
      </w:pPr>
      <w:r w:rsidRPr="003E7E04">
        <w:t>Total cost for all credits, by cost per type of credit</w:t>
      </w:r>
    </w:p>
    <w:p w14:paraId="6925EB4A" w14:textId="77441AA8" w:rsidR="003E7E04" w:rsidRPr="003E7E04" w:rsidRDefault="003E7E04" w:rsidP="00296656">
      <w:pPr>
        <w:pStyle w:val="ListNumber"/>
        <w:ind w:left="540" w:hanging="540"/>
      </w:pPr>
      <w:r w:rsidRPr="003E7E04">
        <w:t>Once the signed copy of the mitigation memo packet is received, the NRM Mitigation POC notifies the project sponsor or department delegate that the banking agreement(s) can be signed.</w:t>
      </w:r>
    </w:p>
    <w:p w14:paraId="6EC0769B" w14:textId="4EDDEBDC" w:rsidR="003E7E04" w:rsidRPr="003E7E04" w:rsidRDefault="003E7E04" w:rsidP="00296656">
      <w:pPr>
        <w:pStyle w:val="ListNumber"/>
        <w:ind w:left="540" w:hanging="540"/>
      </w:pPr>
      <w:r w:rsidRPr="003E7E04">
        <w:t>The District Engineer or Deputy District Engineer signs the mitigation banking agreement(s).</w:t>
      </w:r>
    </w:p>
    <w:p w14:paraId="68931AC2" w14:textId="64644268" w:rsidR="003E7E04" w:rsidRPr="003E7E04" w:rsidRDefault="003E7E04" w:rsidP="00296656">
      <w:pPr>
        <w:pStyle w:val="ListNumber"/>
        <w:ind w:left="540" w:hanging="540"/>
      </w:pPr>
      <w:r w:rsidRPr="003E7E04">
        <w:t>The project sponsor or department delegate works with their district finance</w:t>
      </w:r>
      <w:r w:rsidR="00296656">
        <w:t xml:space="preserve"> or </w:t>
      </w:r>
      <w:r w:rsidRPr="003E7E04">
        <w:t xml:space="preserve">contracting staff, as necessary to facilitate routing of the funds to the mitigation bank(s) for credit purchase. </w:t>
      </w:r>
    </w:p>
    <w:p w14:paraId="6E766774" w14:textId="1C502FBF" w:rsidR="003E7E04" w:rsidRPr="003E7E04" w:rsidRDefault="003E7E04" w:rsidP="00296656">
      <w:pPr>
        <w:pStyle w:val="ListNumber"/>
        <w:ind w:left="540" w:hanging="540"/>
      </w:pPr>
      <w:r w:rsidRPr="003E7E04">
        <w:t>The mitigation bank(s) provide(s) a letter to the USACE</w:t>
      </w:r>
      <w:r w:rsidR="00690E09">
        <w:t>,</w:t>
      </w:r>
      <w:r w:rsidR="00296656">
        <w:t xml:space="preserve"> </w:t>
      </w:r>
      <w:r w:rsidRPr="003E7E04">
        <w:t>project sponsor or department delegate indicating that the mitigation has been purchased. The letter must include sufficient detail to serve as a purchase receipt, as well as confirmation that the mitigation requirement associated with the USACE authorization has been satisfied.</w:t>
      </w:r>
    </w:p>
    <w:p w14:paraId="4F6BCB52" w14:textId="595260BC" w:rsidR="003E7E04" w:rsidRPr="003E7E04" w:rsidRDefault="003E7E04" w:rsidP="00296656">
      <w:pPr>
        <w:pStyle w:val="ListNumber"/>
        <w:numPr>
          <w:ilvl w:val="1"/>
          <w:numId w:val="1"/>
        </w:numPr>
      </w:pPr>
      <w:r w:rsidRPr="003E7E04">
        <w:lastRenderedPageBreak/>
        <w:t>The project sponsor or department delegate must upload in Environmental Compliance Oversight System (ECOS) under the ECOS Activity – Perform Water Compensatory Mitigation, the letter from the Mitigation Provider, as documented evidence, that the mitigation has been completed.</w:t>
      </w:r>
    </w:p>
    <w:p w14:paraId="7563DE21" w14:textId="6986449B" w:rsidR="003E7E04" w:rsidRPr="003E7E04" w:rsidRDefault="003E7E04" w:rsidP="00296656">
      <w:pPr>
        <w:pStyle w:val="ListNumber"/>
        <w:ind w:left="540" w:hanging="540"/>
      </w:pPr>
      <w:r w:rsidRPr="003E7E04">
        <w:t>The project sponsor or department delegate notifies the NRM Mitigation POC of the credit transaction, and the NRM Mitigation POC reflects the purchase in ENV’s mitigation tracking spreadsheet.</w:t>
      </w:r>
    </w:p>
    <w:p w14:paraId="134D93EC" w14:textId="77777777" w:rsidR="003E7E04" w:rsidRPr="00296656" w:rsidRDefault="003E7E04" w:rsidP="00296656">
      <w:pPr>
        <w:rPr>
          <w:b/>
          <w:bCs/>
        </w:rPr>
      </w:pPr>
      <w:r w:rsidRPr="00296656">
        <w:rPr>
          <w:b/>
          <w:bCs/>
        </w:rPr>
        <w:t>The procedure is complete.</w:t>
      </w:r>
    </w:p>
    <w:p w14:paraId="76FC016E" w14:textId="77777777" w:rsidR="00A0323A" w:rsidRDefault="00A0323A">
      <w:pPr>
        <w:spacing w:after="0" w:line="240" w:lineRule="auto"/>
        <w:rPr>
          <w:rFonts w:asciiTheme="majorHAnsi" w:hAnsiTheme="majorHAnsi"/>
          <w:b/>
          <w:color w:val="0056A9"/>
          <w:sz w:val="32"/>
          <w:szCs w:val="32"/>
        </w:rPr>
      </w:pPr>
      <w:bookmarkStart w:id="16" w:name="_Toc219191592"/>
      <w:r>
        <w:br w:type="page"/>
      </w:r>
    </w:p>
    <w:p w14:paraId="1F969FB4" w14:textId="231EFDD1" w:rsidR="00EC3F36" w:rsidRPr="00EC3F36" w:rsidRDefault="00EC3F36" w:rsidP="00A0323A">
      <w:pPr>
        <w:pStyle w:val="Heading2"/>
      </w:pPr>
      <w:bookmarkStart w:id="17" w:name="_Toc222485209"/>
      <w:r>
        <w:lastRenderedPageBreak/>
        <w:t>5.</w:t>
      </w:r>
      <w:r w:rsidRPr="00EC3F36">
        <w:t>0</w:t>
      </w:r>
      <w:r>
        <w:t xml:space="preserve"> </w:t>
      </w:r>
      <w:r w:rsidRPr="00EC3F36">
        <w:t>Abbreviations and Acronyms</w:t>
      </w:r>
      <w:bookmarkEnd w:id="16"/>
      <w:bookmarkEnd w:id="17"/>
    </w:p>
    <w:p w14:paraId="707975DC" w14:textId="3C0EBC4C" w:rsidR="00EC3F36" w:rsidRPr="00EC3F36" w:rsidRDefault="00EC3F36" w:rsidP="00EC3F36">
      <w:pPr>
        <w:keepNext/>
        <w:spacing w:line="240" w:lineRule="auto"/>
        <w:rPr>
          <w:b/>
          <w:bCs/>
          <w:color w:val="000000" w:themeColor="text2"/>
          <w:szCs w:val="24"/>
        </w:rPr>
      </w:pPr>
      <w:bookmarkStart w:id="18" w:name="_Toc218248984"/>
      <w:bookmarkStart w:id="19" w:name="_Toc222484784"/>
      <w:r w:rsidRPr="00EC3F36">
        <w:rPr>
          <w:b/>
          <w:bCs/>
          <w:color w:val="000000" w:themeColor="text2"/>
          <w:szCs w:val="24"/>
        </w:rPr>
        <w:t xml:space="preserve">Table </w:t>
      </w:r>
      <w:r w:rsidRPr="00EC3F36">
        <w:rPr>
          <w:b/>
          <w:bCs/>
          <w:color w:val="000000" w:themeColor="text2"/>
          <w:szCs w:val="24"/>
        </w:rPr>
        <w:fldChar w:fldCharType="begin"/>
      </w:r>
      <w:r w:rsidRPr="00EC3F36">
        <w:rPr>
          <w:b/>
          <w:bCs/>
          <w:color w:val="000000" w:themeColor="text2"/>
          <w:szCs w:val="24"/>
        </w:rPr>
        <w:instrText xml:space="preserve"> SEQ Table \* ARABIC </w:instrText>
      </w:r>
      <w:r w:rsidRPr="00EC3F36">
        <w:rPr>
          <w:b/>
          <w:bCs/>
          <w:color w:val="000000" w:themeColor="text2"/>
          <w:szCs w:val="24"/>
        </w:rPr>
        <w:fldChar w:fldCharType="separate"/>
      </w:r>
      <w:r>
        <w:rPr>
          <w:b/>
          <w:bCs/>
          <w:noProof/>
          <w:color w:val="000000" w:themeColor="text2"/>
          <w:szCs w:val="24"/>
        </w:rPr>
        <w:t>1</w:t>
      </w:r>
      <w:r w:rsidRPr="00EC3F36">
        <w:rPr>
          <w:b/>
          <w:bCs/>
          <w:color w:val="000000" w:themeColor="text2"/>
          <w:szCs w:val="24"/>
        </w:rPr>
        <w:fldChar w:fldCharType="end"/>
      </w:r>
      <w:r w:rsidR="00902F2C">
        <w:rPr>
          <w:b/>
          <w:bCs/>
          <w:color w:val="000000" w:themeColor="text2"/>
          <w:szCs w:val="24"/>
        </w:rPr>
        <w:t xml:space="preserve">. </w:t>
      </w:r>
      <w:r w:rsidRPr="00EC3F36">
        <w:rPr>
          <w:b/>
          <w:bCs/>
          <w:color w:val="000000" w:themeColor="text2"/>
          <w:szCs w:val="24"/>
        </w:rPr>
        <w:t>Abbreviations and acronym</w:t>
      </w:r>
      <w:bookmarkEnd w:id="18"/>
      <w:bookmarkEnd w:id="19"/>
    </w:p>
    <w:tbl>
      <w:tblPr>
        <w:tblStyle w:val="ATFTxDOTTable1"/>
        <w:tblW w:w="0" w:type="auto"/>
        <w:tblLook w:val="0420" w:firstRow="1" w:lastRow="0" w:firstColumn="0" w:lastColumn="0" w:noHBand="0" w:noVBand="1"/>
        <w:tblCaption w:val="Abbreviations and acronyms"/>
      </w:tblPr>
      <w:tblGrid>
        <w:gridCol w:w="3055"/>
        <w:gridCol w:w="6295"/>
      </w:tblGrid>
      <w:tr w:rsidR="00EC3F36" w:rsidRPr="00EC3F36" w14:paraId="0BCAAAFA" w14:textId="77777777" w:rsidTr="004C0CAA">
        <w:trPr>
          <w:cnfStyle w:val="100000000000" w:firstRow="1" w:lastRow="0" w:firstColumn="0" w:lastColumn="0" w:oddVBand="0" w:evenVBand="0" w:oddHBand="0" w:evenHBand="0" w:firstRowFirstColumn="0" w:firstRowLastColumn="0" w:lastRowFirstColumn="0" w:lastRowLastColumn="0"/>
          <w:cantSplit/>
          <w:trHeight w:val="576"/>
          <w:tblHeader/>
        </w:trPr>
        <w:tc>
          <w:tcPr>
            <w:tcW w:w="3055" w:type="dxa"/>
          </w:tcPr>
          <w:p w14:paraId="7EAB5EF9" w14:textId="77777777" w:rsidR="00EC3F36" w:rsidRPr="00EC3F36" w:rsidRDefault="00EC3F36" w:rsidP="00EC3F36">
            <w:pPr>
              <w:spacing w:after="0"/>
              <w:rPr>
                <w:bCs/>
                <w:szCs w:val="24"/>
              </w:rPr>
            </w:pPr>
            <w:r w:rsidRPr="00EC3F36">
              <w:rPr>
                <w:bCs/>
                <w:szCs w:val="24"/>
              </w:rPr>
              <w:t>Abbreviation or Acronym</w:t>
            </w:r>
          </w:p>
        </w:tc>
        <w:tc>
          <w:tcPr>
            <w:tcW w:w="6295" w:type="dxa"/>
          </w:tcPr>
          <w:p w14:paraId="0F675F96" w14:textId="77777777" w:rsidR="00EC3F36" w:rsidRPr="00EC3F36" w:rsidRDefault="00EC3F36" w:rsidP="00EC3F36">
            <w:pPr>
              <w:spacing w:after="0"/>
              <w:rPr>
                <w:bCs/>
                <w:szCs w:val="24"/>
              </w:rPr>
            </w:pPr>
            <w:r w:rsidRPr="00EC3F36">
              <w:rPr>
                <w:bCs/>
                <w:szCs w:val="24"/>
              </w:rPr>
              <w:t>Definition</w:t>
            </w:r>
          </w:p>
        </w:tc>
      </w:tr>
      <w:tr w:rsidR="00EC3F36" w:rsidRPr="00EC3F36" w14:paraId="6E8E3C70" w14:textId="77777777" w:rsidTr="004C0CAA">
        <w:trPr>
          <w:cnfStyle w:val="000000100000" w:firstRow="0" w:lastRow="0" w:firstColumn="0" w:lastColumn="0" w:oddVBand="0" w:evenVBand="0" w:oddHBand="1" w:evenHBand="0" w:firstRowFirstColumn="0" w:firstRowLastColumn="0" w:lastRowFirstColumn="0" w:lastRowLastColumn="0"/>
          <w:cantSplit/>
          <w:trHeight w:val="576"/>
        </w:trPr>
        <w:tc>
          <w:tcPr>
            <w:tcW w:w="3055" w:type="dxa"/>
          </w:tcPr>
          <w:p w14:paraId="5BE6588F" w14:textId="5B390FDA" w:rsidR="00EC3F36" w:rsidRPr="00EC3F36" w:rsidRDefault="00EC3F36" w:rsidP="00EC3F36">
            <w:pPr>
              <w:spacing w:after="0"/>
              <w:rPr>
                <w:bCs/>
                <w:color w:val="000000" w:themeColor="text1"/>
                <w:szCs w:val="24"/>
              </w:rPr>
            </w:pPr>
            <w:r>
              <w:rPr>
                <w:bCs/>
                <w:color w:val="000000" w:themeColor="text1"/>
                <w:szCs w:val="24"/>
              </w:rPr>
              <w:t>CSJ</w:t>
            </w:r>
          </w:p>
        </w:tc>
        <w:tc>
          <w:tcPr>
            <w:tcW w:w="6295" w:type="dxa"/>
          </w:tcPr>
          <w:p w14:paraId="2EE050F3" w14:textId="616C0493" w:rsidR="00EC3F36" w:rsidRPr="00EC3F36" w:rsidRDefault="00EC3F36" w:rsidP="00EC3F36">
            <w:pPr>
              <w:spacing w:after="0"/>
              <w:rPr>
                <w:bCs/>
                <w:color w:val="000000" w:themeColor="text1"/>
                <w:szCs w:val="24"/>
              </w:rPr>
            </w:pPr>
            <w:r>
              <w:rPr>
                <w:bCs/>
                <w:color w:val="000000" w:themeColor="text1"/>
                <w:szCs w:val="24"/>
              </w:rPr>
              <w:t>Control Section Job</w:t>
            </w:r>
          </w:p>
        </w:tc>
      </w:tr>
      <w:tr w:rsidR="00EC3F36" w:rsidRPr="00EC3F36" w14:paraId="54994BB6" w14:textId="77777777" w:rsidTr="004C0CAA">
        <w:trPr>
          <w:cnfStyle w:val="000000010000" w:firstRow="0" w:lastRow="0" w:firstColumn="0" w:lastColumn="0" w:oddVBand="0" w:evenVBand="0" w:oddHBand="0" w:evenHBand="1" w:firstRowFirstColumn="0" w:firstRowLastColumn="0" w:lastRowFirstColumn="0" w:lastRowLastColumn="0"/>
          <w:cantSplit/>
          <w:trHeight w:val="576"/>
        </w:trPr>
        <w:tc>
          <w:tcPr>
            <w:tcW w:w="3055" w:type="dxa"/>
          </w:tcPr>
          <w:p w14:paraId="25991566" w14:textId="16E1DCEE" w:rsidR="00EC3F36" w:rsidRDefault="00EC3F36" w:rsidP="00EC3F36">
            <w:pPr>
              <w:spacing w:after="0"/>
              <w:rPr>
                <w:bCs/>
                <w:color w:val="000000" w:themeColor="text1"/>
                <w:szCs w:val="24"/>
              </w:rPr>
            </w:pPr>
            <w:r>
              <w:rPr>
                <w:bCs/>
                <w:color w:val="000000" w:themeColor="text1"/>
                <w:szCs w:val="24"/>
              </w:rPr>
              <w:t>DocuSign</w:t>
            </w:r>
          </w:p>
        </w:tc>
        <w:tc>
          <w:tcPr>
            <w:tcW w:w="6295" w:type="dxa"/>
          </w:tcPr>
          <w:p w14:paraId="7CD6B98D" w14:textId="67A606B9" w:rsidR="00EC3F36" w:rsidRDefault="00524F03" w:rsidP="00EC3F36">
            <w:pPr>
              <w:spacing w:after="0"/>
              <w:rPr>
                <w:bCs/>
                <w:color w:val="000000" w:themeColor="text1"/>
                <w:szCs w:val="24"/>
              </w:rPr>
            </w:pPr>
            <w:r>
              <w:rPr>
                <w:bCs/>
                <w:color w:val="000000" w:themeColor="text1"/>
                <w:szCs w:val="24"/>
              </w:rPr>
              <w:t>A cloud based electronic signature platform to digitally sign, send, and manage documents</w:t>
            </w:r>
          </w:p>
        </w:tc>
      </w:tr>
      <w:tr w:rsidR="00524F03" w:rsidRPr="00EC3F36" w14:paraId="7641093A" w14:textId="77777777" w:rsidTr="004C0CAA">
        <w:trPr>
          <w:cnfStyle w:val="000000100000" w:firstRow="0" w:lastRow="0" w:firstColumn="0" w:lastColumn="0" w:oddVBand="0" w:evenVBand="0" w:oddHBand="1" w:evenHBand="0" w:firstRowFirstColumn="0" w:firstRowLastColumn="0" w:lastRowFirstColumn="0" w:lastRowLastColumn="0"/>
          <w:cantSplit/>
          <w:trHeight w:val="576"/>
        </w:trPr>
        <w:tc>
          <w:tcPr>
            <w:tcW w:w="3055" w:type="dxa"/>
          </w:tcPr>
          <w:p w14:paraId="018CEA67" w14:textId="6A83E241" w:rsidR="00524F03" w:rsidRPr="00EC3F36" w:rsidRDefault="00524F03" w:rsidP="00EC3F36">
            <w:pPr>
              <w:spacing w:after="0"/>
              <w:rPr>
                <w:bCs/>
                <w:color w:val="000000" w:themeColor="text1"/>
                <w:szCs w:val="24"/>
              </w:rPr>
            </w:pPr>
            <w:r>
              <w:rPr>
                <w:bCs/>
                <w:color w:val="000000" w:themeColor="text1"/>
                <w:szCs w:val="24"/>
              </w:rPr>
              <w:t>ECOS</w:t>
            </w:r>
          </w:p>
        </w:tc>
        <w:tc>
          <w:tcPr>
            <w:tcW w:w="6295" w:type="dxa"/>
          </w:tcPr>
          <w:p w14:paraId="16091A42" w14:textId="7AF7310A" w:rsidR="00524F03" w:rsidRPr="00EC3F36" w:rsidRDefault="00072EA8" w:rsidP="00EC3F36">
            <w:pPr>
              <w:spacing w:after="0"/>
              <w:rPr>
                <w:bCs/>
                <w:color w:val="000000" w:themeColor="text1"/>
                <w:szCs w:val="24"/>
              </w:rPr>
            </w:pPr>
            <w:r w:rsidRPr="00072EA8">
              <w:rPr>
                <w:bCs/>
                <w:color w:val="000000" w:themeColor="text1"/>
                <w:szCs w:val="24"/>
              </w:rPr>
              <w:t>Environmental Compliance Oversight System</w:t>
            </w:r>
          </w:p>
        </w:tc>
      </w:tr>
      <w:tr w:rsidR="00EC3F36" w:rsidRPr="00EC3F36" w14:paraId="19F0084F" w14:textId="77777777" w:rsidTr="004C0CAA">
        <w:trPr>
          <w:cnfStyle w:val="000000010000" w:firstRow="0" w:lastRow="0" w:firstColumn="0" w:lastColumn="0" w:oddVBand="0" w:evenVBand="0" w:oddHBand="0" w:evenHBand="1" w:firstRowFirstColumn="0" w:firstRowLastColumn="0" w:lastRowFirstColumn="0" w:lastRowLastColumn="0"/>
          <w:cantSplit/>
          <w:trHeight w:val="576"/>
        </w:trPr>
        <w:tc>
          <w:tcPr>
            <w:tcW w:w="3055" w:type="dxa"/>
          </w:tcPr>
          <w:p w14:paraId="721CE409" w14:textId="77777777" w:rsidR="00EC3F36" w:rsidRPr="00EC3F36" w:rsidRDefault="00EC3F36" w:rsidP="00EC3F36">
            <w:pPr>
              <w:spacing w:after="0"/>
              <w:rPr>
                <w:bCs/>
                <w:color w:val="000000" w:themeColor="text1"/>
                <w:szCs w:val="24"/>
              </w:rPr>
            </w:pPr>
            <w:r w:rsidRPr="00EC3F36">
              <w:rPr>
                <w:bCs/>
                <w:color w:val="000000" w:themeColor="text1"/>
                <w:szCs w:val="24"/>
              </w:rPr>
              <w:t>ENV</w:t>
            </w:r>
          </w:p>
        </w:tc>
        <w:tc>
          <w:tcPr>
            <w:tcW w:w="6295" w:type="dxa"/>
          </w:tcPr>
          <w:p w14:paraId="59653005" w14:textId="77777777" w:rsidR="00EC3F36" w:rsidRPr="00EC3F36" w:rsidRDefault="00EC3F36" w:rsidP="00EC3F36">
            <w:pPr>
              <w:spacing w:after="0"/>
              <w:rPr>
                <w:bCs/>
                <w:color w:val="000000" w:themeColor="text1"/>
                <w:szCs w:val="24"/>
              </w:rPr>
            </w:pPr>
            <w:r w:rsidRPr="00EC3F36">
              <w:rPr>
                <w:bCs/>
                <w:color w:val="000000" w:themeColor="text1"/>
                <w:szCs w:val="24"/>
              </w:rPr>
              <w:t>Environmental Affairs Division of TxDOT</w:t>
            </w:r>
          </w:p>
        </w:tc>
      </w:tr>
      <w:tr w:rsidR="00524F03" w:rsidRPr="00EC3F36" w14:paraId="3E4548E3" w14:textId="77777777" w:rsidTr="004C0CAA">
        <w:trPr>
          <w:cnfStyle w:val="000000100000" w:firstRow="0" w:lastRow="0" w:firstColumn="0" w:lastColumn="0" w:oddVBand="0" w:evenVBand="0" w:oddHBand="1" w:evenHBand="0" w:firstRowFirstColumn="0" w:firstRowLastColumn="0" w:lastRowFirstColumn="0" w:lastRowLastColumn="0"/>
          <w:cantSplit/>
          <w:trHeight w:val="576"/>
        </w:trPr>
        <w:tc>
          <w:tcPr>
            <w:tcW w:w="3055" w:type="dxa"/>
          </w:tcPr>
          <w:p w14:paraId="5B6A0811" w14:textId="6DC921D3" w:rsidR="00524F03" w:rsidRPr="00EC3F36" w:rsidRDefault="00524F03" w:rsidP="00EC3F36">
            <w:pPr>
              <w:spacing w:after="0"/>
              <w:rPr>
                <w:bCs/>
                <w:color w:val="000000" w:themeColor="text1"/>
                <w:szCs w:val="24"/>
              </w:rPr>
            </w:pPr>
            <w:r>
              <w:rPr>
                <w:bCs/>
                <w:color w:val="000000" w:themeColor="text1"/>
                <w:szCs w:val="24"/>
              </w:rPr>
              <w:t>GCD</w:t>
            </w:r>
          </w:p>
        </w:tc>
        <w:tc>
          <w:tcPr>
            <w:tcW w:w="6295" w:type="dxa"/>
          </w:tcPr>
          <w:p w14:paraId="0DC44986" w14:textId="4B5A7267" w:rsidR="00524F03" w:rsidRPr="00EC3F36" w:rsidRDefault="00524F03" w:rsidP="00EC3F36">
            <w:pPr>
              <w:spacing w:after="0"/>
              <w:rPr>
                <w:bCs/>
                <w:color w:val="000000" w:themeColor="text1"/>
                <w:szCs w:val="24"/>
              </w:rPr>
            </w:pPr>
            <w:r>
              <w:rPr>
                <w:bCs/>
                <w:color w:val="000000" w:themeColor="text1"/>
                <w:szCs w:val="24"/>
              </w:rPr>
              <w:t>General Counsel Division of TxDOT</w:t>
            </w:r>
          </w:p>
        </w:tc>
      </w:tr>
      <w:tr w:rsidR="00524F03" w:rsidRPr="00EC3F36" w14:paraId="2732A285" w14:textId="77777777" w:rsidTr="004C0CAA">
        <w:trPr>
          <w:cnfStyle w:val="000000010000" w:firstRow="0" w:lastRow="0" w:firstColumn="0" w:lastColumn="0" w:oddVBand="0" w:evenVBand="0" w:oddHBand="0" w:evenHBand="1" w:firstRowFirstColumn="0" w:firstRowLastColumn="0" w:lastRowFirstColumn="0" w:lastRowLastColumn="0"/>
          <w:cantSplit/>
          <w:trHeight w:val="576"/>
        </w:trPr>
        <w:tc>
          <w:tcPr>
            <w:tcW w:w="3055" w:type="dxa"/>
          </w:tcPr>
          <w:p w14:paraId="40BC1F58" w14:textId="48CF810C" w:rsidR="00524F03" w:rsidRPr="00EC3F36" w:rsidRDefault="00524F03" w:rsidP="00EC3F36">
            <w:pPr>
              <w:spacing w:after="0"/>
              <w:rPr>
                <w:bCs/>
                <w:color w:val="000000" w:themeColor="text1"/>
                <w:szCs w:val="24"/>
              </w:rPr>
            </w:pPr>
            <w:r>
              <w:rPr>
                <w:bCs/>
                <w:color w:val="000000" w:themeColor="text1"/>
                <w:szCs w:val="24"/>
              </w:rPr>
              <w:t>LBB</w:t>
            </w:r>
          </w:p>
        </w:tc>
        <w:tc>
          <w:tcPr>
            <w:tcW w:w="6295" w:type="dxa"/>
          </w:tcPr>
          <w:p w14:paraId="0C0B43BF" w14:textId="4D68B71B" w:rsidR="00524F03" w:rsidRPr="00EC3F36" w:rsidRDefault="00524F03" w:rsidP="00EC3F36">
            <w:pPr>
              <w:spacing w:after="0"/>
              <w:rPr>
                <w:bCs/>
                <w:color w:val="000000" w:themeColor="text1"/>
                <w:szCs w:val="24"/>
              </w:rPr>
            </w:pPr>
            <w:r w:rsidRPr="00524F03">
              <w:rPr>
                <w:bCs/>
                <w:color w:val="000000" w:themeColor="text1"/>
                <w:szCs w:val="24"/>
              </w:rPr>
              <w:t>Legislative Budget Board</w:t>
            </w:r>
          </w:p>
        </w:tc>
      </w:tr>
      <w:tr w:rsidR="00524F03" w:rsidRPr="00EC3F36" w14:paraId="5E4381D8" w14:textId="77777777" w:rsidTr="004C0CAA">
        <w:trPr>
          <w:cnfStyle w:val="000000100000" w:firstRow="0" w:lastRow="0" w:firstColumn="0" w:lastColumn="0" w:oddVBand="0" w:evenVBand="0" w:oddHBand="1" w:evenHBand="0" w:firstRowFirstColumn="0" w:firstRowLastColumn="0" w:lastRowFirstColumn="0" w:lastRowLastColumn="0"/>
          <w:cantSplit/>
          <w:trHeight w:val="576"/>
        </w:trPr>
        <w:tc>
          <w:tcPr>
            <w:tcW w:w="3055" w:type="dxa"/>
          </w:tcPr>
          <w:p w14:paraId="7EE6F894" w14:textId="4A5C7EE9" w:rsidR="00524F03" w:rsidRDefault="00524F03" w:rsidP="00EC3F36">
            <w:pPr>
              <w:spacing w:after="0"/>
              <w:rPr>
                <w:bCs/>
                <w:color w:val="000000" w:themeColor="text1"/>
                <w:szCs w:val="24"/>
              </w:rPr>
            </w:pPr>
            <w:r>
              <w:rPr>
                <w:bCs/>
                <w:color w:val="000000" w:themeColor="text1"/>
                <w:szCs w:val="24"/>
              </w:rPr>
              <w:t>MBI</w:t>
            </w:r>
          </w:p>
        </w:tc>
        <w:tc>
          <w:tcPr>
            <w:tcW w:w="6295" w:type="dxa"/>
          </w:tcPr>
          <w:p w14:paraId="7DDB39C0" w14:textId="5009120A" w:rsidR="00524F03" w:rsidRPr="00524F03" w:rsidRDefault="00524F03" w:rsidP="00EC3F36">
            <w:pPr>
              <w:spacing w:after="0"/>
              <w:rPr>
                <w:bCs/>
                <w:color w:val="000000" w:themeColor="text1"/>
                <w:szCs w:val="24"/>
              </w:rPr>
            </w:pPr>
            <w:r w:rsidRPr="00524F03">
              <w:rPr>
                <w:bCs/>
                <w:color w:val="000000" w:themeColor="text1"/>
                <w:szCs w:val="24"/>
              </w:rPr>
              <w:t>mitigation banking instrument</w:t>
            </w:r>
          </w:p>
        </w:tc>
      </w:tr>
      <w:tr w:rsidR="00072EA8" w:rsidRPr="00EC3F36" w14:paraId="650B6C27" w14:textId="77777777" w:rsidTr="004C0CAA">
        <w:trPr>
          <w:cnfStyle w:val="000000010000" w:firstRow="0" w:lastRow="0" w:firstColumn="0" w:lastColumn="0" w:oddVBand="0" w:evenVBand="0" w:oddHBand="0" w:evenHBand="1" w:firstRowFirstColumn="0" w:firstRowLastColumn="0" w:lastRowFirstColumn="0" w:lastRowLastColumn="0"/>
          <w:cantSplit/>
          <w:trHeight w:val="576"/>
        </w:trPr>
        <w:tc>
          <w:tcPr>
            <w:tcW w:w="3055" w:type="dxa"/>
          </w:tcPr>
          <w:p w14:paraId="088872CC" w14:textId="1813174C" w:rsidR="00072EA8" w:rsidRDefault="00072EA8" w:rsidP="00EC3F36">
            <w:pPr>
              <w:spacing w:after="0"/>
              <w:rPr>
                <w:bCs/>
                <w:color w:val="000000" w:themeColor="text1"/>
                <w:szCs w:val="24"/>
              </w:rPr>
            </w:pPr>
            <w:r>
              <w:rPr>
                <w:bCs/>
                <w:color w:val="000000" w:themeColor="text1"/>
                <w:szCs w:val="24"/>
              </w:rPr>
              <w:t>NRM</w:t>
            </w:r>
          </w:p>
        </w:tc>
        <w:tc>
          <w:tcPr>
            <w:tcW w:w="6295" w:type="dxa"/>
          </w:tcPr>
          <w:p w14:paraId="75A8BA99" w14:textId="3CB76AD0" w:rsidR="00072EA8" w:rsidRPr="00524F03" w:rsidRDefault="009F666A" w:rsidP="00EC3F36">
            <w:pPr>
              <w:spacing w:after="0"/>
              <w:rPr>
                <w:bCs/>
                <w:color w:val="000000" w:themeColor="text1"/>
                <w:szCs w:val="24"/>
              </w:rPr>
            </w:pPr>
            <w:r w:rsidRPr="009F666A">
              <w:rPr>
                <w:bCs/>
                <w:color w:val="000000" w:themeColor="text1"/>
                <w:szCs w:val="24"/>
              </w:rPr>
              <w:t>Natural Resources Management Section</w:t>
            </w:r>
            <w:r>
              <w:rPr>
                <w:bCs/>
                <w:color w:val="000000" w:themeColor="text1"/>
                <w:szCs w:val="24"/>
              </w:rPr>
              <w:t xml:space="preserve"> of ENV</w:t>
            </w:r>
          </w:p>
        </w:tc>
      </w:tr>
      <w:tr w:rsidR="009F666A" w:rsidRPr="00EC3F36" w14:paraId="26BA879D" w14:textId="77777777" w:rsidTr="004C0CAA">
        <w:trPr>
          <w:cnfStyle w:val="000000100000" w:firstRow="0" w:lastRow="0" w:firstColumn="0" w:lastColumn="0" w:oddVBand="0" w:evenVBand="0" w:oddHBand="1" w:evenHBand="0" w:firstRowFirstColumn="0" w:firstRowLastColumn="0" w:lastRowFirstColumn="0" w:lastRowLastColumn="0"/>
          <w:cantSplit/>
          <w:trHeight w:val="576"/>
        </w:trPr>
        <w:tc>
          <w:tcPr>
            <w:tcW w:w="3055" w:type="dxa"/>
          </w:tcPr>
          <w:p w14:paraId="578C415A" w14:textId="7A7BC764" w:rsidR="009F666A" w:rsidRDefault="009F666A" w:rsidP="00EC3F36">
            <w:pPr>
              <w:spacing w:after="0"/>
              <w:rPr>
                <w:bCs/>
                <w:color w:val="000000" w:themeColor="text1"/>
                <w:szCs w:val="24"/>
              </w:rPr>
            </w:pPr>
            <w:r>
              <w:rPr>
                <w:bCs/>
                <w:color w:val="000000" w:themeColor="text1"/>
                <w:szCs w:val="24"/>
              </w:rPr>
              <w:t>POC</w:t>
            </w:r>
          </w:p>
        </w:tc>
        <w:tc>
          <w:tcPr>
            <w:tcW w:w="6295" w:type="dxa"/>
          </w:tcPr>
          <w:p w14:paraId="3AB401EC" w14:textId="76699BD0" w:rsidR="009F666A" w:rsidRPr="009F666A" w:rsidRDefault="00B8486D" w:rsidP="00EC3F36">
            <w:pPr>
              <w:spacing w:after="0"/>
              <w:rPr>
                <w:bCs/>
                <w:color w:val="000000" w:themeColor="text1"/>
                <w:szCs w:val="24"/>
              </w:rPr>
            </w:pPr>
            <w:r>
              <w:rPr>
                <w:bCs/>
                <w:color w:val="000000" w:themeColor="text1"/>
                <w:szCs w:val="24"/>
              </w:rPr>
              <w:t>p</w:t>
            </w:r>
            <w:r w:rsidR="009F666A">
              <w:rPr>
                <w:bCs/>
                <w:color w:val="000000" w:themeColor="text1"/>
                <w:szCs w:val="24"/>
              </w:rPr>
              <w:t xml:space="preserve">oint of </w:t>
            </w:r>
            <w:r>
              <w:rPr>
                <w:bCs/>
                <w:color w:val="000000" w:themeColor="text1"/>
                <w:szCs w:val="24"/>
              </w:rPr>
              <w:t>c</w:t>
            </w:r>
            <w:r w:rsidR="009F666A">
              <w:rPr>
                <w:bCs/>
                <w:color w:val="000000" w:themeColor="text1"/>
                <w:szCs w:val="24"/>
              </w:rPr>
              <w:t>ontact</w:t>
            </w:r>
          </w:p>
        </w:tc>
      </w:tr>
      <w:tr w:rsidR="00F61FE6" w:rsidRPr="00EC3F36" w14:paraId="6329636D" w14:textId="77777777" w:rsidTr="004C0CAA">
        <w:trPr>
          <w:cnfStyle w:val="000000010000" w:firstRow="0" w:lastRow="0" w:firstColumn="0" w:lastColumn="0" w:oddVBand="0" w:evenVBand="0" w:oddHBand="0" w:evenHBand="1" w:firstRowFirstColumn="0" w:firstRowLastColumn="0" w:lastRowFirstColumn="0" w:lastRowLastColumn="0"/>
          <w:cantSplit/>
          <w:trHeight w:val="576"/>
        </w:trPr>
        <w:tc>
          <w:tcPr>
            <w:tcW w:w="3055" w:type="dxa"/>
          </w:tcPr>
          <w:p w14:paraId="3C6C6AB1" w14:textId="17C36971" w:rsidR="00F61FE6" w:rsidRPr="00F61FE6" w:rsidRDefault="00F61FE6" w:rsidP="00F61FE6">
            <w:pPr>
              <w:spacing w:after="0"/>
              <w:rPr>
                <w:bCs/>
                <w:color w:val="auto"/>
                <w:szCs w:val="24"/>
              </w:rPr>
            </w:pPr>
            <w:r w:rsidRPr="00F61FE6">
              <w:rPr>
                <w:bCs/>
                <w:color w:val="auto"/>
                <w:szCs w:val="24"/>
              </w:rPr>
              <w:t>RIBITS</w:t>
            </w:r>
          </w:p>
        </w:tc>
        <w:tc>
          <w:tcPr>
            <w:tcW w:w="6295" w:type="dxa"/>
            <w:vAlign w:val="top"/>
          </w:tcPr>
          <w:p w14:paraId="2645E9DC" w14:textId="600D6BA1" w:rsidR="00F61FE6" w:rsidRPr="00F61FE6" w:rsidRDefault="00F61FE6" w:rsidP="00F61FE6">
            <w:pPr>
              <w:spacing w:after="0"/>
              <w:rPr>
                <w:bCs/>
                <w:color w:val="auto"/>
                <w:szCs w:val="24"/>
              </w:rPr>
            </w:pPr>
            <w:r w:rsidRPr="00F61FE6">
              <w:rPr>
                <w:color w:val="auto"/>
              </w:rPr>
              <w:t>Regulatory In-lieu Fee and Bank Information Tracking System</w:t>
            </w:r>
          </w:p>
        </w:tc>
      </w:tr>
      <w:tr w:rsidR="00F61FE6" w:rsidRPr="00EC3F36" w14:paraId="50460E05" w14:textId="77777777" w:rsidTr="004C0CAA">
        <w:trPr>
          <w:cnfStyle w:val="000000100000" w:firstRow="0" w:lastRow="0" w:firstColumn="0" w:lastColumn="0" w:oddVBand="0" w:evenVBand="0" w:oddHBand="1" w:evenHBand="0" w:firstRowFirstColumn="0" w:firstRowLastColumn="0" w:lastRowFirstColumn="0" w:lastRowLastColumn="0"/>
          <w:cantSplit/>
          <w:trHeight w:val="576"/>
        </w:trPr>
        <w:tc>
          <w:tcPr>
            <w:tcW w:w="3055" w:type="dxa"/>
          </w:tcPr>
          <w:p w14:paraId="524B109C" w14:textId="77777777" w:rsidR="00F61FE6" w:rsidRPr="00EC3F36" w:rsidRDefault="00F61FE6" w:rsidP="00F61FE6">
            <w:pPr>
              <w:spacing w:after="0"/>
              <w:rPr>
                <w:bCs/>
                <w:color w:val="000000" w:themeColor="text1"/>
                <w:szCs w:val="24"/>
              </w:rPr>
            </w:pPr>
            <w:r w:rsidRPr="00EC3F36">
              <w:rPr>
                <w:bCs/>
                <w:color w:val="000000" w:themeColor="text1"/>
                <w:szCs w:val="24"/>
              </w:rPr>
              <w:t xml:space="preserve">ROW </w:t>
            </w:r>
          </w:p>
        </w:tc>
        <w:tc>
          <w:tcPr>
            <w:tcW w:w="6295" w:type="dxa"/>
          </w:tcPr>
          <w:p w14:paraId="24C90EB5" w14:textId="0DCE7ECF" w:rsidR="00F61FE6" w:rsidRPr="00EC3F36" w:rsidRDefault="00F61FE6" w:rsidP="00F61FE6">
            <w:pPr>
              <w:spacing w:after="0"/>
              <w:rPr>
                <w:bCs/>
                <w:color w:val="000000" w:themeColor="text1"/>
                <w:szCs w:val="24"/>
              </w:rPr>
            </w:pPr>
            <w:r w:rsidRPr="00EC3F36">
              <w:rPr>
                <w:bCs/>
                <w:color w:val="000000" w:themeColor="text1"/>
                <w:szCs w:val="24"/>
              </w:rPr>
              <w:t>Right of Way</w:t>
            </w:r>
            <w:r>
              <w:rPr>
                <w:bCs/>
                <w:color w:val="000000" w:themeColor="text1"/>
                <w:szCs w:val="24"/>
              </w:rPr>
              <w:t xml:space="preserve"> Division of TxDOT</w:t>
            </w:r>
          </w:p>
        </w:tc>
      </w:tr>
      <w:tr w:rsidR="005A3C8C" w:rsidRPr="00EC3F36" w14:paraId="7B21EC75" w14:textId="77777777" w:rsidTr="004C0CAA">
        <w:trPr>
          <w:cnfStyle w:val="000000010000" w:firstRow="0" w:lastRow="0" w:firstColumn="0" w:lastColumn="0" w:oddVBand="0" w:evenVBand="0" w:oddHBand="0" w:evenHBand="1" w:firstRowFirstColumn="0" w:firstRowLastColumn="0" w:lastRowFirstColumn="0" w:lastRowLastColumn="0"/>
          <w:cantSplit/>
          <w:trHeight w:val="576"/>
        </w:trPr>
        <w:tc>
          <w:tcPr>
            <w:tcW w:w="3055" w:type="dxa"/>
          </w:tcPr>
          <w:p w14:paraId="596BA1C1" w14:textId="09EE4A4E" w:rsidR="005A3C8C" w:rsidRPr="00EC3F36" w:rsidRDefault="005A3C8C" w:rsidP="005A3C8C">
            <w:pPr>
              <w:spacing w:after="0"/>
              <w:rPr>
                <w:bCs/>
                <w:color w:val="000000" w:themeColor="text1"/>
                <w:szCs w:val="24"/>
              </w:rPr>
            </w:pPr>
            <w:r>
              <w:rPr>
                <w:bCs/>
                <w:color w:val="000000" w:themeColor="text1"/>
                <w:szCs w:val="24"/>
              </w:rPr>
              <w:t>SOP</w:t>
            </w:r>
          </w:p>
        </w:tc>
        <w:tc>
          <w:tcPr>
            <w:tcW w:w="6295" w:type="dxa"/>
          </w:tcPr>
          <w:p w14:paraId="11295EAE" w14:textId="016D04B1" w:rsidR="005A3C8C" w:rsidRPr="005A3C8C" w:rsidRDefault="00B8486D" w:rsidP="005A3C8C">
            <w:pPr>
              <w:spacing w:after="0"/>
              <w:rPr>
                <w:bCs/>
                <w:color w:val="auto"/>
                <w:szCs w:val="24"/>
              </w:rPr>
            </w:pPr>
            <w:r>
              <w:rPr>
                <w:color w:val="auto"/>
              </w:rPr>
              <w:t>s</w:t>
            </w:r>
            <w:r w:rsidR="005A3C8C" w:rsidRPr="005A3C8C">
              <w:rPr>
                <w:color w:val="auto"/>
              </w:rPr>
              <w:t xml:space="preserve">tandard </w:t>
            </w:r>
            <w:r>
              <w:rPr>
                <w:color w:val="auto"/>
              </w:rPr>
              <w:t>o</w:t>
            </w:r>
            <w:r w:rsidR="005A3C8C" w:rsidRPr="005A3C8C">
              <w:rPr>
                <w:color w:val="auto"/>
              </w:rPr>
              <w:t xml:space="preserve">perating </w:t>
            </w:r>
            <w:r>
              <w:rPr>
                <w:color w:val="auto"/>
              </w:rPr>
              <w:t>p</w:t>
            </w:r>
            <w:r w:rsidR="005A3C8C" w:rsidRPr="005A3C8C">
              <w:rPr>
                <w:color w:val="auto"/>
              </w:rPr>
              <w:t>rocedure</w:t>
            </w:r>
          </w:p>
        </w:tc>
      </w:tr>
      <w:tr w:rsidR="005A3C8C" w:rsidRPr="00EC3F36" w14:paraId="3E166BE9" w14:textId="77777777" w:rsidTr="004C0CAA">
        <w:trPr>
          <w:cnfStyle w:val="000000100000" w:firstRow="0" w:lastRow="0" w:firstColumn="0" w:lastColumn="0" w:oddVBand="0" w:evenVBand="0" w:oddHBand="1" w:evenHBand="0" w:firstRowFirstColumn="0" w:firstRowLastColumn="0" w:lastRowFirstColumn="0" w:lastRowLastColumn="0"/>
          <w:cantSplit/>
          <w:trHeight w:val="576"/>
        </w:trPr>
        <w:tc>
          <w:tcPr>
            <w:tcW w:w="3055" w:type="dxa"/>
          </w:tcPr>
          <w:p w14:paraId="0A362D7E" w14:textId="77777777" w:rsidR="005A3C8C" w:rsidRPr="00EC3F36" w:rsidRDefault="005A3C8C" w:rsidP="005A3C8C">
            <w:pPr>
              <w:spacing w:after="0"/>
              <w:rPr>
                <w:bCs/>
                <w:color w:val="000000" w:themeColor="text1"/>
                <w:szCs w:val="24"/>
              </w:rPr>
            </w:pPr>
            <w:r w:rsidRPr="00EC3F36">
              <w:rPr>
                <w:bCs/>
                <w:color w:val="000000" w:themeColor="text1"/>
                <w:szCs w:val="24"/>
              </w:rPr>
              <w:t>TxDOT</w:t>
            </w:r>
          </w:p>
        </w:tc>
        <w:tc>
          <w:tcPr>
            <w:tcW w:w="6295" w:type="dxa"/>
          </w:tcPr>
          <w:p w14:paraId="5B7BF943" w14:textId="77777777" w:rsidR="005A3C8C" w:rsidRPr="00EC3F36" w:rsidRDefault="005A3C8C" w:rsidP="005A3C8C">
            <w:pPr>
              <w:spacing w:after="0"/>
              <w:rPr>
                <w:bCs/>
                <w:color w:val="000000" w:themeColor="text1"/>
                <w:szCs w:val="24"/>
              </w:rPr>
            </w:pPr>
            <w:r w:rsidRPr="00EC3F36">
              <w:rPr>
                <w:bCs/>
                <w:color w:val="000000" w:themeColor="text1"/>
                <w:szCs w:val="24"/>
              </w:rPr>
              <w:t>Texas Department of Transportation</w:t>
            </w:r>
          </w:p>
        </w:tc>
      </w:tr>
      <w:tr w:rsidR="00A0323A" w:rsidRPr="00EC3F36" w14:paraId="3DD0E5DE" w14:textId="77777777" w:rsidTr="004C0CAA">
        <w:trPr>
          <w:cnfStyle w:val="000000010000" w:firstRow="0" w:lastRow="0" w:firstColumn="0" w:lastColumn="0" w:oddVBand="0" w:evenVBand="0" w:oddHBand="0" w:evenHBand="1" w:firstRowFirstColumn="0" w:firstRowLastColumn="0" w:lastRowFirstColumn="0" w:lastRowLastColumn="0"/>
          <w:cantSplit/>
          <w:trHeight w:val="576"/>
        </w:trPr>
        <w:tc>
          <w:tcPr>
            <w:tcW w:w="3055" w:type="dxa"/>
          </w:tcPr>
          <w:p w14:paraId="31C6E749" w14:textId="1D507BE5" w:rsidR="00A0323A" w:rsidRPr="00A0323A" w:rsidRDefault="00A0323A" w:rsidP="00A0323A">
            <w:pPr>
              <w:spacing w:after="0"/>
              <w:rPr>
                <w:bCs/>
                <w:color w:val="auto"/>
                <w:szCs w:val="24"/>
              </w:rPr>
            </w:pPr>
            <w:r w:rsidRPr="00A0323A">
              <w:rPr>
                <w:color w:val="auto"/>
              </w:rPr>
              <w:t>USACE</w:t>
            </w:r>
          </w:p>
        </w:tc>
        <w:tc>
          <w:tcPr>
            <w:tcW w:w="6295" w:type="dxa"/>
          </w:tcPr>
          <w:p w14:paraId="36A39D28" w14:textId="33ADBAB6" w:rsidR="00A0323A" w:rsidRPr="00A0323A" w:rsidRDefault="00A0323A" w:rsidP="00A0323A">
            <w:pPr>
              <w:spacing w:after="0"/>
              <w:rPr>
                <w:bCs/>
                <w:color w:val="auto"/>
                <w:szCs w:val="24"/>
              </w:rPr>
            </w:pPr>
            <w:r w:rsidRPr="00A0323A">
              <w:rPr>
                <w:color w:val="auto"/>
              </w:rPr>
              <w:t>United States Army Corps of Engineers</w:t>
            </w:r>
          </w:p>
        </w:tc>
      </w:tr>
      <w:tr w:rsidR="00A0323A" w:rsidRPr="00EC3F36" w14:paraId="145C1FC0" w14:textId="77777777" w:rsidTr="004C0CAA">
        <w:trPr>
          <w:cnfStyle w:val="000000100000" w:firstRow="0" w:lastRow="0" w:firstColumn="0" w:lastColumn="0" w:oddVBand="0" w:evenVBand="0" w:oddHBand="1" w:evenHBand="0" w:firstRowFirstColumn="0" w:firstRowLastColumn="0" w:lastRowFirstColumn="0" w:lastRowLastColumn="0"/>
          <w:cantSplit/>
          <w:trHeight w:val="576"/>
        </w:trPr>
        <w:tc>
          <w:tcPr>
            <w:tcW w:w="3055" w:type="dxa"/>
          </w:tcPr>
          <w:p w14:paraId="1C837F2E" w14:textId="2AE0ACA3" w:rsidR="00A0323A" w:rsidRPr="00A0323A" w:rsidRDefault="00A0323A" w:rsidP="00A0323A">
            <w:pPr>
              <w:spacing w:after="0"/>
              <w:rPr>
                <w:bCs/>
                <w:color w:val="auto"/>
                <w:szCs w:val="24"/>
              </w:rPr>
            </w:pPr>
            <w:r w:rsidRPr="00A0323A">
              <w:rPr>
                <w:color w:val="auto"/>
              </w:rPr>
              <w:lastRenderedPageBreak/>
              <w:t>WOTUS</w:t>
            </w:r>
          </w:p>
        </w:tc>
        <w:tc>
          <w:tcPr>
            <w:tcW w:w="6295" w:type="dxa"/>
          </w:tcPr>
          <w:p w14:paraId="7BB2C5D3" w14:textId="19B8CE50" w:rsidR="00A0323A" w:rsidRPr="00A0323A" w:rsidRDefault="00A0323A" w:rsidP="00A0323A">
            <w:pPr>
              <w:spacing w:after="0"/>
              <w:rPr>
                <w:bCs/>
                <w:color w:val="auto"/>
                <w:szCs w:val="24"/>
              </w:rPr>
            </w:pPr>
            <w:r w:rsidRPr="00A0323A">
              <w:rPr>
                <w:color w:val="auto"/>
              </w:rPr>
              <w:t>Water of the U</w:t>
            </w:r>
            <w:r w:rsidR="009B5D3A">
              <w:rPr>
                <w:color w:val="auto"/>
              </w:rPr>
              <w:t>nited States (U</w:t>
            </w:r>
            <w:r w:rsidRPr="00A0323A">
              <w:rPr>
                <w:color w:val="auto"/>
              </w:rPr>
              <w:t>.S.</w:t>
            </w:r>
            <w:r w:rsidR="009B5D3A">
              <w:rPr>
                <w:color w:val="auto"/>
              </w:rPr>
              <w:t>)</w:t>
            </w:r>
          </w:p>
        </w:tc>
      </w:tr>
    </w:tbl>
    <w:p w14:paraId="1838621E" w14:textId="3CCFD63E" w:rsidR="00A0323A" w:rsidRDefault="00A0323A">
      <w:pPr>
        <w:spacing w:after="0" w:line="240" w:lineRule="auto"/>
      </w:pPr>
      <w:r>
        <w:br w:type="page"/>
      </w:r>
    </w:p>
    <w:p w14:paraId="0C5AD6FA" w14:textId="5A833A2B" w:rsidR="00C776E4" w:rsidRDefault="00A0323A" w:rsidP="00A0323A">
      <w:pPr>
        <w:pStyle w:val="Heading2"/>
      </w:pPr>
      <w:bookmarkStart w:id="20" w:name="_Toc222485210"/>
      <w:r>
        <w:lastRenderedPageBreak/>
        <w:t>Revision History</w:t>
      </w:r>
      <w:bookmarkEnd w:id="20"/>
    </w:p>
    <w:p w14:paraId="612A13C2" w14:textId="6EAFF5FB" w:rsidR="00012C97" w:rsidRPr="00012C97" w:rsidRDefault="00012C97" w:rsidP="00012C97">
      <w:pPr>
        <w:keepNext/>
        <w:spacing w:line="240" w:lineRule="auto"/>
        <w:rPr>
          <w:b/>
          <w:bCs/>
          <w:iCs/>
          <w:color w:val="000000" w:themeColor="text2"/>
          <w:szCs w:val="24"/>
        </w:rPr>
      </w:pPr>
      <w:bookmarkStart w:id="21" w:name="_Toc222484785"/>
      <w:r w:rsidRPr="00012C97">
        <w:rPr>
          <w:b/>
          <w:bCs/>
          <w:iCs/>
          <w:color w:val="000000" w:themeColor="text2"/>
          <w:szCs w:val="24"/>
        </w:rPr>
        <w:t xml:space="preserve">Table </w:t>
      </w:r>
      <w:r w:rsidRPr="00012C97">
        <w:rPr>
          <w:b/>
          <w:bCs/>
          <w:iCs/>
          <w:color w:val="000000" w:themeColor="text2"/>
          <w:szCs w:val="24"/>
        </w:rPr>
        <w:fldChar w:fldCharType="begin"/>
      </w:r>
      <w:r w:rsidRPr="00012C97">
        <w:rPr>
          <w:b/>
          <w:bCs/>
          <w:iCs/>
          <w:color w:val="000000" w:themeColor="text2"/>
          <w:szCs w:val="24"/>
        </w:rPr>
        <w:instrText xml:space="preserve"> SEQ Table \* ARABIC </w:instrText>
      </w:r>
      <w:r w:rsidRPr="00012C97">
        <w:rPr>
          <w:b/>
          <w:bCs/>
          <w:iCs/>
          <w:color w:val="000000" w:themeColor="text2"/>
          <w:szCs w:val="24"/>
        </w:rPr>
        <w:fldChar w:fldCharType="separate"/>
      </w:r>
      <w:r w:rsidR="003F12CD">
        <w:rPr>
          <w:b/>
          <w:bCs/>
          <w:iCs/>
          <w:noProof/>
          <w:color w:val="000000" w:themeColor="text2"/>
          <w:szCs w:val="24"/>
        </w:rPr>
        <w:t>2</w:t>
      </w:r>
      <w:r w:rsidRPr="00012C97">
        <w:rPr>
          <w:b/>
          <w:bCs/>
          <w:iCs/>
          <w:color w:val="000000" w:themeColor="text2"/>
          <w:szCs w:val="24"/>
        </w:rPr>
        <w:fldChar w:fldCharType="end"/>
      </w:r>
      <w:r w:rsidRPr="00012C97">
        <w:rPr>
          <w:b/>
          <w:bCs/>
          <w:iCs/>
          <w:color w:val="000000" w:themeColor="text2"/>
          <w:szCs w:val="24"/>
        </w:rPr>
        <w:t>. Document revision history</w:t>
      </w:r>
      <w:bookmarkEnd w:id="21"/>
    </w:p>
    <w:tbl>
      <w:tblPr>
        <w:tblStyle w:val="ATFTxDOTTable2"/>
        <w:tblW w:w="0" w:type="auto"/>
        <w:tblInd w:w="0" w:type="dxa"/>
        <w:tblLook w:val="0420" w:firstRow="1" w:lastRow="0" w:firstColumn="0" w:lastColumn="0" w:noHBand="0" w:noVBand="1"/>
        <w:tblCaption w:val="Document revision history"/>
      </w:tblPr>
      <w:tblGrid>
        <w:gridCol w:w="2210"/>
        <w:gridCol w:w="7140"/>
      </w:tblGrid>
      <w:tr w:rsidR="00012C97" w:rsidRPr="00012C97" w14:paraId="62839398" w14:textId="77777777" w:rsidTr="006A0B2A">
        <w:trPr>
          <w:cnfStyle w:val="100000000000" w:firstRow="1" w:lastRow="0" w:firstColumn="0" w:lastColumn="0" w:oddVBand="0" w:evenVBand="0" w:oddHBand="0" w:evenHBand="0" w:firstRowFirstColumn="0" w:firstRowLastColumn="0" w:lastRowFirstColumn="0" w:lastRowLastColumn="0"/>
          <w:cantSplit/>
          <w:tblHeader/>
        </w:trPr>
        <w:tc>
          <w:tcPr>
            <w:tcW w:w="2210" w:type="dxa"/>
          </w:tcPr>
          <w:p w14:paraId="2644D3EB" w14:textId="77777777" w:rsidR="00012C97" w:rsidRPr="00012C97" w:rsidRDefault="00012C97" w:rsidP="00012C97">
            <w:pPr>
              <w:spacing w:after="0"/>
              <w:rPr>
                <w:szCs w:val="24"/>
              </w:rPr>
            </w:pPr>
            <w:r w:rsidRPr="00012C97">
              <w:rPr>
                <w:szCs w:val="24"/>
              </w:rPr>
              <w:t>Effective date (month year)</w:t>
            </w:r>
          </w:p>
        </w:tc>
        <w:tc>
          <w:tcPr>
            <w:tcW w:w="7140" w:type="dxa"/>
          </w:tcPr>
          <w:p w14:paraId="39829B10" w14:textId="77777777" w:rsidR="00012C97" w:rsidRPr="00012C97" w:rsidRDefault="00012C97" w:rsidP="00012C97">
            <w:pPr>
              <w:spacing w:after="0"/>
              <w:rPr>
                <w:szCs w:val="24"/>
              </w:rPr>
            </w:pPr>
            <w:r w:rsidRPr="00012C97">
              <w:rPr>
                <w:szCs w:val="24"/>
              </w:rPr>
              <w:t>Reason for and description of change</w:t>
            </w:r>
          </w:p>
        </w:tc>
      </w:tr>
      <w:tr w:rsidR="00012C97" w:rsidRPr="00012C97" w14:paraId="4B832A52" w14:textId="77777777" w:rsidTr="006A0B2A">
        <w:trPr>
          <w:cnfStyle w:val="000000100000" w:firstRow="0" w:lastRow="0" w:firstColumn="0" w:lastColumn="0" w:oddVBand="0" w:evenVBand="0" w:oddHBand="1" w:evenHBand="0" w:firstRowFirstColumn="0" w:firstRowLastColumn="0" w:lastRowFirstColumn="0" w:lastRowLastColumn="0"/>
          <w:cantSplit/>
        </w:trPr>
        <w:tc>
          <w:tcPr>
            <w:tcW w:w="2210" w:type="dxa"/>
          </w:tcPr>
          <w:p w14:paraId="6CC225CD" w14:textId="4CEDCE0F" w:rsidR="00012C97" w:rsidRPr="00012C97" w:rsidRDefault="00C12695" w:rsidP="00012C97">
            <w:pPr>
              <w:spacing w:after="0"/>
              <w:rPr>
                <w:color w:val="000000" w:themeColor="text1"/>
                <w:szCs w:val="24"/>
              </w:rPr>
            </w:pPr>
            <w:r w:rsidRPr="00C12695">
              <w:rPr>
                <w:color w:val="000000" w:themeColor="text1"/>
                <w:szCs w:val="24"/>
              </w:rPr>
              <w:t>February 2026</w:t>
            </w:r>
          </w:p>
        </w:tc>
        <w:tc>
          <w:tcPr>
            <w:tcW w:w="7140" w:type="dxa"/>
          </w:tcPr>
          <w:p w14:paraId="67C8B03D" w14:textId="4FD8ED9E" w:rsidR="00905C5C" w:rsidRPr="00C12695" w:rsidRDefault="00905C5C" w:rsidP="00905C5C">
            <w:pPr>
              <w:spacing w:after="0"/>
              <w:rPr>
                <w:color w:val="000000" w:themeColor="text1"/>
                <w:szCs w:val="24"/>
              </w:rPr>
            </w:pPr>
            <w:r w:rsidRPr="00C12695">
              <w:rPr>
                <w:color w:val="000000" w:themeColor="text1"/>
                <w:szCs w:val="24"/>
              </w:rPr>
              <w:t xml:space="preserve">Version </w:t>
            </w:r>
            <w:r w:rsidR="00C12695" w:rsidRPr="00C12695">
              <w:rPr>
                <w:color w:val="000000" w:themeColor="text1"/>
                <w:szCs w:val="24"/>
              </w:rPr>
              <w:t>6</w:t>
            </w:r>
            <w:r w:rsidRPr="00C12695">
              <w:rPr>
                <w:color w:val="000000" w:themeColor="text1"/>
                <w:szCs w:val="24"/>
              </w:rPr>
              <w:t xml:space="preserve"> </w:t>
            </w:r>
          </w:p>
          <w:p w14:paraId="6F3125C7" w14:textId="018316DB" w:rsidR="00012C97" w:rsidRPr="00C12695" w:rsidRDefault="00905C5C" w:rsidP="00905C5C">
            <w:pPr>
              <w:pStyle w:val="ListBullet"/>
            </w:pPr>
            <w:r w:rsidRPr="00C12695">
              <w:t>Updated to comply with accessibility and TxDOT branding standards.</w:t>
            </w:r>
          </w:p>
        </w:tc>
      </w:tr>
      <w:tr w:rsidR="00C12695" w:rsidRPr="00012C97" w14:paraId="0C42EAD9" w14:textId="77777777" w:rsidTr="006A0B2A">
        <w:trPr>
          <w:cnfStyle w:val="000000010000" w:firstRow="0" w:lastRow="0" w:firstColumn="0" w:lastColumn="0" w:oddVBand="0" w:evenVBand="0" w:oddHBand="0" w:evenHBand="1" w:firstRowFirstColumn="0" w:firstRowLastColumn="0" w:lastRowFirstColumn="0" w:lastRowLastColumn="0"/>
          <w:cantSplit/>
        </w:trPr>
        <w:tc>
          <w:tcPr>
            <w:tcW w:w="2210" w:type="dxa"/>
          </w:tcPr>
          <w:p w14:paraId="01FB5C57" w14:textId="5C3A8285" w:rsidR="00C12695" w:rsidRPr="00012C97" w:rsidRDefault="00C12695" w:rsidP="00C12695">
            <w:pPr>
              <w:spacing w:after="0"/>
              <w:rPr>
                <w:b/>
                <w:bCs/>
                <w:color w:val="000000" w:themeColor="text1"/>
                <w:szCs w:val="24"/>
              </w:rPr>
            </w:pPr>
            <w:r w:rsidRPr="002A6A2F">
              <w:t>May 2025</w:t>
            </w:r>
          </w:p>
        </w:tc>
        <w:tc>
          <w:tcPr>
            <w:tcW w:w="7140" w:type="dxa"/>
          </w:tcPr>
          <w:p w14:paraId="609CB7BB" w14:textId="77777777" w:rsidR="00C12695" w:rsidRDefault="00C12695" w:rsidP="00C12695">
            <w:pPr>
              <w:spacing w:after="0"/>
            </w:pPr>
            <w:r w:rsidRPr="002A6A2F">
              <w:t>Version 5</w:t>
            </w:r>
          </w:p>
          <w:p w14:paraId="23123333" w14:textId="5543B8AF" w:rsidR="00C12695" w:rsidRPr="00012C97" w:rsidRDefault="00130DC2" w:rsidP="00C12695">
            <w:pPr>
              <w:pStyle w:val="ListBullet"/>
              <w:rPr>
                <w:color w:val="000000" w:themeColor="text1"/>
                <w:szCs w:val="24"/>
              </w:rPr>
            </w:pPr>
            <w:r>
              <w:t>Included t</w:t>
            </w:r>
            <w:r w:rsidR="00C12695" w:rsidRPr="002A6A2F">
              <w:t xml:space="preserve">he project sponsor or department delegate may also reference the Section 404 Compensatory Mitigation </w:t>
            </w:r>
            <w:r>
              <w:t>f</w:t>
            </w:r>
            <w:r w:rsidR="00C12695" w:rsidRPr="002A6A2F">
              <w:t>lowchart.</w:t>
            </w:r>
          </w:p>
        </w:tc>
      </w:tr>
      <w:tr w:rsidR="00C12695" w:rsidRPr="00012C97" w14:paraId="7311DB3D" w14:textId="77777777" w:rsidTr="006A0B2A">
        <w:trPr>
          <w:cnfStyle w:val="000000100000" w:firstRow="0" w:lastRow="0" w:firstColumn="0" w:lastColumn="0" w:oddVBand="0" w:evenVBand="0" w:oddHBand="1" w:evenHBand="0" w:firstRowFirstColumn="0" w:firstRowLastColumn="0" w:lastRowFirstColumn="0" w:lastRowLastColumn="0"/>
          <w:cantSplit/>
        </w:trPr>
        <w:tc>
          <w:tcPr>
            <w:tcW w:w="2210" w:type="dxa"/>
          </w:tcPr>
          <w:p w14:paraId="7E383D9A" w14:textId="6E70005F" w:rsidR="00C12695" w:rsidRPr="00012C97" w:rsidRDefault="00C12695" w:rsidP="00C12695">
            <w:pPr>
              <w:spacing w:after="0"/>
              <w:rPr>
                <w:b/>
                <w:bCs/>
                <w:color w:val="000000" w:themeColor="text1"/>
                <w:szCs w:val="24"/>
              </w:rPr>
            </w:pPr>
            <w:r w:rsidRPr="002A6A2F">
              <w:t>March 2024</w:t>
            </w:r>
          </w:p>
        </w:tc>
        <w:tc>
          <w:tcPr>
            <w:tcW w:w="7140" w:type="dxa"/>
          </w:tcPr>
          <w:p w14:paraId="527E1994" w14:textId="77777777" w:rsidR="00C12695" w:rsidRDefault="00C12695" w:rsidP="00C12695">
            <w:pPr>
              <w:spacing w:after="0"/>
            </w:pPr>
            <w:r w:rsidRPr="002A6A2F">
              <w:t xml:space="preserve">Version 4 </w:t>
            </w:r>
          </w:p>
          <w:p w14:paraId="4EA034AE" w14:textId="04A25DF8" w:rsidR="00C12695" w:rsidRPr="00012C97" w:rsidRDefault="00130DC2" w:rsidP="00C12695">
            <w:pPr>
              <w:pStyle w:val="ListBullet"/>
              <w:rPr>
                <w:color w:val="000000" w:themeColor="text1"/>
                <w:szCs w:val="24"/>
              </w:rPr>
            </w:pPr>
            <w:r>
              <w:t>I</w:t>
            </w:r>
            <w:r w:rsidR="00C12695" w:rsidRPr="002A6A2F">
              <w:t>nclude</w:t>
            </w:r>
            <w:r>
              <w:t>d</w:t>
            </w:r>
            <w:r w:rsidR="00C12695" w:rsidRPr="002A6A2F">
              <w:t xml:space="preserve"> the addition of a Best Value Mitigation Table Template, available as a separate file on the TxDOT ENV Toolkit and the addition of DocuSign to gather signatures for the mitigation memo packet.</w:t>
            </w:r>
          </w:p>
        </w:tc>
      </w:tr>
      <w:tr w:rsidR="00C12695" w:rsidRPr="00012C97" w14:paraId="2B1FD42C" w14:textId="77777777" w:rsidTr="006A0B2A">
        <w:trPr>
          <w:cnfStyle w:val="000000010000" w:firstRow="0" w:lastRow="0" w:firstColumn="0" w:lastColumn="0" w:oddVBand="0" w:evenVBand="0" w:oddHBand="0" w:evenHBand="1" w:firstRowFirstColumn="0" w:firstRowLastColumn="0" w:lastRowFirstColumn="0" w:lastRowLastColumn="0"/>
          <w:cantSplit/>
        </w:trPr>
        <w:tc>
          <w:tcPr>
            <w:tcW w:w="2210" w:type="dxa"/>
          </w:tcPr>
          <w:p w14:paraId="0F149FCF" w14:textId="63E255DD" w:rsidR="00C12695" w:rsidRPr="00012C97" w:rsidRDefault="00C12695" w:rsidP="00C12695">
            <w:pPr>
              <w:spacing w:after="0"/>
              <w:rPr>
                <w:b/>
                <w:bCs/>
                <w:color w:val="000000" w:themeColor="text1"/>
                <w:szCs w:val="24"/>
              </w:rPr>
            </w:pPr>
            <w:r w:rsidRPr="002A6A2F">
              <w:t>June 2023</w:t>
            </w:r>
          </w:p>
        </w:tc>
        <w:tc>
          <w:tcPr>
            <w:tcW w:w="7140" w:type="dxa"/>
          </w:tcPr>
          <w:p w14:paraId="2C74CA29" w14:textId="77777777" w:rsidR="00C12695" w:rsidRDefault="00C12695" w:rsidP="00C12695">
            <w:pPr>
              <w:spacing w:after="0"/>
            </w:pPr>
            <w:r w:rsidRPr="002A6A2F">
              <w:t>Version 3</w:t>
            </w:r>
          </w:p>
          <w:p w14:paraId="25438A5D" w14:textId="561EED16" w:rsidR="00C12695" w:rsidRPr="00012C97" w:rsidRDefault="00130DC2" w:rsidP="00C12695">
            <w:pPr>
              <w:pStyle w:val="ListBullet"/>
              <w:rPr>
                <w:color w:val="000000" w:themeColor="text1"/>
                <w:szCs w:val="24"/>
              </w:rPr>
            </w:pPr>
            <w:r>
              <w:t>Included</w:t>
            </w:r>
            <w:r w:rsidR="00C12695" w:rsidRPr="002A6A2F">
              <w:t xml:space="preserve"> the inclusion of uploading the letter from the mitigation provider in the Environmental Compliance Oversight System (ECOS) under the ECOS Activity – Perform Water Compensatory Mitigation after the mitigation purchase has been completed.</w:t>
            </w:r>
          </w:p>
        </w:tc>
      </w:tr>
      <w:tr w:rsidR="00C12695" w:rsidRPr="00012C97" w14:paraId="4A73C642" w14:textId="77777777" w:rsidTr="006A0B2A">
        <w:trPr>
          <w:cnfStyle w:val="000000100000" w:firstRow="0" w:lastRow="0" w:firstColumn="0" w:lastColumn="0" w:oddVBand="0" w:evenVBand="0" w:oddHBand="1" w:evenHBand="0" w:firstRowFirstColumn="0" w:firstRowLastColumn="0" w:lastRowFirstColumn="0" w:lastRowLastColumn="0"/>
          <w:cantSplit/>
        </w:trPr>
        <w:tc>
          <w:tcPr>
            <w:tcW w:w="2210" w:type="dxa"/>
          </w:tcPr>
          <w:p w14:paraId="7F1B7346" w14:textId="42DB9AD1" w:rsidR="00C12695" w:rsidRPr="00012C97" w:rsidRDefault="00C12695" w:rsidP="00C12695">
            <w:pPr>
              <w:spacing w:after="0"/>
              <w:rPr>
                <w:b/>
                <w:bCs/>
                <w:color w:val="000000" w:themeColor="text1"/>
                <w:szCs w:val="24"/>
              </w:rPr>
            </w:pPr>
            <w:r w:rsidRPr="002A6A2F">
              <w:lastRenderedPageBreak/>
              <w:t>August 2019</w:t>
            </w:r>
          </w:p>
        </w:tc>
        <w:tc>
          <w:tcPr>
            <w:tcW w:w="7140" w:type="dxa"/>
          </w:tcPr>
          <w:p w14:paraId="718F9535" w14:textId="77777777" w:rsidR="00C12695" w:rsidRDefault="00C12695" w:rsidP="00C12695">
            <w:pPr>
              <w:spacing w:after="0"/>
            </w:pPr>
            <w:r w:rsidRPr="002A6A2F">
              <w:t xml:space="preserve">Version 2 </w:t>
            </w:r>
          </w:p>
          <w:p w14:paraId="5B2235B8" w14:textId="45BDF1BC" w:rsidR="00C12695" w:rsidRPr="00012C97" w:rsidRDefault="004C0CAA" w:rsidP="00C12695">
            <w:pPr>
              <w:pStyle w:val="ListBullet"/>
              <w:rPr>
                <w:color w:val="000000" w:themeColor="text1"/>
                <w:szCs w:val="24"/>
              </w:rPr>
            </w:pPr>
            <w:r>
              <w:t>Removed the</w:t>
            </w:r>
            <w:r w:rsidR="00C12695" w:rsidRPr="002A6A2F">
              <w:t xml:space="preserve"> Legislative Budget Board (LBB) notification. This requirement was removed in the 2019 legislative session and is effective September 1, 2019.</w:t>
            </w:r>
          </w:p>
        </w:tc>
      </w:tr>
      <w:tr w:rsidR="00C12695" w:rsidRPr="00012C97" w14:paraId="3F241A87" w14:textId="77777777" w:rsidTr="006A0B2A">
        <w:trPr>
          <w:cnfStyle w:val="000000010000" w:firstRow="0" w:lastRow="0" w:firstColumn="0" w:lastColumn="0" w:oddVBand="0" w:evenVBand="0" w:oddHBand="0" w:evenHBand="1" w:firstRowFirstColumn="0" w:firstRowLastColumn="0" w:lastRowFirstColumn="0" w:lastRowLastColumn="0"/>
          <w:cantSplit/>
        </w:trPr>
        <w:tc>
          <w:tcPr>
            <w:tcW w:w="2210" w:type="dxa"/>
          </w:tcPr>
          <w:p w14:paraId="5689B9D3" w14:textId="0D2BC016" w:rsidR="00C12695" w:rsidRPr="00012C97" w:rsidRDefault="00C12695" w:rsidP="00C12695">
            <w:pPr>
              <w:spacing w:after="0"/>
              <w:rPr>
                <w:b/>
                <w:bCs/>
                <w:color w:val="000000" w:themeColor="text1"/>
                <w:szCs w:val="24"/>
              </w:rPr>
            </w:pPr>
            <w:r w:rsidRPr="002A6A2F">
              <w:t>June 2019</w:t>
            </w:r>
          </w:p>
        </w:tc>
        <w:tc>
          <w:tcPr>
            <w:tcW w:w="7140" w:type="dxa"/>
          </w:tcPr>
          <w:p w14:paraId="404B1B9E" w14:textId="77777777" w:rsidR="00C12695" w:rsidRDefault="00C12695" w:rsidP="00C12695">
            <w:pPr>
              <w:spacing w:after="0"/>
            </w:pPr>
            <w:r w:rsidRPr="002A6A2F">
              <w:t>Version 1</w:t>
            </w:r>
          </w:p>
          <w:p w14:paraId="7CAACA69" w14:textId="34AA2CD1" w:rsidR="00C12695" w:rsidRPr="00012C97" w:rsidRDefault="00AF7764" w:rsidP="00C12695">
            <w:pPr>
              <w:pStyle w:val="ListBullet"/>
            </w:pPr>
            <w:r>
              <w:t>O</w:t>
            </w:r>
            <w:r w:rsidR="0055688B" w:rsidRPr="0055688B">
              <w:t>utline</w:t>
            </w:r>
            <w:r w:rsidR="004C0CAA">
              <w:t>s</w:t>
            </w:r>
            <w:r w:rsidR="0055688B" w:rsidRPr="0055688B">
              <w:t xml:space="preserve"> the process for the TxDOT delegate to acquire wetland mitigation credits from TxDOT mitigation banks, or purchase wetland</w:t>
            </w:r>
            <w:r w:rsidR="0055688B">
              <w:t xml:space="preserve"> and or </w:t>
            </w:r>
            <w:r w:rsidR="0055688B" w:rsidRPr="0055688B">
              <w:t xml:space="preserve">stream mitigation credits from a </w:t>
            </w:r>
            <w:r w:rsidR="00B8486D" w:rsidRPr="0055688B">
              <w:t>third-party</w:t>
            </w:r>
            <w:r w:rsidR="0055688B" w:rsidRPr="0055688B">
              <w:t xml:space="preserve"> mitigation bank.</w:t>
            </w:r>
          </w:p>
        </w:tc>
      </w:tr>
    </w:tbl>
    <w:p w14:paraId="4618E3FA" w14:textId="1573CDF2" w:rsidR="00C776E4" w:rsidRDefault="00C776E4" w:rsidP="006A0B2A"/>
    <w:sectPr w:rsidR="00C776E4" w:rsidSect="001C12E5">
      <w:footerReference w:type="default" r:id="rId21"/>
      <w:footerReference w:type="first" r:id="rId22"/>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9107" w14:textId="77777777" w:rsidR="00283998" w:rsidRDefault="00283998" w:rsidP="00E9313B">
      <w:pPr>
        <w:spacing w:after="0" w:line="240" w:lineRule="auto"/>
      </w:pPr>
      <w:r>
        <w:separator/>
      </w:r>
    </w:p>
  </w:endnote>
  <w:endnote w:type="continuationSeparator" w:id="0">
    <w:p w14:paraId="04478E19" w14:textId="77777777" w:rsidR="00283998" w:rsidRDefault="00283998" w:rsidP="003D0A5B">
      <w:pPr>
        <w:spacing w:after="0" w:line="240" w:lineRule="auto"/>
      </w:pPr>
      <w:r>
        <w:continuationSeparator/>
      </w:r>
    </w:p>
    <w:p w14:paraId="482301BD" w14:textId="77777777" w:rsidR="00283998" w:rsidRDefault="00283998"/>
    <w:p w14:paraId="02069365" w14:textId="77777777" w:rsidR="00283998" w:rsidRDefault="00283998"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AF67D9C6-4A40-48F2-8A4A-D8384F473C5B}"/>
    <w:embedBold r:id="rId2" w:fontKey="{02A3FD0C-6D43-4572-A1A8-EEF047B6CCE0}"/>
    <w:embedItalic r:id="rId3" w:fontKey="{07F6C377-7C57-4097-AE47-4557AC77ED04}"/>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13FF"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3FC8"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74218B6D" wp14:editId="45EEC776">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D319A"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C23E" w14:textId="24F40D28"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7466E53D" wp14:editId="2A753A2A">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E2871A"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A0323A" w:rsidRPr="00A0323A">
      <w:t xml:space="preserve"> </w:t>
    </w:r>
    <w:r w:rsidR="00A0323A" w:rsidRPr="00A0323A">
      <w:rPr>
        <w:noProof/>
      </w:rPr>
      <w:t xml:space="preserve">Standard Operating Procedure: Acquiring and or Purchasing Section 404 Compensatory Mitigation Credits </w:t>
    </w:r>
    <w:r>
      <w:t xml:space="preserve">|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859B"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6E453166" wp14:editId="6F851594">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306530"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E6326" w14:textId="77777777" w:rsidR="00283998" w:rsidRDefault="00283998" w:rsidP="00E9313B">
      <w:pPr>
        <w:spacing w:after="0" w:line="240" w:lineRule="auto"/>
      </w:pPr>
      <w:r>
        <w:separator/>
      </w:r>
    </w:p>
  </w:footnote>
  <w:footnote w:type="continuationSeparator" w:id="0">
    <w:p w14:paraId="4CE62E47" w14:textId="77777777" w:rsidR="00283998" w:rsidRDefault="00283998" w:rsidP="003D0A5B">
      <w:pPr>
        <w:spacing w:after="0" w:line="240" w:lineRule="auto"/>
      </w:pPr>
      <w:r>
        <w:continuationSeparator/>
      </w:r>
    </w:p>
    <w:p w14:paraId="358A3AC0" w14:textId="77777777" w:rsidR="00283998" w:rsidRDefault="00283998"/>
    <w:p w14:paraId="12FCB33E" w14:textId="77777777" w:rsidR="00283998" w:rsidRDefault="00283998"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0A1875FA"/>
    <w:lvl w:ilvl="0">
      <w:start w:val="1"/>
      <w:numFmt w:val="decimal"/>
      <w:pStyle w:val="ListNumber"/>
      <w:lvlText w:val="%1."/>
      <w:lvlJc w:val="left"/>
      <w:pPr>
        <w:ind w:left="720" w:hanging="360"/>
      </w:p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0"/>
  </w:num>
  <w:num w:numId="2" w16cid:durableId="486940803">
    <w:abstractNumId w:val="2"/>
  </w:num>
  <w:num w:numId="3" w16cid:durableId="1131048890">
    <w:abstractNumId w:val="1"/>
  </w:num>
  <w:num w:numId="4" w16cid:durableId="200477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841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3142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573974">
    <w:abstractNumId w:val="0"/>
  </w:num>
  <w:num w:numId="8" w16cid:durableId="1428574925">
    <w:abstractNumId w:val="0"/>
  </w:num>
  <w:num w:numId="9" w16cid:durableId="870336173">
    <w:abstractNumId w:val="0"/>
  </w:num>
  <w:num w:numId="10" w16cid:durableId="1095832114">
    <w:abstractNumId w:val="0"/>
  </w:num>
  <w:num w:numId="11" w16cid:durableId="1035884260">
    <w:abstractNumId w:val="0"/>
  </w:num>
  <w:num w:numId="12" w16cid:durableId="1524981620">
    <w:abstractNumId w:val="0"/>
  </w:num>
  <w:num w:numId="13" w16cid:durableId="597911851">
    <w:abstractNumId w:val="0"/>
  </w:num>
  <w:num w:numId="14" w16cid:durableId="2112578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4008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5472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15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z+CvWZlQLbSv5M7i7suGLnSOQ3zzjan3ZHTldgwCyOAwoPE45s8/yRC7gsX1KGOXtyb+lpUJWh7n+LBudGwMFQ==" w:salt="tZdFilZgdg9yYW74E/222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DC"/>
    <w:rsid w:val="00012C97"/>
    <w:rsid w:val="00016ADF"/>
    <w:rsid w:val="00020E5C"/>
    <w:rsid w:val="000424F1"/>
    <w:rsid w:val="000446C8"/>
    <w:rsid w:val="00064619"/>
    <w:rsid w:val="00072EA8"/>
    <w:rsid w:val="00082C51"/>
    <w:rsid w:val="000B414A"/>
    <w:rsid w:val="000C0D5B"/>
    <w:rsid w:val="000D78CE"/>
    <w:rsid w:val="000E0D7D"/>
    <w:rsid w:val="000F126D"/>
    <w:rsid w:val="000F27CB"/>
    <w:rsid w:val="001149B9"/>
    <w:rsid w:val="00124546"/>
    <w:rsid w:val="00130DC2"/>
    <w:rsid w:val="00131FAA"/>
    <w:rsid w:val="00137701"/>
    <w:rsid w:val="00145F56"/>
    <w:rsid w:val="001533DC"/>
    <w:rsid w:val="00155E89"/>
    <w:rsid w:val="001579DD"/>
    <w:rsid w:val="00174050"/>
    <w:rsid w:val="001809BD"/>
    <w:rsid w:val="001A2FA1"/>
    <w:rsid w:val="001B5742"/>
    <w:rsid w:val="001C12E5"/>
    <w:rsid w:val="001D276C"/>
    <w:rsid w:val="001E7C85"/>
    <w:rsid w:val="001F3E0C"/>
    <w:rsid w:val="00211BC0"/>
    <w:rsid w:val="0022728C"/>
    <w:rsid w:val="00227CD0"/>
    <w:rsid w:val="002301AB"/>
    <w:rsid w:val="00232D1C"/>
    <w:rsid w:val="00240B34"/>
    <w:rsid w:val="00241FB8"/>
    <w:rsid w:val="0024512C"/>
    <w:rsid w:val="00247CB8"/>
    <w:rsid w:val="00265E5C"/>
    <w:rsid w:val="00273CC7"/>
    <w:rsid w:val="00283998"/>
    <w:rsid w:val="00295654"/>
    <w:rsid w:val="00296656"/>
    <w:rsid w:val="002A04D8"/>
    <w:rsid w:val="002A05A5"/>
    <w:rsid w:val="002A3C78"/>
    <w:rsid w:val="002B0BA2"/>
    <w:rsid w:val="002B37CB"/>
    <w:rsid w:val="002D4E37"/>
    <w:rsid w:val="002D6560"/>
    <w:rsid w:val="002D65F4"/>
    <w:rsid w:val="002F0DD0"/>
    <w:rsid w:val="00300CD1"/>
    <w:rsid w:val="00300E82"/>
    <w:rsid w:val="00306180"/>
    <w:rsid w:val="00330402"/>
    <w:rsid w:val="00333FB6"/>
    <w:rsid w:val="00345AEF"/>
    <w:rsid w:val="003625BB"/>
    <w:rsid w:val="003852FC"/>
    <w:rsid w:val="00387F2F"/>
    <w:rsid w:val="003B6CAE"/>
    <w:rsid w:val="003C2A4C"/>
    <w:rsid w:val="003C676A"/>
    <w:rsid w:val="003C71B7"/>
    <w:rsid w:val="003D0A5B"/>
    <w:rsid w:val="003D192A"/>
    <w:rsid w:val="003D4749"/>
    <w:rsid w:val="003E43D0"/>
    <w:rsid w:val="003E7E04"/>
    <w:rsid w:val="003F12CD"/>
    <w:rsid w:val="003F767E"/>
    <w:rsid w:val="003F7E90"/>
    <w:rsid w:val="00400F33"/>
    <w:rsid w:val="00402F1A"/>
    <w:rsid w:val="004053A6"/>
    <w:rsid w:val="0041293E"/>
    <w:rsid w:val="00435F70"/>
    <w:rsid w:val="00445393"/>
    <w:rsid w:val="00464E56"/>
    <w:rsid w:val="00466FDF"/>
    <w:rsid w:val="0046726C"/>
    <w:rsid w:val="0047464F"/>
    <w:rsid w:val="004804CD"/>
    <w:rsid w:val="00490361"/>
    <w:rsid w:val="004B0DE9"/>
    <w:rsid w:val="004C0CAA"/>
    <w:rsid w:val="004C78F9"/>
    <w:rsid w:val="004D3590"/>
    <w:rsid w:val="004D525F"/>
    <w:rsid w:val="004E4889"/>
    <w:rsid w:val="004F5FEF"/>
    <w:rsid w:val="00505CA3"/>
    <w:rsid w:val="005218C4"/>
    <w:rsid w:val="00524F03"/>
    <w:rsid w:val="005260EC"/>
    <w:rsid w:val="005275CB"/>
    <w:rsid w:val="00546918"/>
    <w:rsid w:val="005470AB"/>
    <w:rsid w:val="0055688B"/>
    <w:rsid w:val="005622ED"/>
    <w:rsid w:val="00574731"/>
    <w:rsid w:val="00575AD7"/>
    <w:rsid w:val="00582328"/>
    <w:rsid w:val="00590BA0"/>
    <w:rsid w:val="005A3C8C"/>
    <w:rsid w:val="005C2664"/>
    <w:rsid w:val="005C2BFE"/>
    <w:rsid w:val="005C5281"/>
    <w:rsid w:val="005D2983"/>
    <w:rsid w:val="005D3011"/>
    <w:rsid w:val="005D38BE"/>
    <w:rsid w:val="00604295"/>
    <w:rsid w:val="00626F7E"/>
    <w:rsid w:val="0063569F"/>
    <w:rsid w:val="00642BC1"/>
    <w:rsid w:val="006440DC"/>
    <w:rsid w:val="00651507"/>
    <w:rsid w:val="006550CD"/>
    <w:rsid w:val="0065532A"/>
    <w:rsid w:val="00671DAF"/>
    <w:rsid w:val="0068078C"/>
    <w:rsid w:val="00685C66"/>
    <w:rsid w:val="00690E09"/>
    <w:rsid w:val="006A0B2A"/>
    <w:rsid w:val="006A60EA"/>
    <w:rsid w:val="006B2846"/>
    <w:rsid w:val="006B544A"/>
    <w:rsid w:val="007142F9"/>
    <w:rsid w:val="00715F60"/>
    <w:rsid w:val="00723362"/>
    <w:rsid w:val="00732C5E"/>
    <w:rsid w:val="00745D4A"/>
    <w:rsid w:val="007561FE"/>
    <w:rsid w:val="00760D4F"/>
    <w:rsid w:val="007822B6"/>
    <w:rsid w:val="00795D53"/>
    <w:rsid w:val="007961FC"/>
    <w:rsid w:val="007A24D4"/>
    <w:rsid w:val="007A6436"/>
    <w:rsid w:val="007C7010"/>
    <w:rsid w:val="007F4D12"/>
    <w:rsid w:val="00810FE0"/>
    <w:rsid w:val="00830DDB"/>
    <w:rsid w:val="00857EE1"/>
    <w:rsid w:val="0088087A"/>
    <w:rsid w:val="008A57EA"/>
    <w:rsid w:val="008B0E37"/>
    <w:rsid w:val="008B3AE8"/>
    <w:rsid w:val="008D2811"/>
    <w:rsid w:val="008D72A6"/>
    <w:rsid w:val="008E4682"/>
    <w:rsid w:val="008E6AA5"/>
    <w:rsid w:val="008F567A"/>
    <w:rsid w:val="00902F2C"/>
    <w:rsid w:val="00905C5C"/>
    <w:rsid w:val="00907379"/>
    <w:rsid w:val="00910CC7"/>
    <w:rsid w:val="00913CE0"/>
    <w:rsid w:val="00913DF0"/>
    <w:rsid w:val="0091552B"/>
    <w:rsid w:val="00935DFA"/>
    <w:rsid w:val="00937873"/>
    <w:rsid w:val="00937D95"/>
    <w:rsid w:val="00941F40"/>
    <w:rsid w:val="00952F15"/>
    <w:rsid w:val="00953721"/>
    <w:rsid w:val="00953ED8"/>
    <w:rsid w:val="0095599F"/>
    <w:rsid w:val="00961EBF"/>
    <w:rsid w:val="00964516"/>
    <w:rsid w:val="00980550"/>
    <w:rsid w:val="00982883"/>
    <w:rsid w:val="00986753"/>
    <w:rsid w:val="009B5D3A"/>
    <w:rsid w:val="009C460F"/>
    <w:rsid w:val="009D1F42"/>
    <w:rsid w:val="009D3D76"/>
    <w:rsid w:val="009D6EB9"/>
    <w:rsid w:val="009E02BD"/>
    <w:rsid w:val="009E1957"/>
    <w:rsid w:val="009E5068"/>
    <w:rsid w:val="009F1DD4"/>
    <w:rsid w:val="009F4847"/>
    <w:rsid w:val="009F666A"/>
    <w:rsid w:val="00A02B24"/>
    <w:rsid w:val="00A0323A"/>
    <w:rsid w:val="00A1426D"/>
    <w:rsid w:val="00A229B6"/>
    <w:rsid w:val="00A34F26"/>
    <w:rsid w:val="00A3514B"/>
    <w:rsid w:val="00A50686"/>
    <w:rsid w:val="00A66AF4"/>
    <w:rsid w:val="00A7674C"/>
    <w:rsid w:val="00A80824"/>
    <w:rsid w:val="00A82D91"/>
    <w:rsid w:val="00A841BB"/>
    <w:rsid w:val="00AA10E8"/>
    <w:rsid w:val="00AA49FA"/>
    <w:rsid w:val="00AA4F86"/>
    <w:rsid w:val="00AB41E2"/>
    <w:rsid w:val="00AE4C68"/>
    <w:rsid w:val="00AF7764"/>
    <w:rsid w:val="00B11660"/>
    <w:rsid w:val="00B13A03"/>
    <w:rsid w:val="00B15547"/>
    <w:rsid w:val="00B227C9"/>
    <w:rsid w:val="00B272A7"/>
    <w:rsid w:val="00B274FE"/>
    <w:rsid w:val="00B35C6B"/>
    <w:rsid w:val="00B510F3"/>
    <w:rsid w:val="00B71F7F"/>
    <w:rsid w:val="00B72EAF"/>
    <w:rsid w:val="00B803C4"/>
    <w:rsid w:val="00B84643"/>
    <w:rsid w:val="00B8486D"/>
    <w:rsid w:val="00B93B4F"/>
    <w:rsid w:val="00B94CDA"/>
    <w:rsid w:val="00BA63DC"/>
    <w:rsid w:val="00BB29D7"/>
    <w:rsid w:val="00BB4982"/>
    <w:rsid w:val="00BB58C0"/>
    <w:rsid w:val="00BC1AE2"/>
    <w:rsid w:val="00BC2A0C"/>
    <w:rsid w:val="00BC2FB8"/>
    <w:rsid w:val="00BC7158"/>
    <w:rsid w:val="00BE3E16"/>
    <w:rsid w:val="00C001A8"/>
    <w:rsid w:val="00C007A7"/>
    <w:rsid w:val="00C12695"/>
    <w:rsid w:val="00C27891"/>
    <w:rsid w:val="00C33034"/>
    <w:rsid w:val="00C41BAA"/>
    <w:rsid w:val="00C423F6"/>
    <w:rsid w:val="00C431EA"/>
    <w:rsid w:val="00C436ED"/>
    <w:rsid w:val="00C445B3"/>
    <w:rsid w:val="00C548C9"/>
    <w:rsid w:val="00C57D3F"/>
    <w:rsid w:val="00C639EB"/>
    <w:rsid w:val="00C64139"/>
    <w:rsid w:val="00C66B1A"/>
    <w:rsid w:val="00C74B3E"/>
    <w:rsid w:val="00C776E4"/>
    <w:rsid w:val="00C82C11"/>
    <w:rsid w:val="00C94912"/>
    <w:rsid w:val="00CC1F1A"/>
    <w:rsid w:val="00CC2BDA"/>
    <w:rsid w:val="00D04CBF"/>
    <w:rsid w:val="00D071AF"/>
    <w:rsid w:val="00D47744"/>
    <w:rsid w:val="00D56E08"/>
    <w:rsid w:val="00D704C5"/>
    <w:rsid w:val="00D775EA"/>
    <w:rsid w:val="00DA5E4D"/>
    <w:rsid w:val="00DE34F5"/>
    <w:rsid w:val="00DE5111"/>
    <w:rsid w:val="00DE69FF"/>
    <w:rsid w:val="00E00839"/>
    <w:rsid w:val="00E21354"/>
    <w:rsid w:val="00E22E30"/>
    <w:rsid w:val="00E43CD8"/>
    <w:rsid w:val="00E455A8"/>
    <w:rsid w:val="00E463F2"/>
    <w:rsid w:val="00E46761"/>
    <w:rsid w:val="00E9313B"/>
    <w:rsid w:val="00EA4742"/>
    <w:rsid w:val="00EB3C3E"/>
    <w:rsid w:val="00EB6AE0"/>
    <w:rsid w:val="00EB78FA"/>
    <w:rsid w:val="00EC1C9F"/>
    <w:rsid w:val="00EC3F36"/>
    <w:rsid w:val="00EC6FF1"/>
    <w:rsid w:val="00EC72C0"/>
    <w:rsid w:val="00ED0775"/>
    <w:rsid w:val="00ED5131"/>
    <w:rsid w:val="00EE2C8E"/>
    <w:rsid w:val="00EF1531"/>
    <w:rsid w:val="00EF5B22"/>
    <w:rsid w:val="00F23C5B"/>
    <w:rsid w:val="00F602D4"/>
    <w:rsid w:val="00F61FE6"/>
    <w:rsid w:val="00F66D09"/>
    <w:rsid w:val="00F84154"/>
    <w:rsid w:val="00F919D6"/>
    <w:rsid w:val="00F92530"/>
    <w:rsid w:val="00F96D2C"/>
    <w:rsid w:val="00FA118A"/>
    <w:rsid w:val="00FA356A"/>
    <w:rsid w:val="00FB2011"/>
    <w:rsid w:val="00FB68A1"/>
    <w:rsid w:val="00FB6EB5"/>
    <w:rsid w:val="00FC262D"/>
    <w:rsid w:val="00FD0EAF"/>
    <w:rsid w:val="00FD3578"/>
    <w:rsid w:val="00FD568D"/>
    <w:rsid w:val="00FE0689"/>
    <w:rsid w:val="00FE5D65"/>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BC77F"/>
  <w15:chartTrackingRefBased/>
  <w15:docId w15:val="{B0ACE036-BC66-484E-88A0-6F5CD6E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FF57DC"/>
    <w:pPr>
      <w:spacing w:line="240" w:lineRule="auto"/>
    </w:pPr>
    <w:rPr>
      <w:rFonts w:eastAsia="MS Mincho" w:cs="Traditional Arabic"/>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A34F26"/>
    <w:pPr>
      <w:tabs>
        <w:tab w:val="right" w:leader="dot" w:pos="9360"/>
      </w:tabs>
      <w:spacing w:before="120" w:after="120" w:line="312" w:lineRule="auto"/>
    </w:pPr>
    <w:rPr>
      <w:rFonts w:ascii="Verdana" w:eastAsia="MS Mincho" w:hAnsi="Verdana" w:cs="Traditional Arabic"/>
      <w:bCs/>
      <w:noProof/>
      <w:kern w:val="0"/>
      <w:szCs w:val="24"/>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character" w:styleId="UnresolvedMention">
    <w:name w:val="Unresolved Mention"/>
    <w:basedOn w:val="DefaultParagraphFont"/>
    <w:uiPriority w:val="99"/>
    <w:semiHidden/>
    <w:unhideWhenUsed/>
    <w:rsid w:val="00C007A7"/>
    <w:rPr>
      <w:color w:val="605E5C"/>
      <w:shd w:val="clear" w:color="auto" w:fill="E1DFDD"/>
    </w:rPr>
  </w:style>
  <w:style w:type="paragraph" w:customStyle="1" w:styleId="SOPProcedureComplete">
    <w:name w:val="SOP Procedure Complete"/>
    <w:basedOn w:val="Normal"/>
    <w:locked/>
    <w:rsid w:val="00C007A7"/>
    <w:pPr>
      <w:spacing w:before="360" w:after="60" w:line="276" w:lineRule="auto"/>
      <w:jc w:val="center"/>
    </w:pPr>
    <w:rPr>
      <w:rFonts w:ascii="Arial" w:eastAsia="Times New Roman" w:hAnsi="Arial" w:cs="Times New Roman"/>
      <w:b/>
      <w:bCs/>
      <w:kern w:val="0"/>
      <w:sz w:val="20"/>
      <w14:ligatures w14:val="none"/>
    </w:rPr>
  </w:style>
  <w:style w:type="character" w:styleId="FollowedHyperlink">
    <w:name w:val="FollowedHyperlink"/>
    <w:basedOn w:val="DefaultParagraphFont"/>
    <w:uiPriority w:val="99"/>
    <w:semiHidden/>
    <w:unhideWhenUsed/>
    <w:rsid w:val="006B544A"/>
    <w:rPr>
      <w:color w:val="5F0F40" w:themeColor="followedHyperlink"/>
      <w:u w:val="single"/>
    </w:rPr>
  </w:style>
  <w:style w:type="table" w:customStyle="1" w:styleId="ATFTxDOTTable1">
    <w:name w:val="ATF TxDOT Table1"/>
    <w:basedOn w:val="TableNormal"/>
    <w:uiPriority w:val="99"/>
    <w:rsid w:val="00EC3F36"/>
    <w:rPr>
      <w:color w:val="0056A9"/>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shd w:val="clear" w:color="auto" w:fill="000000" w:themeFill="text1"/>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table" w:customStyle="1" w:styleId="ATFTxDOTTable2">
    <w:name w:val="ATF TxDOT Table2"/>
    <w:basedOn w:val="TableNormal"/>
    <w:uiPriority w:val="99"/>
    <w:rsid w:val="00012C97"/>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TableofFigures">
    <w:name w:val="table of figures"/>
    <w:basedOn w:val="Normal"/>
    <w:next w:val="Normal"/>
    <w:uiPriority w:val="99"/>
    <w:unhideWhenUsed/>
    <w:rsid w:val="00902F2C"/>
    <w:pPr>
      <w:spacing w:after="0"/>
    </w:pPr>
  </w:style>
  <w:style w:type="paragraph" w:customStyle="1" w:styleId="Default">
    <w:name w:val="Default"/>
    <w:rsid w:val="00EC72C0"/>
    <w:pPr>
      <w:autoSpaceDE w:val="0"/>
      <w:autoSpaceDN w:val="0"/>
      <w:adjustRightInd w:val="0"/>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xdot.gov/business/resources/environmental/compliance-toolkits/natural-resources.htm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ribits.ops.usace.army.mil/ords/f?p=107:997:2373411239273" TargetMode="External"/><Relationship Id="rId2" Type="http://schemas.openxmlformats.org/officeDocument/2006/relationships/customXml" Target="../customXml/item2.xml"/><Relationship Id="rId16" Type="http://schemas.openxmlformats.org/officeDocument/2006/relationships/hyperlink" Target="https://ribits.ops.usace.army.mil/ords/f?p=107:997:2373411239273" TargetMode="External"/><Relationship Id="rId20" Type="http://schemas.openxmlformats.org/officeDocument/2006/relationships/hyperlink" Target="https://www.txdot.gov/business/resources/environmental/compliance-toolkits/natural-resourc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ibits.ops.usace.army.mil/ords/f?p=107:997:237341123927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01%20-%20Working%20Copy/X-Ready%20for%20QC/(https:/ribits.ops.usace.army.mil/ords/f?p=10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coverpage-word-accessible-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2.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3.xml><?xml version="1.0" encoding="utf-8"?>
<ds:datastoreItem xmlns:ds="http://schemas.openxmlformats.org/officeDocument/2006/customXml" ds:itemID="{CAFAEE4C-4D0A-4F19-A8E2-895300773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F02DA-8656-4BD8-A5E4-F6F7AB09512D}">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7fef7c20-eb6f-4e1b-9e04-31bde27da1d8"/>
    <ds:schemaRef ds:uri="4f546ee9-1892-45b9-9ba2-985592e03772"/>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Template>
  <TotalTime>278</TotalTime>
  <Pages>19</Pages>
  <Words>3441</Words>
  <Characters>19618</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Standard Operating Procedure: Acquiring and or Purchasing Section 404 Compensatory Mitigation Credits</vt:lpstr>
    </vt:vector>
  </TitlesOfParts>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Acquiring and or Purchasing Section 404 Compensatory Mitigation Credits</dc:title>
  <dc:subject>Outlines the process for the TxDOT delegate to acquire wetland mitigation credits from TxDOT mitigation banks, or purchase wetland/stream mitigation credits from a third party mitigation bank.</dc:subject>
  <dc:creator>TxDOT</dc:creator>
  <cp:keywords>320-01-sop; ENV; SOP; Water; NRM; mitigation; bank</cp:keywords>
  <dc:description/>
  <cp:lastModifiedBy>Elisa Garcia</cp:lastModifiedBy>
  <cp:revision>88</cp:revision>
  <dcterms:created xsi:type="dcterms:W3CDTF">2026-02-06T18:31:00Z</dcterms:created>
  <dcterms:modified xsi:type="dcterms:W3CDTF">2026-02-27T15:54:00Z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