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DDDB7" w14:textId="77777777" w:rsidR="00020E5C" w:rsidRPr="00020E5C" w:rsidRDefault="00020E5C" w:rsidP="00020E5C">
      <w:pPr>
        <w:pStyle w:val="NormalSingleSpaceNoSpaceAfter"/>
      </w:pPr>
    </w:p>
    <w:p w14:paraId="24EF8009" w14:textId="6456161D" w:rsidR="004D3590" w:rsidRDefault="000171A2" w:rsidP="004D3590">
      <w:pPr>
        <w:pStyle w:val="CVRTxDOTLogoSpacing"/>
      </w:pPr>
      <w:r>
        <w:drawing>
          <wp:inline distT="0" distB="0" distL="0" distR="0" wp14:anchorId="6EBD6A03" wp14:editId="7398F451">
            <wp:extent cx="1164253" cy="866575"/>
            <wp:effectExtent l="0" t="0" r="0" b="0"/>
            <wp:docPr id="231075160"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68735" name="Graphic 1" descr="Texas Department of Transportation logo"/>
                    <pic:cNvPicPr/>
                  </pic:nvPicPr>
                  <pic:blipFill>
                    <a:blip r:embed="rId11">
                      <a:extLst>
                        <a:ext uri="{96DAC541-7B7A-43D3-8B79-37D633B846F1}">
                          <asvg:svgBlip xmlns:asvg="http://schemas.microsoft.com/office/drawing/2016/SVG/main" r:embed="rId12"/>
                        </a:ext>
                      </a:extLst>
                    </a:blip>
                    <a:stretch>
                      <a:fillRect/>
                    </a:stretch>
                  </pic:blipFill>
                  <pic:spPr>
                    <a:xfrm>
                      <a:off x="0" y="0"/>
                      <a:ext cx="1164253" cy="866575"/>
                    </a:xfrm>
                    <a:prstGeom prst="rect">
                      <a:avLst/>
                    </a:prstGeom>
                  </pic:spPr>
                </pic:pic>
              </a:graphicData>
            </a:graphic>
          </wp:inline>
        </w:drawing>
      </w:r>
    </w:p>
    <w:p w14:paraId="130FA8D9" w14:textId="51605868" w:rsidR="004D3590" w:rsidRPr="009404DE" w:rsidRDefault="00C67F36" w:rsidP="004D3590">
      <w:pPr>
        <w:pStyle w:val="Heading1"/>
        <w:ind w:left="1260" w:right="1260"/>
      </w:pPr>
      <w:bookmarkStart w:id="0" w:name="_Toc221010432"/>
      <w:bookmarkStart w:id="1" w:name="_Toc217895683"/>
      <w:r>
        <w:t>Guidance:</w:t>
      </w:r>
      <w:r w:rsidR="00D80E62">
        <w:t xml:space="preserve"> Complying with Laws Protecting Birds and Managing Potential Violations</w:t>
      </w:r>
      <w:bookmarkEnd w:id="0"/>
      <w:r w:rsidR="001C12E5">
        <w:t xml:space="preserve"> </w:t>
      </w:r>
      <w:bookmarkEnd w:id="1"/>
    </w:p>
    <w:p w14:paraId="5ACD3C8F" w14:textId="7D288983" w:rsidR="00FE5D65" w:rsidRDefault="00D80E62" w:rsidP="001C12E5">
      <w:pPr>
        <w:pStyle w:val="CoverPageNormal"/>
        <w:sectPr w:rsidR="00FE5D65" w:rsidSect="003B6CAE">
          <w:footerReference w:type="default" r:id="rId13"/>
          <w:footerReference w:type="first" r:id="rId14"/>
          <w:pgSz w:w="12240" w:h="15840"/>
          <w:pgMar w:top="720" w:right="720" w:bottom="450" w:left="720" w:header="720" w:footer="144" w:gutter="0"/>
          <w:cols w:space="720"/>
          <w:docGrid w:linePitch="360"/>
        </w:sectPr>
      </w:pPr>
      <w:bookmarkStart w:id="2" w:name="_Toc217895684"/>
      <w:r>
        <w:t>This guidance describes T</w:t>
      </w:r>
      <w:r w:rsidR="003D5E37">
        <w:t xml:space="preserve">exas Department of </w:t>
      </w:r>
      <w:r w:rsidR="003D5E37" w:rsidRPr="00FA101B">
        <w:t>Transportation’s responsibilities to comply with the Migratory Bird Treaty Act</w:t>
      </w:r>
      <w:r w:rsidR="00F822F6" w:rsidRPr="00FA101B">
        <w:t>.</w:t>
      </w:r>
      <w:r w:rsidR="00917891" w:rsidRPr="00FA101B">
        <w:rPr>
          <w:rFonts w:ascii="Franklin Gothic Book" w:eastAsia="Times New Roman" w:hAnsi="Franklin Gothic Book" w:cs="Times New Roman"/>
          <w:bCs w:val="0"/>
          <w:noProof w:val="0"/>
          <w:color w:val="auto"/>
          <w:sz w:val="24"/>
          <w:szCs w:val="24"/>
        </w:rPr>
        <w:t xml:space="preserve"> </w:t>
      </w:r>
      <w:r w:rsidR="00917891" w:rsidRPr="00FA101B">
        <w:t>USC §703-711 and Texas Parks and Wildlife Code Title 5, Subtitle B, Chapter 64, Birds</w:t>
      </w:r>
      <w:r w:rsidR="00917891" w:rsidRPr="00917891">
        <w:t>.</w:t>
      </w:r>
      <w:r w:rsidR="004D3590" w:rsidRPr="00EA7288">
        <mc:AlternateContent>
          <mc:Choice Requires="wps">
            <w:drawing>
              <wp:anchor distT="0" distB="0" distL="114300" distR="114300" simplePos="0" relativeHeight="251658240" behindDoc="1" locked="1" layoutInCell="1" allowOverlap="1" wp14:anchorId="34ACC663" wp14:editId="6343932A">
                <wp:simplePos x="0" y="0"/>
                <wp:positionH relativeFrom="margin">
                  <wp:align>right</wp:align>
                </wp:positionH>
                <wp:positionV relativeFrom="page">
                  <wp:posOffset>463550</wp:posOffset>
                </wp:positionV>
                <wp:extent cx="6858000" cy="9138285"/>
                <wp:effectExtent l="0" t="0" r="0" b="5715"/>
                <wp:wrapNone/>
                <wp:docPr id="729570528" name="Rectangle 7295705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9138285"/>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453D6" id="Rectangle 729570528" o:spid="_x0000_s1026" alt="&quot;&quot;" style="position:absolute;margin-left:488.8pt;margin-top:36.5pt;width:540pt;height:719.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" fillcolor="#0056a9" stroked="f" strokeweight="1.5pt">
                <w10:wrap anchorx="margin" anchory="page"/>
                <w10:anchorlock/>
              </v:rect>
            </w:pict>
          </mc:Fallback>
        </mc:AlternateContent>
      </w:r>
      <w:bookmarkEnd w:id="2"/>
    </w:p>
    <w:bookmarkStart w:id="3" w:name="_Toc217895685" w:displacedByCustomXml="next"/>
    <w:sdt>
      <w:sdtPr>
        <w:rPr>
          <w:rFonts w:asciiTheme="minorHAnsi" w:hAnsiTheme="minorHAnsi"/>
          <w:b w:val="0"/>
          <w:bCs w:val="0"/>
          <w:color w:val="auto"/>
          <w:kern w:val="2"/>
          <w:sz w:val="24"/>
          <w:szCs w:val="20"/>
          <w14:ligatures w14:val="standardContextual"/>
        </w:rPr>
        <w:id w:val="1795402842"/>
        <w:docPartObj>
          <w:docPartGallery w:val="Table of Contents"/>
          <w:docPartUnique/>
        </w:docPartObj>
      </w:sdtPr>
      <w:sdtEndPr>
        <w:rPr>
          <w:noProof/>
        </w:rPr>
      </w:sdtEndPr>
      <w:sdtContent>
        <w:p w14:paraId="0E992ED7" w14:textId="77777777" w:rsidR="00AA10E8" w:rsidRDefault="00AA10E8" w:rsidP="00AA10E8">
          <w:pPr>
            <w:pStyle w:val="TOCHeading"/>
          </w:pPr>
          <w:r>
            <w:t>Contents</w:t>
          </w:r>
        </w:p>
        <w:p w14:paraId="4D79A681" w14:textId="6C7A9DA0" w:rsidR="00D67F67" w:rsidRDefault="005622ED">
          <w:pPr>
            <w:pStyle w:val="TOC1"/>
            <w:rPr>
              <w:rFonts w:asciiTheme="minorHAnsi" w:eastAsiaTheme="minorEastAsia" w:hAnsiTheme="minorHAnsi" w:cstheme="minorBidi"/>
              <w:b w:val="0"/>
              <w:color w:val="auto"/>
              <w:kern w:val="2"/>
              <w:szCs w:val="24"/>
              <w14:ligatures w14:val="standardContextual"/>
            </w:rPr>
          </w:pPr>
          <w:r>
            <w:rPr>
              <w:b w:val="0"/>
            </w:rPr>
            <w:fldChar w:fldCharType="begin"/>
          </w:r>
          <w:r>
            <w:rPr>
              <w:b w:val="0"/>
            </w:rPr>
            <w:instrText xml:space="preserve"> TOC \o "1-4" \h \z \u </w:instrText>
          </w:r>
          <w:r>
            <w:rPr>
              <w:b w:val="0"/>
            </w:rPr>
            <w:fldChar w:fldCharType="separate"/>
          </w:r>
          <w:hyperlink w:anchor="_Toc221010432" w:history="1">
            <w:r w:rsidR="00D67F67" w:rsidRPr="00306A0B">
              <w:rPr>
                <w:rStyle w:val="Hyperlink"/>
              </w:rPr>
              <w:t>Guidance: Complying with Laws Protecting Birds and Managing Potential Violations</w:t>
            </w:r>
            <w:r w:rsidR="00D67F67">
              <w:rPr>
                <w:webHidden/>
              </w:rPr>
              <w:tab/>
            </w:r>
            <w:r w:rsidR="00D67F67">
              <w:rPr>
                <w:webHidden/>
              </w:rPr>
              <w:fldChar w:fldCharType="begin"/>
            </w:r>
            <w:r w:rsidR="00D67F67">
              <w:rPr>
                <w:webHidden/>
              </w:rPr>
              <w:instrText xml:space="preserve"> PAGEREF _Toc221010432 \h </w:instrText>
            </w:r>
            <w:r w:rsidR="00D67F67">
              <w:rPr>
                <w:webHidden/>
              </w:rPr>
            </w:r>
            <w:r w:rsidR="00D67F67">
              <w:rPr>
                <w:webHidden/>
              </w:rPr>
              <w:fldChar w:fldCharType="separate"/>
            </w:r>
            <w:r w:rsidR="00D67F67">
              <w:rPr>
                <w:webHidden/>
              </w:rPr>
              <w:t>1</w:t>
            </w:r>
            <w:r w:rsidR="00D67F67">
              <w:rPr>
                <w:webHidden/>
              </w:rPr>
              <w:fldChar w:fldCharType="end"/>
            </w:r>
          </w:hyperlink>
        </w:p>
        <w:p w14:paraId="4EF56E8A" w14:textId="451855C9" w:rsidR="00D67F67" w:rsidRDefault="00D67F67">
          <w:pPr>
            <w:pStyle w:val="TOC2"/>
            <w:tabs>
              <w:tab w:val="right" w:leader="dot" w:pos="9350"/>
            </w:tabs>
            <w:rPr>
              <w:rFonts w:eastAsiaTheme="minorEastAsia"/>
              <w:noProof/>
              <w:szCs w:val="24"/>
            </w:rPr>
          </w:pPr>
          <w:hyperlink w:anchor="_Toc221010433" w:history="1">
            <w:r w:rsidRPr="00306A0B">
              <w:rPr>
                <w:rStyle w:val="Hyperlink"/>
                <w:noProof/>
              </w:rPr>
              <w:t>1.0 Introduction</w:t>
            </w:r>
            <w:r>
              <w:rPr>
                <w:noProof/>
                <w:webHidden/>
              </w:rPr>
              <w:tab/>
            </w:r>
            <w:r>
              <w:rPr>
                <w:noProof/>
                <w:webHidden/>
              </w:rPr>
              <w:fldChar w:fldCharType="begin"/>
            </w:r>
            <w:r>
              <w:rPr>
                <w:noProof/>
                <w:webHidden/>
              </w:rPr>
              <w:instrText xml:space="preserve"> PAGEREF _Toc221010433 \h </w:instrText>
            </w:r>
            <w:r>
              <w:rPr>
                <w:noProof/>
                <w:webHidden/>
              </w:rPr>
            </w:r>
            <w:r>
              <w:rPr>
                <w:noProof/>
                <w:webHidden/>
              </w:rPr>
              <w:fldChar w:fldCharType="separate"/>
            </w:r>
            <w:r>
              <w:rPr>
                <w:noProof/>
                <w:webHidden/>
              </w:rPr>
              <w:t>2</w:t>
            </w:r>
            <w:r>
              <w:rPr>
                <w:noProof/>
                <w:webHidden/>
              </w:rPr>
              <w:fldChar w:fldCharType="end"/>
            </w:r>
          </w:hyperlink>
        </w:p>
        <w:p w14:paraId="389E8F81" w14:textId="7A05DAA7" w:rsidR="00D67F67" w:rsidRDefault="00D67F67">
          <w:pPr>
            <w:pStyle w:val="TOC2"/>
            <w:tabs>
              <w:tab w:val="right" w:leader="dot" w:pos="9350"/>
            </w:tabs>
            <w:rPr>
              <w:rFonts w:eastAsiaTheme="minorEastAsia"/>
              <w:noProof/>
              <w:szCs w:val="24"/>
            </w:rPr>
          </w:pPr>
          <w:hyperlink w:anchor="_Toc221010434" w:history="1">
            <w:r w:rsidRPr="00306A0B">
              <w:rPr>
                <w:rStyle w:val="Hyperlink"/>
                <w:noProof/>
              </w:rPr>
              <w:t>2.0 Migratory Bird Treaty Act</w:t>
            </w:r>
            <w:r>
              <w:rPr>
                <w:noProof/>
                <w:webHidden/>
              </w:rPr>
              <w:tab/>
            </w:r>
            <w:r>
              <w:rPr>
                <w:noProof/>
                <w:webHidden/>
              </w:rPr>
              <w:fldChar w:fldCharType="begin"/>
            </w:r>
            <w:r>
              <w:rPr>
                <w:noProof/>
                <w:webHidden/>
              </w:rPr>
              <w:instrText xml:space="preserve"> PAGEREF _Toc221010434 \h </w:instrText>
            </w:r>
            <w:r>
              <w:rPr>
                <w:noProof/>
                <w:webHidden/>
              </w:rPr>
            </w:r>
            <w:r>
              <w:rPr>
                <w:noProof/>
                <w:webHidden/>
              </w:rPr>
              <w:fldChar w:fldCharType="separate"/>
            </w:r>
            <w:r>
              <w:rPr>
                <w:noProof/>
                <w:webHidden/>
              </w:rPr>
              <w:t>2</w:t>
            </w:r>
            <w:r>
              <w:rPr>
                <w:noProof/>
                <w:webHidden/>
              </w:rPr>
              <w:fldChar w:fldCharType="end"/>
            </w:r>
          </w:hyperlink>
        </w:p>
        <w:p w14:paraId="35F42CDE" w14:textId="652460E5" w:rsidR="00D67F67" w:rsidRDefault="00D67F67">
          <w:pPr>
            <w:pStyle w:val="TOC2"/>
            <w:tabs>
              <w:tab w:val="right" w:leader="dot" w:pos="9350"/>
            </w:tabs>
            <w:rPr>
              <w:rFonts w:eastAsiaTheme="minorEastAsia"/>
              <w:noProof/>
              <w:szCs w:val="24"/>
            </w:rPr>
          </w:pPr>
          <w:hyperlink w:anchor="_Toc221010435" w:history="1">
            <w:r w:rsidRPr="00306A0B">
              <w:rPr>
                <w:rStyle w:val="Hyperlink"/>
                <w:noProof/>
              </w:rPr>
              <w:t>3.0 Texas Parks and Wildlife Code Title 5. Wildlife and Plant Conservation; Subtitle B. Hunting and Fishing; Chapter 64 Birds; Subchapter A; Section 64.002</w:t>
            </w:r>
            <w:r>
              <w:rPr>
                <w:noProof/>
                <w:webHidden/>
              </w:rPr>
              <w:tab/>
            </w:r>
            <w:r>
              <w:rPr>
                <w:noProof/>
                <w:webHidden/>
              </w:rPr>
              <w:fldChar w:fldCharType="begin"/>
            </w:r>
            <w:r>
              <w:rPr>
                <w:noProof/>
                <w:webHidden/>
              </w:rPr>
              <w:instrText xml:space="preserve"> PAGEREF _Toc221010435 \h </w:instrText>
            </w:r>
            <w:r>
              <w:rPr>
                <w:noProof/>
                <w:webHidden/>
              </w:rPr>
            </w:r>
            <w:r>
              <w:rPr>
                <w:noProof/>
                <w:webHidden/>
              </w:rPr>
              <w:fldChar w:fldCharType="separate"/>
            </w:r>
            <w:r>
              <w:rPr>
                <w:noProof/>
                <w:webHidden/>
              </w:rPr>
              <w:t>3</w:t>
            </w:r>
            <w:r>
              <w:rPr>
                <w:noProof/>
                <w:webHidden/>
              </w:rPr>
              <w:fldChar w:fldCharType="end"/>
            </w:r>
          </w:hyperlink>
        </w:p>
        <w:p w14:paraId="736A14CA" w14:textId="632F7EFA" w:rsidR="00D67F67" w:rsidRDefault="00D67F67">
          <w:pPr>
            <w:pStyle w:val="TOC2"/>
            <w:tabs>
              <w:tab w:val="right" w:leader="dot" w:pos="9350"/>
            </w:tabs>
            <w:rPr>
              <w:rFonts w:eastAsiaTheme="minorEastAsia"/>
              <w:noProof/>
              <w:szCs w:val="24"/>
            </w:rPr>
          </w:pPr>
          <w:hyperlink w:anchor="_Toc221010436" w:history="1">
            <w:r w:rsidRPr="00306A0B">
              <w:rPr>
                <w:rStyle w:val="Hyperlink"/>
                <w:noProof/>
              </w:rPr>
              <w:t>4.0 Avoiding Migratory Birds</w:t>
            </w:r>
            <w:r>
              <w:rPr>
                <w:noProof/>
                <w:webHidden/>
              </w:rPr>
              <w:tab/>
            </w:r>
            <w:r>
              <w:rPr>
                <w:noProof/>
                <w:webHidden/>
              </w:rPr>
              <w:fldChar w:fldCharType="begin"/>
            </w:r>
            <w:r>
              <w:rPr>
                <w:noProof/>
                <w:webHidden/>
              </w:rPr>
              <w:instrText xml:space="preserve"> PAGEREF _Toc221010436 \h </w:instrText>
            </w:r>
            <w:r>
              <w:rPr>
                <w:noProof/>
                <w:webHidden/>
              </w:rPr>
            </w:r>
            <w:r>
              <w:rPr>
                <w:noProof/>
                <w:webHidden/>
              </w:rPr>
              <w:fldChar w:fldCharType="separate"/>
            </w:r>
            <w:r>
              <w:rPr>
                <w:noProof/>
                <w:webHidden/>
              </w:rPr>
              <w:t>4</w:t>
            </w:r>
            <w:r>
              <w:rPr>
                <w:noProof/>
                <w:webHidden/>
              </w:rPr>
              <w:fldChar w:fldCharType="end"/>
            </w:r>
          </w:hyperlink>
        </w:p>
        <w:p w14:paraId="47AC88E9" w14:textId="69FE5C23" w:rsidR="00D67F67" w:rsidRDefault="00D67F67">
          <w:pPr>
            <w:pStyle w:val="TOC2"/>
            <w:tabs>
              <w:tab w:val="right" w:leader="dot" w:pos="9350"/>
            </w:tabs>
            <w:rPr>
              <w:rFonts w:eastAsiaTheme="minorEastAsia"/>
              <w:noProof/>
              <w:szCs w:val="24"/>
            </w:rPr>
          </w:pPr>
          <w:hyperlink w:anchor="_Toc221010437" w:history="1">
            <w:r w:rsidRPr="00306A0B">
              <w:rPr>
                <w:rStyle w:val="Hyperlink"/>
                <w:noProof/>
              </w:rPr>
              <w:t>5.0 Handling a Potential Violation</w:t>
            </w:r>
            <w:r>
              <w:rPr>
                <w:noProof/>
                <w:webHidden/>
              </w:rPr>
              <w:tab/>
            </w:r>
            <w:r>
              <w:rPr>
                <w:noProof/>
                <w:webHidden/>
              </w:rPr>
              <w:fldChar w:fldCharType="begin"/>
            </w:r>
            <w:r>
              <w:rPr>
                <w:noProof/>
                <w:webHidden/>
              </w:rPr>
              <w:instrText xml:space="preserve"> PAGEREF _Toc221010437 \h </w:instrText>
            </w:r>
            <w:r>
              <w:rPr>
                <w:noProof/>
                <w:webHidden/>
              </w:rPr>
            </w:r>
            <w:r>
              <w:rPr>
                <w:noProof/>
                <w:webHidden/>
              </w:rPr>
              <w:fldChar w:fldCharType="separate"/>
            </w:r>
            <w:r>
              <w:rPr>
                <w:noProof/>
                <w:webHidden/>
              </w:rPr>
              <w:t>5</w:t>
            </w:r>
            <w:r>
              <w:rPr>
                <w:noProof/>
                <w:webHidden/>
              </w:rPr>
              <w:fldChar w:fldCharType="end"/>
            </w:r>
          </w:hyperlink>
        </w:p>
        <w:p w14:paraId="410D327A" w14:textId="4AAA01EF" w:rsidR="00D67F67" w:rsidRDefault="00D67F67">
          <w:pPr>
            <w:pStyle w:val="TOC2"/>
            <w:tabs>
              <w:tab w:val="right" w:leader="dot" w:pos="9350"/>
            </w:tabs>
            <w:rPr>
              <w:rFonts w:eastAsiaTheme="minorEastAsia"/>
              <w:noProof/>
              <w:szCs w:val="24"/>
            </w:rPr>
          </w:pPr>
          <w:hyperlink w:anchor="_Toc221010438" w:history="1">
            <w:r w:rsidRPr="00306A0B">
              <w:rPr>
                <w:rStyle w:val="Hyperlink"/>
                <w:noProof/>
              </w:rPr>
              <w:t>6.0 Emergency Procedures</w:t>
            </w:r>
            <w:r>
              <w:rPr>
                <w:noProof/>
                <w:webHidden/>
              </w:rPr>
              <w:tab/>
            </w:r>
            <w:r>
              <w:rPr>
                <w:noProof/>
                <w:webHidden/>
              </w:rPr>
              <w:fldChar w:fldCharType="begin"/>
            </w:r>
            <w:r>
              <w:rPr>
                <w:noProof/>
                <w:webHidden/>
              </w:rPr>
              <w:instrText xml:space="preserve"> PAGEREF _Toc221010438 \h </w:instrText>
            </w:r>
            <w:r>
              <w:rPr>
                <w:noProof/>
                <w:webHidden/>
              </w:rPr>
            </w:r>
            <w:r>
              <w:rPr>
                <w:noProof/>
                <w:webHidden/>
              </w:rPr>
              <w:fldChar w:fldCharType="separate"/>
            </w:r>
            <w:r>
              <w:rPr>
                <w:noProof/>
                <w:webHidden/>
              </w:rPr>
              <w:t>6</w:t>
            </w:r>
            <w:r>
              <w:rPr>
                <w:noProof/>
                <w:webHidden/>
              </w:rPr>
              <w:fldChar w:fldCharType="end"/>
            </w:r>
          </w:hyperlink>
        </w:p>
        <w:p w14:paraId="32565860" w14:textId="164AB64E" w:rsidR="00D67F67" w:rsidRDefault="00D67F67">
          <w:pPr>
            <w:pStyle w:val="TOC2"/>
            <w:tabs>
              <w:tab w:val="right" w:leader="dot" w:pos="9350"/>
            </w:tabs>
            <w:rPr>
              <w:rFonts w:eastAsiaTheme="minorEastAsia"/>
              <w:noProof/>
              <w:szCs w:val="24"/>
            </w:rPr>
          </w:pPr>
          <w:hyperlink w:anchor="_Toc221010439" w:history="1">
            <w:r w:rsidRPr="00306A0B">
              <w:rPr>
                <w:rStyle w:val="Hyperlink"/>
                <w:noProof/>
              </w:rPr>
              <w:t>7.0 Fixing American Surface Transportation Act Provisions</w:t>
            </w:r>
            <w:r>
              <w:rPr>
                <w:noProof/>
                <w:webHidden/>
              </w:rPr>
              <w:tab/>
            </w:r>
            <w:r>
              <w:rPr>
                <w:noProof/>
                <w:webHidden/>
              </w:rPr>
              <w:fldChar w:fldCharType="begin"/>
            </w:r>
            <w:r>
              <w:rPr>
                <w:noProof/>
                <w:webHidden/>
              </w:rPr>
              <w:instrText xml:space="preserve"> PAGEREF _Toc221010439 \h </w:instrText>
            </w:r>
            <w:r>
              <w:rPr>
                <w:noProof/>
                <w:webHidden/>
              </w:rPr>
            </w:r>
            <w:r>
              <w:rPr>
                <w:noProof/>
                <w:webHidden/>
              </w:rPr>
              <w:fldChar w:fldCharType="separate"/>
            </w:r>
            <w:r>
              <w:rPr>
                <w:noProof/>
                <w:webHidden/>
              </w:rPr>
              <w:t>6</w:t>
            </w:r>
            <w:r>
              <w:rPr>
                <w:noProof/>
                <w:webHidden/>
              </w:rPr>
              <w:fldChar w:fldCharType="end"/>
            </w:r>
          </w:hyperlink>
        </w:p>
        <w:p w14:paraId="35891D7D" w14:textId="041461FF" w:rsidR="00D67F67" w:rsidRDefault="00D67F67">
          <w:pPr>
            <w:pStyle w:val="TOC2"/>
            <w:tabs>
              <w:tab w:val="right" w:leader="dot" w:pos="9350"/>
            </w:tabs>
            <w:rPr>
              <w:rFonts w:eastAsiaTheme="minorEastAsia"/>
              <w:noProof/>
              <w:szCs w:val="24"/>
            </w:rPr>
          </w:pPr>
          <w:hyperlink w:anchor="_Toc221010440" w:history="1">
            <w:r w:rsidRPr="00306A0B">
              <w:rPr>
                <w:rStyle w:val="Hyperlink"/>
                <w:noProof/>
              </w:rPr>
              <w:t>8.0 Abbreviations and Acronyms</w:t>
            </w:r>
            <w:r>
              <w:rPr>
                <w:noProof/>
                <w:webHidden/>
              </w:rPr>
              <w:tab/>
            </w:r>
            <w:r>
              <w:rPr>
                <w:noProof/>
                <w:webHidden/>
              </w:rPr>
              <w:fldChar w:fldCharType="begin"/>
            </w:r>
            <w:r>
              <w:rPr>
                <w:noProof/>
                <w:webHidden/>
              </w:rPr>
              <w:instrText xml:space="preserve"> PAGEREF _Toc221010440 \h </w:instrText>
            </w:r>
            <w:r>
              <w:rPr>
                <w:noProof/>
                <w:webHidden/>
              </w:rPr>
            </w:r>
            <w:r>
              <w:rPr>
                <w:noProof/>
                <w:webHidden/>
              </w:rPr>
              <w:fldChar w:fldCharType="separate"/>
            </w:r>
            <w:r>
              <w:rPr>
                <w:noProof/>
                <w:webHidden/>
              </w:rPr>
              <w:t>8</w:t>
            </w:r>
            <w:r>
              <w:rPr>
                <w:noProof/>
                <w:webHidden/>
              </w:rPr>
              <w:fldChar w:fldCharType="end"/>
            </w:r>
          </w:hyperlink>
        </w:p>
        <w:p w14:paraId="211BF83D" w14:textId="21F11DB1" w:rsidR="00AA10E8" w:rsidRDefault="00D67F67" w:rsidP="00DC76C5">
          <w:pPr>
            <w:pStyle w:val="TOC2"/>
            <w:tabs>
              <w:tab w:val="right" w:leader="dot" w:pos="9350"/>
            </w:tabs>
          </w:pPr>
          <w:hyperlink w:anchor="_Toc221010441" w:history="1">
            <w:r w:rsidRPr="00306A0B">
              <w:rPr>
                <w:rStyle w:val="Hyperlink"/>
                <w:noProof/>
              </w:rPr>
              <w:t>Revision History</w:t>
            </w:r>
            <w:r>
              <w:rPr>
                <w:noProof/>
                <w:webHidden/>
              </w:rPr>
              <w:tab/>
            </w:r>
            <w:r>
              <w:rPr>
                <w:noProof/>
                <w:webHidden/>
              </w:rPr>
              <w:fldChar w:fldCharType="begin"/>
            </w:r>
            <w:r>
              <w:rPr>
                <w:noProof/>
                <w:webHidden/>
              </w:rPr>
              <w:instrText xml:space="preserve"> PAGEREF _Toc221010441 \h </w:instrText>
            </w:r>
            <w:r>
              <w:rPr>
                <w:noProof/>
                <w:webHidden/>
              </w:rPr>
            </w:r>
            <w:r>
              <w:rPr>
                <w:noProof/>
                <w:webHidden/>
              </w:rPr>
              <w:fldChar w:fldCharType="separate"/>
            </w:r>
            <w:r>
              <w:rPr>
                <w:noProof/>
                <w:webHidden/>
              </w:rPr>
              <w:t>9</w:t>
            </w:r>
            <w:r>
              <w:rPr>
                <w:noProof/>
                <w:webHidden/>
              </w:rPr>
              <w:fldChar w:fldCharType="end"/>
            </w:r>
          </w:hyperlink>
          <w:r w:rsidR="005622ED">
            <w:rPr>
              <w:rFonts w:ascii="Verdana" w:eastAsia="MS Mincho" w:hAnsi="Verdana" w:cs="Traditional Arabic"/>
              <w:b/>
              <w:noProof/>
              <w:color w:val="0056A9"/>
              <w:kern w:val="0"/>
              <w:szCs w:val="28"/>
              <w14:ligatures w14:val="none"/>
            </w:rPr>
            <w:fldChar w:fldCharType="end"/>
          </w:r>
        </w:p>
      </w:sdtContent>
    </w:sdt>
    <w:p w14:paraId="77E0D505" w14:textId="77777777" w:rsidR="00444FA7" w:rsidRDefault="00444FA7">
      <w:pPr>
        <w:spacing w:after="0" w:line="240" w:lineRule="auto"/>
        <w:rPr>
          <w:rFonts w:asciiTheme="majorHAnsi" w:hAnsiTheme="majorHAnsi"/>
          <w:b/>
          <w:color w:val="0056A9"/>
          <w:sz w:val="32"/>
          <w:szCs w:val="32"/>
        </w:rPr>
      </w:pPr>
      <w:bookmarkStart w:id="4" w:name="_Toc221010433"/>
      <w:r>
        <w:br w:type="page"/>
      </w:r>
    </w:p>
    <w:p w14:paraId="61B4FC37" w14:textId="12DE5EA0" w:rsidR="003D0A5B" w:rsidRPr="004537AE" w:rsidRDefault="0041409C" w:rsidP="004537AE">
      <w:pPr>
        <w:pStyle w:val="Heading2"/>
      </w:pPr>
      <w:r w:rsidRPr="004537AE">
        <w:lastRenderedPageBreak/>
        <w:t>1.0 Introduction</w:t>
      </w:r>
      <w:bookmarkEnd w:id="4"/>
      <w:bookmarkEnd w:id="3"/>
    </w:p>
    <w:p w14:paraId="755BC25C" w14:textId="77777777" w:rsidR="0002018B" w:rsidRPr="0002018B" w:rsidRDefault="0002018B" w:rsidP="0002018B">
      <w:r w:rsidRPr="0002018B">
        <w:t xml:space="preserve">Migratory birds use a wide variety of Texas Department of Transportation (TxDOT) infrastructure for nesting, foraging, and hunting. They may be most conspicuous at or on bridges and culverts, but they also utilize mowed and maintained TxDOT right-of-way (ROW), unmaintained ROW, and brushy fence lines. Habitat for migratory birds is also likely to be found in all but the most urbanized locations. This document describes the department’s responsibilities to comply with the </w:t>
      </w:r>
      <w:hyperlink r:id="rId15" w:history="1">
        <w:r w:rsidRPr="00E15094">
          <w:rPr>
            <w:rStyle w:val="Hyperlink"/>
            <w:rFonts w:cstheme="minorBidi"/>
          </w:rPr>
          <w:t>Migratory Bird Treaty Act</w:t>
        </w:r>
      </w:hyperlink>
      <w:r w:rsidRPr="00E15094">
        <w:t xml:space="preserve"> (MBTA) and </w:t>
      </w:r>
      <w:hyperlink r:id="rId16" w:history="1">
        <w:r w:rsidRPr="00E15094">
          <w:rPr>
            <w:rStyle w:val="Hyperlink"/>
            <w:rFonts w:cstheme="minorBidi"/>
          </w:rPr>
          <w:t>Texas Parks and Wildlife (TPW) Code, Title 5, Subtitle B, Chapter 64</w:t>
        </w:r>
      </w:hyperlink>
      <w:r w:rsidRPr="0002018B">
        <w:t xml:space="preserve"> and how to manage potential violations. This guidance does not apply to species listed as endangered or threatened species under the Endangered Species Act or TPW code, or to bald eagles or golden eagles, which are protected under the Bald and Golden Eagle Protection Act.</w:t>
      </w:r>
    </w:p>
    <w:p w14:paraId="06B491A4" w14:textId="60A90049" w:rsidR="00132BCB" w:rsidRDefault="00132BCB" w:rsidP="00132BCB">
      <w:pPr>
        <w:pStyle w:val="Heading2"/>
      </w:pPr>
      <w:bookmarkStart w:id="5" w:name="_Toc221010434"/>
      <w:r>
        <w:t xml:space="preserve">2.0 </w:t>
      </w:r>
      <w:r w:rsidR="00D479DE" w:rsidRPr="00D479DE">
        <w:t>Migratory Bird Treaty Act</w:t>
      </w:r>
      <w:bookmarkEnd w:id="5"/>
    </w:p>
    <w:p w14:paraId="60E857DA" w14:textId="1CA608D8" w:rsidR="00543B0D" w:rsidRPr="00543B0D" w:rsidRDefault="00543B0D" w:rsidP="00543B0D">
      <w:r w:rsidRPr="00543B0D">
        <w:t>The MBTA</w:t>
      </w:r>
      <w:r w:rsidRPr="00543B0D">
        <w:rPr>
          <w:vertAlign w:val="superscript"/>
        </w:rPr>
        <w:footnoteReference w:id="1"/>
      </w:r>
      <w:r w:rsidRPr="00543B0D">
        <w:t xml:space="preserve"> makes it unlawful to pursue, hunt, take, capture, kill or sell migratory birds, which includes all native migratory bird species. The MBTA is a strict-liability criminal statute, meaning liability does not depend on actual negligence or intent to harm. The MBTA is implemented and enforced by the U</w:t>
      </w:r>
      <w:r w:rsidR="003765F5">
        <w:t>nited States</w:t>
      </w:r>
      <w:r w:rsidRPr="00543B0D">
        <w:t xml:space="preserve"> Fish and Wildlife Service (USFWS) within the U</w:t>
      </w:r>
      <w:r w:rsidR="00F63C44">
        <w:t xml:space="preserve">nited </w:t>
      </w:r>
      <w:r w:rsidRPr="00543B0D">
        <w:t>S</w:t>
      </w:r>
      <w:r w:rsidR="00F63C44">
        <w:t>tates</w:t>
      </w:r>
      <w:r w:rsidRPr="00543B0D">
        <w:t xml:space="preserve"> Department of the Interior (DOI) and under the provisions of the MBTA, a “knowing” violation is a felony, while other violations are misdemeanors.</w:t>
      </w:r>
      <w:r w:rsidRPr="00543B0D">
        <w:rPr>
          <w:vertAlign w:val="superscript"/>
        </w:rPr>
        <w:footnoteReference w:id="2"/>
      </w:r>
    </w:p>
    <w:p w14:paraId="4C7F2654" w14:textId="39FF5A9D" w:rsidR="00543B0D" w:rsidRPr="00543B0D" w:rsidRDefault="00543B0D" w:rsidP="00543B0D">
      <w:r w:rsidRPr="00543B0D">
        <w:lastRenderedPageBreak/>
        <w:t xml:space="preserve">The MBTA is implemented by </w:t>
      </w:r>
      <w:r w:rsidR="003765F5">
        <w:t xml:space="preserve">the </w:t>
      </w:r>
      <w:r w:rsidRPr="00543B0D">
        <w:t>USFWS within the DOI. In December 2017, DOI released a Solicitor’s Opinion, M-37050, announcing a reversal in longstanding DOI interpretation of the scope of MBTA liability.</w:t>
      </w:r>
      <w:r w:rsidRPr="00543B0D">
        <w:rPr>
          <w:vertAlign w:val="superscript"/>
        </w:rPr>
        <w:footnoteReference w:id="3"/>
      </w:r>
      <w:r w:rsidRPr="00543B0D">
        <w:t xml:space="preserve"> Solicitor’s Opinion M-37050 concluded that the MBTA prohibition on “take” applies only to “affirmative actions that have as their purpose the taking or killing of migratory birds, their nests, or their eggs.”</w:t>
      </w:r>
      <w:r w:rsidRPr="00543B0D">
        <w:rPr>
          <w:vertAlign w:val="superscript"/>
        </w:rPr>
        <w:footnoteReference w:id="4"/>
      </w:r>
      <w:r w:rsidRPr="00543B0D">
        <w:t xml:space="preserve"> “The “MBTA’s prohibition on pursuing, hunting, taking, capturing, killing, or attempting to do the same applies only</w:t>
      </w:r>
      <w:r w:rsidR="004E5430">
        <w:t xml:space="preserve"> [</w:t>
      </w:r>
      <w:r w:rsidRPr="00543B0D">
        <w:t>…</w:t>
      </w:r>
      <w:r w:rsidR="004E5430">
        <w:t xml:space="preserve">] </w:t>
      </w:r>
      <w:r w:rsidRPr="00543B0D">
        <w:t>to direct and affirmative purposeful actions that reduce migratory birds, their eggs, or their nests, by killing or capturing, to human control.”</w:t>
      </w:r>
      <w:r w:rsidRPr="00543B0D">
        <w:rPr>
          <w:vertAlign w:val="superscript"/>
        </w:rPr>
        <w:footnoteReference w:id="5"/>
      </w:r>
    </w:p>
    <w:p w14:paraId="3F76DEE7" w14:textId="6AD2423F" w:rsidR="00C813B5" w:rsidRPr="004E5430" w:rsidRDefault="000E784A" w:rsidP="00C813B5">
      <w:pPr>
        <w:pStyle w:val="Heading2"/>
      </w:pPr>
      <w:bookmarkStart w:id="7" w:name="_Toc221010435"/>
      <w:r w:rsidRPr="004E5430">
        <w:t>3</w:t>
      </w:r>
      <w:r w:rsidR="00C813B5" w:rsidRPr="004E5430">
        <w:t xml:space="preserve">.0 </w:t>
      </w:r>
      <w:r w:rsidR="00425D54" w:rsidRPr="004E5430">
        <w:t>Texas Parks and Wildlife Code Title 5. Wildlife and Plant Conservation; Subtitle B. Hunting and Fishing; Chapter 64 Birds; Subchapter A; Section 64.002</w:t>
      </w:r>
      <w:bookmarkEnd w:id="7"/>
    </w:p>
    <w:p w14:paraId="608FC63A" w14:textId="50DF7BEF" w:rsidR="00132BCB" w:rsidRDefault="00170E46" w:rsidP="00C813B5">
      <w:r>
        <w:t>Texas Parks and Wildlife (</w:t>
      </w:r>
      <w:r w:rsidR="00657DEB" w:rsidRPr="00657DEB">
        <w:t>TPW</w:t>
      </w:r>
      <w:r>
        <w:t>)</w:t>
      </w:r>
      <w:r w:rsidR="00657DEB" w:rsidRPr="00657DEB">
        <w:t xml:space="preserve"> code states that no person may “catch, kill, injure, pursue, or possess a bird that is not a game bird; </w:t>
      </w:r>
      <w:r w:rsidR="004E5430">
        <w:t>[</w:t>
      </w:r>
      <w:r w:rsidR="00657DEB" w:rsidRPr="00657DEB">
        <w:t>…</w:t>
      </w:r>
      <w:r w:rsidR="004E5430">
        <w:t xml:space="preserve">] </w:t>
      </w:r>
      <w:r w:rsidR="00657DEB" w:rsidRPr="00657DEB">
        <w:t xml:space="preserve">disturb or </w:t>
      </w:r>
      <w:r w:rsidR="00657DEB" w:rsidRPr="00657DEB">
        <w:lastRenderedPageBreak/>
        <w:t>destroy the eggs, nest, or young of a bird that is not a game bird.”</w:t>
      </w:r>
      <w:r w:rsidR="00946119">
        <w:rPr>
          <w:rStyle w:val="FootnoteReference"/>
        </w:rPr>
        <w:footnoteReference w:id="6"/>
      </w:r>
      <w:r w:rsidR="00657DEB" w:rsidRPr="00657DEB">
        <w:t xml:space="preserve"> restrictions also extend to game birds except as provided through permitting, as outlined in the code. TPW code does not make a distinction between purposeful and non-purposeful killing or destruction.</w:t>
      </w:r>
    </w:p>
    <w:p w14:paraId="0792692D" w14:textId="4963D273" w:rsidR="00F51401" w:rsidRDefault="00F51401" w:rsidP="00F51401">
      <w:pPr>
        <w:pStyle w:val="Heading2"/>
      </w:pPr>
      <w:bookmarkStart w:id="8" w:name="_Toc221010436"/>
      <w:r>
        <w:t xml:space="preserve">4.0 </w:t>
      </w:r>
      <w:r w:rsidR="00821627" w:rsidRPr="00821627">
        <w:t>Avoiding Migratory Birds</w:t>
      </w:r>
      <w:bookmarkEnd w:id="8"/>
    </w:p>
    <w:p w14:paraId="5286262A" w14:textId="27EF13CF" w:rsidR="00106B9C" w:rsidRPr="00106B9C" w:rsidRDefault="00106B9C" w:rsidP="00106B9C">
      <w:r w:rsidRPr="00106B9C">
        <w:t>Project-related actions such as clearing land or engaging in roadway construction or maintenance activities should avoid violations of the MBTA or TPW code. While TxDOT project activities do not have the purpose of taking or killing migratory birds, the MBTA and TPW code do not make a distinction between purposeful and non-purposeful killing or destruction.</w:t>
      </w:r>
    </w:p>
    <w:p w14:paraId="7F72FB69" w14:textId="77777777" w:rsidR="00106B9C" w:rsidRPr="00106B9C" w:rsidRDefault="00106B9C" w:rsidP="00106B9C">
      <w:r w:rsidRPr="00106B9C">
        <w:t>Because there are limited options to remove birds on a project site, preemptive and preventative measures to avoid migratory bird species are highly encouraged. Measures to consider include:</w:t>
      </w:r>
    </w:p>
    <w:p w14:paraId="7923E965" w14:textId="77777777" w:rsidR="00106B9C" w:rsidRPr="00106B9C" w:rsidRDefault="00106B9C" w:rsidP="00106B9C">
      <w:pPr>
        <w:pStyle w:val="ListBullet"/>
      </w:pPr>
      <w:r w:rsidRPr="00106B9C">
        <w:t>Conducting ROW clearing activities outside of the nesting season (approximately October 1 through February 14)</w:t>
      </w:r>
    </w:p>
    <w:p w14:paraId="71BDCA70" w14:textId="77777777" w:rsidR="00106B9C" w:rsidRPr="00106B9C" w:rsidRDefault="00106B9C" w:rsidP="00106B9C">
      <w:pPr>
        <w:pStyle w:val="ListBullet"/>
      </w:pPr>
      <w:r w:rsidRPr="00106B9C">
        <w:t>Preventing nest establishment on structures by various measures, such as netting or other means of interference</w:t>
      </w:r>
    </w:p>
    <w:p w14:paraId="190C298B" w14:textId="77777777" w:rsidR="00106B9C" w:rsidRPr="00106B9C" w:rsidRDefault="00106B9C" w:rsidP="00106B9C">
      <w:pPr>
        <w:pStyle w:val="ListBullet"/>
      </w:pPr>
      <w:r w:rsidRPr="00106B9C">
        <w:t>Removing and disposing of unoccupied nests prior to their occupation</w:t>
      </w:r>
    </w:p>
    <w:p w14:paraId="02A280E8" w14:textId="77777777" w:rsidR="00106B9C" w:rsidRPr="00106B9C" w:rsidRDefault="00106B9C" w:rsidP="00106B9C">
      <w:pPr>
        <w:pStyle w:val="ListBullet"/>
      </w:pPr>
      <w:r w:rsidRPr="00106B9C">
        <w:t xml:space="preserve">Removing and disposing of partially constructed nests before they are established (without eggs or nestlings) </w:t>
      </w:r>
    </w:p>
    <w:p w14:paraId="4A244F84" w14:textId="12585885" w:rsidR="00F51401" w:rsidRDefault="00106B9C" w:rsidP="00106B9C">
      <w:r w:rsidRPr="00106B9C">
        <w:t>In limited and relatively rare circumstances it is possible to purposefully remove active nests. This involves special permitting from the USFWS or working with another permitted entity. Contact the Natural Resources Management section (NRM) of the Environmental Affairs Division</w:t>
      </w:r>
      <w:r w:rsidR="00FE17E8">
        <w:t xml:space="preserve"> (ENV)</w:t>
      </w:r>
      <w:r w:rsidRPr="00106B9C">
        <w:t xml:space="preserve"> to see if these alternative methods are practicable. If so, NRM can assist in </w:t>
      </w:r>
      <w:r w:rsidRPr="00106B9C">
        <w:lastRenderedPageBreak/>
        <w:t>obtaining the necessary permissions. These methods are generally discouraged because the approvals are difficult to obtain and time consuming; therefore, they are seldom of any practical benefit.</w:t>
      </w:r>
    </w:p>
    <w:p w14:paraId="1046A268" w14:textId="36264050" w:rsidR="00106B9C" w:rsidRDefault="002A3B69" w:rsidP="00106B9C">
      <w:pPr>
        <w:pStyle w:val="Heading2"/>
      </w:pPr>
      <w:bookmarkStart w:id="9" w:name="_Toc221010437"/>
      <w:r>
        <w:t>5</w:t>
      </w:r>
      <w:r w:rsidR="00106B9C">
        <w:t xml:space="preserve">.0 </w:t>
      </w:r>
      <w:r w:rsidR="00100518" w:rsidRPr="00100518">
        <w:t>Handling a Potential Violation</w:t>
      </w:r>
      <w:bookmarkEnd w:id="9"/>
    </w:p>
    <w:p w14:paraId="60650E89" w14:textId="3C25447D" w:rsidR="00882157" w:rsidRPr="00882157" w:rsidRDefault="00882157" w:rsidP="00882157">
      <w:r w:rsidRPr="00882157">
        <w:t>In the event that migratory birds are encountered onsite during project construction, the person(s) working on the project must take reasonable care to avoid taking, killing, or collecting protected birds, active nests, eggs, or the young. A person that violates the MBTA may be held strictly liable for actions that result in unpermitted take.</w:t>
      </w:r>
      <w:r w:rsidRPr="00882157">
        <w:rPr>
          <w:vertAlign w:val="superscript"/>
        </w:rPr>
        <w:footnoteReference w:id="7"/>
      </w:r>
      <w:r w:rsidRPr="00882157">
        <w:t xml:space="preserve"> A person that violates TPW code Section 64.002 commits an offence that is a Class C Parks and Wildlife Code misdemeanor</w:t>
      </w:r>
      <w:r w:rsidRPr="00882157">
        <w:rPr>
          <w:vertAlign w:val="superscript"/>
        </w:rPr>
        <w:footnoteReference w:id="8"/>
      </w:r>
      <w:r w:rsidRPr="00882157">
        <w:t xml:space="preserve"> and is also liable to the state for the value of each bird unlawfully killed, caught, taken, possessed, or injured.</w:t>
      </w:r>
      <w:r w:rsidRPr="00882157">
        <w:rPr>
          <w:vertAlign w:val="superscript"/>
        </w:rPr>
        <w:footnoteReference w:id="9"/>
      </w:r>
      <w:r w:rsidR="00332EEC">
        <w:t xml:space="preserve"> </w:t>
      </w:r>
    </w:p>
    <w:p w14:paraId="1FEB9A61" w14:textId="77777777" w:rsidR="00882157" w:rsidRPr="00882157" w:rsidRDefault="00882157" w:rsidP="00882157">
      <w:r w:rsidRPr="00882157">
        <w:t>If active migratory bird nests are purposefully disturbed on a project site, take the following steps:</w:t>
      </w:r>
    </w:p>
    <w:p w14:paraId="2C8E3157" w14:textId="77777777" w:rsidR="00882157" w:rsidRPr="00882157" w:rsidRDefault="00882157" w:rsidP="003337C2">
      <w:pPr>
        <w:pStyle w:val="ListNumber"/>
        <w:ind w:left="360"/>
      </w:pPr>
      <w:r w:rsidRPr="00882157">
        <w:t>Immediately notify the district environmental coordinator and NRM.</w:t>
      </w:r>
    </w:p>
    <w:p w14:paraId="4945A7E4" w14:textId="66078FA0" w:rsidR="00106B9C" w:rsidRDefault="00882157" w:rsidP="003337C2">
      <w:pPr>
        <w:pStyle w:val="ListNumber"/>
        <w:ind w:left="360"/>
      </w:pPr>
      <w:r w:rsidRPr="00882157">
        <w:lastRenderedPageBreak/>
        <w:t>Within 48 hours, or as soon as possible, provide NRM with an initial assessment of the situation. This communication should include the nature, timing, and scope of the activity, to the best of your knowledge. You do not need to perform a complete investigation to determine who may be at fault but provide an account of direct observations. Include any photos or other relevant information and documentation you may have. Provide contact names and phone numbers or email addresses.</w:t>
      </w:r>
    </w:p>
    <w:p w14:paraId="2C8DE646" w14:textId="68AC16C2" w:rsidR="00E14B4A" w:rsidRDefault="00E14B4A" w:rsidP="00E14B4A">
      <w:pPr>
        <w:pStyle w:val="Heading2"/>
      </w:pPr>
      <w:bookmarkStart w:id="10" w:name="_Toc221010438"/>
      <w:r>
        <w:t xml:space="preserve">6.0 </w:t>
      </w:r>
      <w:r w:rsidR="00C51719" w:rsidRPr="00C51719">
        <w:t>Emergency Procedures</w:t>
      </w:r>
      <w:bookmarkEnd w:id="10"/>
    </w:p>
    <w:p w14:paraId="1A411554" w14:textId="13900694" w:rsidR="00BE0949" w:rsidRPr="00BE0949" w:rsidRDefault="00BE0949" w:rsidP="00BE0949">
      <w:pPr>
        <w:pStyle w:val="ListNumber"/>
        <w:numPr>
          <w:ilvl w:val="0"/>
          <w:numId w:val="0"/>
        </w:numPr>
      </w:pPr>
      <w:r w:rsidRPr="00BE0949">
        <w:t xml:space="preserve">Emergency activities in an area subject to a </w:t>
      </w:r>
      <w:r w:rsidR="009D6279" w:rsidRPr="00BE0949">
        <w:t>federal</w:t>
      </w:r>
      <w:r w:rsidRPr="00BE0949">
        <w:t xml:space="preserve"> disaster declaration, or which address immediate human health and safety concerns, but have active protected bird nests, may proceed without prior communication with USFWS or TPWD. </w:t>
      </w:r>
    </w:p>
    <w:p w14:paraId="4DDBF974" w14:textId="77777777" w:rsidR="00BE0949" w:rsidRPr="00BE0949" w:rsidRDefault="00BE0949" w:rsidP="00BE0949">
      <w:pPr>
        <w:pStyle w:val="ListNumber"/>
        <w:numPr>
          <w:ilvl w:val="0"/>
          <w:numId w:val="0"/>
        </w:numPr>
      </w:pPr>
      <w:r w:rsidRPr="00BE0949">
        <w:t>In the event of emergency repairs, take the following steps:</w:t>
      </w:r>
    </w:p>
    <w:p w14:paraId="0AFDAAFD" w14:textId="77777777" w:rsidR="00BE0949" w:rsidRPr="00880FFE" w:rsidRDefault="00BE0949" w:rsidP="00880FFE">
      <w:pPr>
        <w:pStyle w:val="ListNumber"/>
        <w:numPr>
          <w:ilvl w:val="0"/>
          <w:numId w:val="8"/>
        </w:numPr>
        <w:ind w:left="360"/>
      </w:pPr>
      <w:r w:rsidRPr="00880FFE">
        <w:t>Conduct emergency repairs to address immediate human health and safety concerns.</w:t>
      </w:r>
    </w:p>
    <w:p w14:paraId="40956934" w14:textId="77777777" w:rsidR="00BE0949" w:rsidRPr="00880FFE" w:rsidRDefault="00BE0949" w:rsidP="00880FFE">
      <w:pPr>
        <w:pStyle w:val="ListNumber"/>
        <w:numPr>
          <w:ilvl w:val="0"/>
          <w:numId w:val="8"/>
        </w:numPr>
        <w:ind w:left="360"/>
      </w:pPr>
      <w:r w:rsidRPr="00880FFE">
        <w:t>Immediately notify the district environmental coordinator and NRM.</w:t>
      </w:r>
    </w:p>
    <w:p w14:paraId="162B20AE" w14:textId="3EF1B9B2" w:rsidR="00882157" w:rsidRDefault="00BE0949" w:rsidP="00880FFE">
      <w:pPr>
        <w:pStyle w:val="ListNumber"/>
        <w:numPr>
          <w:ilvl w:val="0"/>
          <w:numId w:val="8"/>
        </w:numPr>
        <w:ind w:left="360"/>
      </w:pPr>
      <w:r w:rsidRPr="00880FFE">
        <w:t>Upon completion of the emergency repairs, provide NRM with a report on the nature, timing, and scope of the activity that was conducted to address the emergency, and an estimate of the impact to birds or nests. NRM will assist in notifying USFWS and TPWD, as necessary.</w:t>
      </w:r>
    </w:p>
    <w:p w14:paraId="13CA93EC" w14:textId="6662C61C" w:rsidR="0018751C" w:rsidRPr="00F83278" w:rsidRDefault="0018751C" w:rsidP="00F83278">
      <w:pPr>
        <w:pStyle w:val="Heading2"/>
      </w:pPr>
      <w:bookmarkStart w:id="11" w:name="_Toc221010439"/>
      <w:r w:rsidRPr="00F83278">
        <w:t xml:space="preserve">7.0 </w:t>
      </w:r>
      <w:r w:rsidR="009404D1" w:rsidRPr="002B0BC6">
        <w:t>Fixing American Surface Transportation</w:t>
      </w:r>
      <w:r w:rsidR="002903DC" w:rsidRPr="009404D1">
        <w:t xml:space="preserve"> </w:t>
      </w:r>
      <w:r w:rsidR="002903DC" w:rsidRPr="00F83278">
        <w:t>Act Provisions</w:t>
      </w:r>
      <w:bookmarkEnd w:id="11"/>
    </w:p>
    <w:p w14:paraId="099464D2" w14:textId="77777777" w:rsidR="002B0BC6" w:rsidRPr="002B0BC6" w:rsidRDefault="002B0BC6" w:rsidP="002B0BC6">
      <w:pPr>
        <w:pStyle w:val="ListNumber"/>
        <w:numPr>
          <w:ilvl w:val="0"/>
          <w:numId w:val="0"/>
        </w:numPr>
      </w:pPr>
      <w:r w:rsidRPr="002B0BC6">
        <w:t>The Fixing American Surface Transportation (FAST) Act allows at-risk bridges (those bridges with a sufficiency rating of less than 3 on any component) an exemption from MBTA protection for nesting swallow species. If swallow nests will be removed from a bridge using the FAST Act exemption, NRM will work with districts to complete FAST Act coordination as follows:</w:t>
      </w:r>
    </w:p>
    <w:p w14:paraId="1CEC84A3" w14:textId="77777777" w:rsidR="002B0BC6" w:rsidRPr="002B0BC6" w:rsidRDefault="002B0BC6" w:rsidP="002B0BC6">
      <w:pPr>
        <w:pStyle w:val="ListNumber"/>
        <w:numPr>
          <w:ilvl w:val="0"/>
          <w:numId w:val="9"/>
        </w:numPr>
        <w:ind w:left="360"/>
      </w:pPr>
      <w:r w:rsidRPr="002B0BC6">
        <w:lastRenderedPageBreak/>
        <w:t>NRM will coordinate with USFWS regional MBTA contact and provide the location, a summary of work, the engineer’s sufficiency rating, any avoidance and minimization measures used, the time period for activity, along with an estimate of take of swallows (birds, nestlings, and eggs).</w:t>
      </w:r>
    </w:p>
    <w:p w14:paraId="38A92B78" w14:textId="77777777" w:rsidR="002B0BC6" w:rsidRPr="002B0BC6" w:rsidRDefault="002B0BC6" w:rsidP="002B0BC6">
      <w:pPr>
        <w:pStyle w:val="ListNumber"/>
        <w:numPr>
          <w:ilvl w:val="0"/>
          <w:numId w:val="9"/>
        </w:numPr>
        <w:ind w:left="360"/>
      </w:pPr>
      <w:r w:rsidRPr="002B0BC6">
        <w:t xml:space="preserve">After conducting bridge repairs, within 60 days of the take, NRM will send the USFWS regional MBTA contact a brief summary of the work and a final summary of take of swallows (birds, nestlings, and eggs). </w:t>
      </w:r>
    </w:p>
    <w:p w14:paraId="4CF574A8" w14:textId="77777777" w:rsidR="002B0BC6" w:rsidRPr="002B0BC6" w:rsidRDefault="002B0BC6" w:rsidP="002B0BC6">
      <w:pPr>
        <w:pStyle w:val="ListNumber"/>
        <w:numPr>
          <w:ilvl w:val="0"/>
          <w:numId w:val="9"/>
        </w:numPr>
        <w:ind w:left="360"/>
      </w:pPr>
      <w:r w:rsidRPr="002B0BC6">
        <w:t>NRM will include copies of all correspondence with USFWS regional MBTA contact in the project file.</w:t>
      </w:r>
    </w:p>
    <w:p w14:paraId="6016FD1E" w14:textId="721A0F31" w:rsidR="003546FC" w:rsidRDefault="003546FC">
      <w:pPr>
        <w:spacing w:after="0" w:line="240" w:lineRule="auto"/>
        <w:rPr>
          <w:rFonts w:ascii="Verdana" w:eastAsia="MS Mincho" w:hAnsi="Verdana" w:cs="Times New Roman"/>
          <w:color w:val="000000"/>
          <w:kern w:val="0"/>
          <w:szCs w:val="22"/>
          <w14:ligatures w14:val="none"/>
        </w:rPr>
      </w:pPr>
      <w:r>
        <w:br w:type="page"/>
      </w:r>
    </w:p>
    <w:p w14:paraId="286E6B05" w14:textId="222519B0" w:rsidR="00B274A9" w:rsidRDefault="00B274A9" w:rsidP="00B274A9">
      <w:pPr>
        <w:pStyle w:val="Heading2"/>
      </w:pPr>
      <w:bookmarkStart w:id="12" w:name="_Toc221010440"/>
      <w:r>
        <w:lastRenderedPageBreak/>
        <w:t>8.0 Abbreviations and Acronyms</w:t>
      </w:r>
      <w:bookmarkEnd w:id="12"/>
    </w:p>
    <w:p w14:paraId="1C6A7E64" w14:textId="04140A3F" w:rsidR="009518EB" w:rsidRPr="009518EB" w:rsidRDefault="009518EB" w:rsidP="009518EB">
      <w:pPr>
        <w:pStyle w:val="Caption"/>
        <w:keepNext/>
        <w:rPr>
          <w:b/>
          <w:bCs/>
          <w:i w:val="0"/>
          <w:iCs w:val="0"/>
        </w:rPr>
      </w:pPr>
      <w:bookmarkStart w:id="13" w:name="_Toc222999196"/>
      <w:r w:rsidRPr="009518EB">
        <w:rPr>
          <w:b/>
          <w:bCs/>
          <w:i w:val="0"/>
          <w:iCs w:val="0"/>
        </w:rPr>
        <w:t xml:space="preserve">Table </w:t>
      </w:r>
      <w:r w:rsidRPr="009518EB">
        <w:rPr>
          <w:b/>
          <w:bCs/>
          <w:i w:val="0"/>
          <w:iCs w:val="0"/>
        </w:rPr>
        <w:fldChar w:fldCharType="begin"/>
      </w:r>
      <w:r w:rsidRPr="009518EB">
        <w:rPr>
          <w:b/>
          <w:bCs/>
          <w:i w:val="0"/>
          <w:iCs w:val="0"/>
        </w:rPr>
        <w:instrText xml:space="preserve"> SEQ Table \* ARABIC </w:instrText>
      </w:r>
      <w:r w:rsidRPr="009518EB">
        <w:rPr>
          <w:b/>
          <w:bCs/>
          <w:i w:val="0"/>
          <w:iCs w:val="0"/>
        </w:rPr>
        <w:fldChar w:fldCharType="separate"/>
      </w:r>
      <w:r w:rsidR="001E7A69">
        <w:rPr>
          <w:b/>
          <w:bCs/>
          <w:i w:val="0"/>
          <w:iCs w:val="0"/>
          <w:noProof/>
        </w:rPr>
        <w:t>1</w:t>
      </w:r>
      <w:r w:rsidRPr="009518EB">
        <w:rPr>
          <w:b/>
          <w:bCs/>
          <w:i w:val="0"/>
          <w:iCs w:val="0"/>
        </w:rPr>
        <w:fldChar w:fldCharType="end"/>
      </w:r>
      <w:r w:rsidRPr="009518EB">
        <w:rPr>
          <w:b/>
          <w:bCs/>
          <w:i w:val="0"/>
          <w:iCs w:val="0"/>
        </w:rPr>
        <w:t xml:space="preserve">. Abbreviations and acronyms </w:t>
      </w:r>
      <w:bookmarkEnd w:id="13"/>
    </w:p>
    <w:tbl>
      <w:tblPr>
        <w:tblStyle w:val="ATFTxDOTTable"/>
        <w:tblW w:w="9355" w:type="dxa"/>
        <w:tblLook w:val="0420" w:firstRow="1" w:lastRow="0" w:firstColumn="0" w:lastColumn="0" w:noHBand="0" w:noVBand="1"/>
      </w:tblPr>
      <w:tblGrid>
        <w:gridCol w:w="3505"/>
        <w:gridCol w:w="5850"/>
      </w:tblGrid>
      <w:tr w:rsidR="00F83278" w:rsidRPr="00211BC0" w14:paraId="03AF985C" w14:textId="77777777" w:rsidTr="00C827D4">
        <w:trPr>
          <w:cnfStyle w:val="100000000000" w:firstRow="1" w:lastRow="0" w:firstColumn="0" w:lastColumn="0" w:oddVBand="0" w:evenVBand="0" w:oddHBand="0" w:evenHBand="0" w:firstRowFirstColumn="0" w:firstRowLastColumn="0" w:lastRowFirstColumn="0" w:lastRowLastColumn="0"/>
          <w:trHeight w:val="517"/>
        </w:trPr>
        <w:tc>
          <w:tcPr>
            <w:tcW w:w="3505" w:type="dxa"/>
          </w:tcPr>
          <w:p w14:paraId="0FD1AF9C" w14:textId="6ADE36E3" w:rsidR="00F83278" w:rsidRPr="00211BC0" w:rsidRDefault="00F83278" w:rsidP="008C752C">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Abbreviation or Acronym</w:t>
            </w:r>
          </w:p>
        </w:tc>
        <w:tc>
          <w:tcPr>
            <w:tcW w:w="5850" w:type="dxa"/>
          </w:tcPr>
          <w:p w14:paraId="7A4AB2D6" w14:textId="0382B12E" w:rsidR="00F83278" w:rsidRPr="00211BC0" w:rsidRDefault="007A4673" w:rsidP="008C752C">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Definition</w:t>
            </w:r>
          </w:p>
        </w:tc>
      </w:tr>
      <w:tr w:rsidR="00F83278" w:rsidRPr="00211BC0" w14:paraId="38AFB2B0" w14:textId="77777777" w:rsidTr="00C827D4">
        <w:trPr>
          <w:cnfStyle w:val="000000100000" w:firstRow="0" w:lastRow="0" w:firstColumn="0" w:lastColumn="0" w:oddVBand="0" w:evenVBand="0" w:oddHBand="1" w:evenHBand="0" w:firstRowFirstColumn="0" w:firstRowLastColumn="0" w:lastRowFirstColumn="0" w:lastRowLastColumn="0"/>
          <w:trHeight w:val="25"/>
        </w:trPr>
        <w:tc>
          <w:tcPr>
            <w:tcW w:w="3505" w:type="dxa"/>
          </w:tcPr>
          <w:p w14:paraId="0274ABD6" w14:textId="23D2C409" w:rsidR="00F83278" w:rsidRPr="00211BC0" w:rsidRDefault="00E604DE" w:rsidP="008C752C">
            <w:pPr>
              <w:pStyle w:val="TableNormalNoSpaceAfter"/>
              <w:rPr>
                <w:szCs w:val="24"/>
              </w:rPr>
            </w:pPr>
            <w:r>
              <w:rPr>
                <w:szCs w:val="24"/>
              </w:rPr>
              <w:t>ENV</w:t>
            </w:r>
          </w:p>
        </w:tc>
        <w:tc>
          <w:tcPr>
            <w:tcW w:w="5850" w:type="dxa"/>
          </w:tcPr>
          <w:p w14:paraId="50F0DCE0" w14:textId="4192971A" w:rsidR="00F83278" w:rsidRPr="00211BC0" w:rsidRDefault="00DA0BF9" w:rsidP="008C752C">
            <w:pPr>
              <w:pStyle w:val="TableNormalNoSpaceAfter"/>
              <w:rPr>
                <w:szCs w:val="24"/>
              </w:rPr>
            </w:pPr>
            <w:r w:rsidRPr="00DA0BF9">
              <w:rPr>
                <w:szCs w:val="24"/>
              </w:rPr>
              <w:t>Environmental Affairs Division of TxDOT</w:t>
            </w:r>
          </w:p>
        </w:tc>
      </w:tr>
      <w:tr w:rsidR="00F83278" w:rsidRPr="00211BC0" w14:paraId="77118F35" w14:textId="77777777" w:rsidTr="00C827D4">
        <w:trPr>
          <w:cnfStyle w:val="000000010000" w:firstRow="0" w:lastRow="0" w:firstColumn="0" w:lastColumn="0" w:oddVBand="0" w:evenVBand="0" w:oddHBand="0" w:evenHBand="1" w:firstRowFirstColumn="0" w:firstRowLastColumn="0" w:lastRowFirstColumn="0" w:lastRowLastColumn="0"/>
        </w:trPr>
        <w:tc>
          <w:tcPr>
            <w:tcW w:w="3505" w:type="dxa"/>
          </w:tcPr>
          <w:p w14:paraId="4766EE44" w14:textId="354DA34A" w:rsidR="00F83278" w:rsidRPr="00211BC0" w:rsidRDefault="00E604DE" w:rsidP="008C752C">
            <w:pPr>
              <w:pStyle w:val="TableNormalNoSpaceAfter"/>
              <w:rPr>
                <w:szCs w:val="24"/>
              </w:rPr>
            </w:pPr>
            <w:r>
              <w:rPr>
                <w:szCs w:val="24"/>
              </w:rPr>
              <w:t>FAST</w:t>
            </w:r>
          </w:p>
        </w:tc>
        <w:tc>
          <w:tcPr>
            <w:tcW w:w="5850" w:type="dxa"/>
          </w:tcPr>
          <w:p w14:paraId="52CF88DC" w14:textId="64248D94" w:rsidR="00F83278" w:rsidRPr="00211BC0" w:rsidRDefault="00106249" w:rsidP="008C752C">
            <w:pPr>
              <w:pStyle w:val="TableNormalNoSpaceAfter"/>
              <w:rPr>
                <w:szCs w:val="24"/>
              </w:rPr>
            </w:pPr>
            <w:r w:rsidRPr="00106249">
              <w:rPr>
                <w:szCs w:val="24"/>
              </w:rPr>
              <w:t>Fixing American Surface Transportation Act</w:t>
            </w:r>
          </w:p>
        </w:tc>
      </w:tr>
      <w:tr w:rsidR="00F83278" w:rsidRPr="00211BC0" w14:paraId="46F6B72A" w14:textId="77777777" w:rsidTr="00C827D4">
        <w:trPr>
          <w:cnfStyle w:val="000000100000" w:firstRow="0" w:lastRow="0" w:firstColumn="0" w:lastColumn="0" w:oddVBand="0" w:evenVBand="0" w:oddHBand="1" w:evenHBand="0" w:firstRowFirstColumn="0" w:firstRowLastColumn="0" w:lastRowFirstColumn="0" w:lastRowLastColumn="0"/>
        </w:trPr>
        <w:tc>
          <w:tcPr>
            <w:tcW w:w="3505" w:type="dxa"/>
          </w:tcPr>
          <w:p w14:paraId="77AFEC3F" w14:textId="69B796C1" w:rsidR="00F83278" w:rsidRPr="00211BC0" w:rsidRDefault="00E604DE" w:rsidP="008C752C">
            <w:pPr>
              <w:pStyle w:val="TableNormalNoSpaceAfter"/>
              <w:rPr>
                <w:szCs w:val="24"/>
              </w:rPr>
            </w:pPr>
            <w:r>
              <w:rPr>
                <w:szCs w:val="24"/>
              </w:rPr>
              <w:t>FHWA</w:t>
            </w:r>
          </w:p>
        </w:tc>
        <w:tc>
          <w:tcPr>
            <w:tcW w:w="5850" w:type="dxa"/>
          </w:tcPr>
          <w:p w14:paraId="330720CD" w14:textId="1A47DA97" w:rsidR="00F83278" w:rsidRPr="00211BC0" w:rsidRDefault="00666039" w:rsidP="008C752C">
            <w:pPr>
              <w:pStyle w:val="TableNormalNoSpaceAfter"/>
              <w:rPr>
                <w:szCs w:val="24"/>
              </w:rPr>
            </w:pPr>
            <w:r w:rsidRPr="00666039">
              <w:rPr>
                <w:szCs w:val="24"/>
              </w:rPr>
              <w:t>Federal Highways Administration</w:t>
            </w:r>
          </w:p>
        </w:tc>
      </w:tr>
      <w:tr w:rsidR="00F83278" w:rsidRPr="00211BC0" w14:paraId="1671622D" w14:textId="77777777" w:rsidTr="00C827D4">
        <w:trPr>
          <w:cnfStyle w:val="000000010000" w:firstRow="0" w:lastRow="0" w:firstColumn="0" w:lastColumn="0" w:oddVBand="0" w:evenVBand="0" w:oddHBand="0" w:evenHBand="1" w:firstRowFirstColumn="0" w:firstRowLastColumn="0" w:lastRowFirstColumn="0" w:lastRowLastColumn="0"/>
        </w:trPr>
        <w:tc>
          <w:tcPr>
            <w:tcW w:w="3505" w:type="dxa"/>
          </w:tcPr>
          <w:p w14:paraId="01DD9204" w14:textId="4D1DDA5A" w:rsidR="00F83278" w:rsidRPr="00211BC0" w:rsidRDefault="00E604DE" w:rsidP="008C752C">
            <w:pPr>
              <w:pStyle w:val="TableNormalNoSpaceAfter"/>
              <w:rPr>
                <w:szCs w:val="24"/>
              </w:rPr>
            </w:pPr>
            <w:r>
              <w:rPr>
                <w:szCs w:val="24"/>
              </w:rPr>
              <w:t>MBTA</w:t>
            </w:r>
          </w:p>
        </w:tc>
        <w:tc>
          <w:tcPr>
            <w:tcW w:w="5850" w:type="dxa"/>
          </w:tcPr>
          <w:p w14:paraId="2C374912" w14:textId="0CD45562" w:rsidR="00F83278" w:rsidRPr="00211BC0" w:rsidRDefault="00A440FF" w:rsidP="008C752C">
            <w:pPr>
              <w:pStyle w:val="TableNormalNoSpaceAfter"/>
              <w:rPr>
                <w:szCs w:val="24"/>
              </w:rPr>
            </w:pPr>
            <w:r w:rsidRPr="00A440FF">
              <w:rPr>
                <w:szCs w:val="24"/>
              </w:rPr>
              <w:t>Migratory Bird Treaty Act</w:t>
            </w:r>
          </w:p>
        </w:tc>
      </w:tr>
      <w:tr w:rsidR="00F83278" w:rsidRPr="00211BC0" w14:paraId="29761E41" w14:textId="77777777" w:rsidTr="00C827D4">
        <w:trPr>
          <w:cnfStyle w:val="000000100000" w:firstRow="0" w:lastRow="0" w:firstColumn="0" w:lastColumn="0" w:oddVBand="0" w:evenVBand="0" w:oddHBand="1" w:evenHBand="0" w:firstRowFirstColumn="0" w:firstRowLastColumn="0" w:lastRowFirstColumn="0" w:lastRowLastColumn="0"/>
        </w:trPr>
        <w:tc>
          <w:tcPr>
            <w:tcW w:w="3505" w:type="dxa"/>
          </w:tcPr>
          <w:p w14:paraId="16D00BE7" w14:textId="00AA3204" w:rsidR="00F83278" w:rsidRPr="00211BC0" w:rsidRDefault="00E604DE" w:rsidP="008C752C">
            <w:pPr>
              <w:pStyle w:val="TableNormalNoSpaceAfter"/>
              <w:rPr>
                <w:szCs w:val="24"/>
              </w:rPr>
            </w:pPr>
            <w:r>
              <w:rPr>
                <w:szCs w:val="24"/>
              </w:rPr>
              <w:t>NRM</w:t>
            </w:r>
          </w:p>
        </w:tc>
        <w:tc>
          <w:tcPr>
            <w:tcW w:w="5850" w:type="dxa"/>
          </w:tcPr>
          <w:p w14:paraId="46654F32" w14:textId="6E036F2C" w:rsidR="00F83278" w:rsidRPr="00211BC0" w:rsidRDefault="005051FF" w:rsidP="008C752C">
            <w:pPr>
              <w:pStyle w:val="TableNormalNoSpaceAfter"/>
              <w:rPr>
                <w:szCs w:val="24"/>
              </w:rPr>
            </w:pPr>
            <w:r w:rsidRPr="005051FF">
              <w:rPr>
                <w:szCs w:val="24"/>
              </w:rPr>
              <w:t>Natural Resources Management section of the Environmental Affairs Division</w:t>
            </w:r>
          </w:p>
        </w:tc>
      </w:tr>
      <w:tr w:rsidR="00E604DE" w:rsidRPr="00211BC0" w14:paraId="142B1A0A" w14:textId="77777777" w:rsidTr="00C827D4">
        <w:trPr>
          <w:cnfStyle w:val="000000010000" w:firstRow="0" w:lastRow="0" w:firstColumn="0" w:lastColumn="0" w:oddVBand="0" w:evenVBand="0" w:oddHBand="0" w:evenHBand="1" w:firstRowFirstColumn="0" w:firstRowLastColumn="0" w:lastRowFirstColumn="0" w:lastRowLastColumn="0"/>
        </w:trPr>
        <w:tc>
          <w:tcPr>
            <w:tcW w:w="3505" w:type="dxa"/>
          </w:tcPr>
          <w:p w14:paraId="1D339BB6" w14:textId="45577920" w:rsidR="00E604DE" w:rsidRDefault="00E604DE" w:rsidP="008C752C">
            <w:pPr>
              <w:pStyle w:val="TableNormalNoSpaceAfter"/>
              <w:rPr>
                <w:szCs w:val="24"/>
              </w:rPr>
            </w:pPr>
            <w:r>
              <w:rPr>
                <w:szCs w:val="24"/>
              </w:rPr>
              <w:t>ROW</w:t>
            </w:r>
          </w:p>
        </w:tc>
        <w:tc>
          <w:tcPr>
            <w:tcW w:w="5850" w:type="dxa"/>
          </w:tcPr>
          <w:p w14:paraId="5FE94C90" w14:textId="5A42DC7F" w:rsidR="00E604DE" w:rsidRPr="00211BC0" w:rsidRDefault="0058095D" w:rsidP="008C752C">
            <w:pPr>
              <w:pStyle w:val="TableNormalNoSpaceAfter"/>
              <w:rPr>
                <w:szCs w:val="24"/>
              </w:rPr>
            </w:pPr>
            <w:r w:rsidRPr="0058095D">
              <w:rPr>
                <w:szCs w:val="24"/>
              </w:rPr>
              <w:t>Right of Way</w:t>
            </w:r>
          </w:p>
        </w:tc>
      </w:tr>
      <w:tr w:rsidR="00E604DE" w:rsidRPr="00211BC0" w14:paraId="66DA6746" w14:textId="77777777" w:rsidTr="00C827D4">
        <w:trPr>
          <w:cnfStyle w:val="000000100000" w:firstRow="0" w:lastRow="0" w:firstColumn="0" w:lastColumn="0" w:oddVBand="0" w:evenVBand="0" w:oddHBand="1" w:evenHBand="0" w:firstRowFirstColumn="0" w:firstRowLastColumn="0" w:lastRowFirstColumn="0" w:lastRowLastColumn="0"/>
        </w:trPr>
        <w:tc>
          <w:tcPr>
            <w:tcW w:w="3505" w:type="dxa"/>
          </w:tcPr>
          <w:p w14:paraId="484A5159" w14:textId="299DBAF6" w:rsidR="00E604DE" w:rsidRDefault="00E604DE" w:rsidP="008C752C">
            <w:pPr>
              <w:pStyle w:val="TableNormalNoSpaceAfter"/>
              <w:rPr>
                <w:szCs w:val="24"/>
              </w:rPr>
            </w:pPr>
            <w:r>
              <w:rPr>
                <w:szCs w:val="24"/>
              </w:rPr>
              <w:t>TPP</w:t>
            </w:r>
          </w:p>
        </w:tc>
        <w:tc>
          <w:tcPr>
            <w:tcW w:w="5850" w:type="dxa"/>
          </w:tcPr>
          <w:p w14:paraId="661FA3C3" w14:textId="26DFE7A7" w:rsidR="00E604DE" w:rsidRPr="00211BC0" w:rsidRDefault="005F0A23" w:rsidP="008C752C">
            <w:pPr>
              <w:pStyle w:val="TableNormalNoSpaceAfter"/>
              <w:rPr>
                <w:szCs w:val="24"/>
              </w:rPr>
            </w:pPr>
            <w:r w:rsidRPr="005F0A23">
              <w:rPr>
                <w:szCs w:val="24"/>
              </w:rPr>
              <w:t>Transportation Planning and Programming</w:t>
            </w:r>
          </w:p>
        </w:tc>
      </w:tr>
      <w:tr w:rsidR="00E604DE" w:rsidRPr="00211BC0" w14:paraId="5B9B2F22" w14:textId="77777777" w:rsidTr="00C827D4">
        <w:trPr>
          <w:cnfStyle w:val="000000010000" w:firstRow="0" w:lastRow="0" w:firstColumn="0" w:lastColumn="0" w:oddVBand="0" w:evenVBand="0" w:oddHBand="0" w:evenHBand="1" w:firstRowFirstColumn="0" w:firstRowLastColumn="0" w:lastRowFirstColumn="0" w:lastRowLastColumn="0"/>
        </w:trPr>
        <w:tc>
          <w:tcPr>
            <w:tcW w:w="3505" w:type="dxa"/>
          </w:tcPr>
          <w:p w14:paraId="5B2A5C17" w14:textId="0542C945" w:rsidR="00E604DE" w:rsidRDefault="00E604DE" w:rsidP="008C752C">
            <w:pPr>
              <w:pStyle w:val="TableNormalNoSpaceAfter"/>
              <w:rPr>
                <w:szCs w:val="24"/>
              </w:rPr>
            </w:pPr>
            <w:r>
              <w:rPr>
                <w:szCs w:val="24"/>
              </w:rPr>
              <w:t>TxDOT</w:t>
            </w:r>
          </w:p>
        </w:tc>
        <w:tc>
          <w:tcPr>
            <w:tcW w:w="5850" w:type="dxa"/>
          </w:tcPr>
          <w:p w14:paraId="031BC683" w14:textId="06CD86B7" w:rsidR="00E604DE" w:rsidRPr="00211BC0" w:rsidRDefault="008C7DC5" w:rsidP="008C752C">
            <w:pPr>
              <w:pStyle w:val="TableNormalNoSpaceAfter"/>
              <w:rPr>
                <w:szCs w:val="24"/>
              </w:rPr>
            </w:pPr>
            <w:r w:rsidRPr="008C7DC5">
              <w:rPr>
                <w:szCs w:val="24"/>
              </w:rPr>
              <w:t>Texas Department of Transportation</w:t>
            </w:r>
          </w:p>
        </w:tc>
      </w:tr>
      <w:tr w:rsidR="00E604DE" w:rsidRPr="00211BC0" w14:paraId="2EB704A9" w14:textId="77777777" w:rsidTr="00C827D4">
        <w:trPr>
          <w:cnfStyle w:val="000000100000" w:firstRow="0" w:lastRow="0" w:firstColumn="0" w:lastColumn="0" w:oddVBand="0" w:evenVBand="0" w:oddHBand="1" w:evenHBand="0" w:firstRowFirstColumn="0" w:firstRowLastColumn="0" w:lastRowFirstColumn="0" w:lastRowLastColumn="0"/>
        </w:trPr>
        <w:tc>
          <w:tcPr>
            <w:tcW w:w="3505" w:type="dxa"/>
          </w:tcPr>
          <w:p w14:paraId="15C4F572" w14:textId="36306D4F" w:rsidR="00E604DE" w:rsidRDefault="00E604DE" w:rsidP="008C752C">
            <w:pPr>
              <w:pStyle w:val="TableNormalNoSpaceAfter"/>
              <w:rPr>
                <w:szCs w:val="24"/>
              </w:rPr>
            </w:pPr>
            <w:r>
              <w:rPr>
                <w:szCs w:val="24"/>
              </w:rPr>
              <w:t>USFWS</w:t>
            </w:r>
          </w:p>
        </w:tc>
        <w:tc>
          <w:tcPr>
            <w:tcW w:w="5850" w:type="dxa"/>
          </w:tcPr>
          <w:p w14:paraId="4008DA99" w14:textId="200910DA" w:rsidR="00E604DE" w:rsidRPr="00211BC0" w:rsidRDefault="005F0741" w:rsidP="008C752C">
            <w:pPr>
              <w:pStyle w:val="TableNormalNoSpaceAfter"/>
              <w:rPr>
                <w:szCs w:val="24"/>
              </w:rPr>
            </w:pPr>
            <w:r w:rsidRPr="005F0741">
              <w:rPr>
                <w:szCs w:val="24"/>
              </w:rPr>
              <w:t>U.S. Fish and Wildlife Service</w:t>
            </w:r>
          </w:p>
        </w:tc>
      </w:tr>
    </w:tbl>
    <w:p w14:paraId="2BA69E76" w14:textId="77777777" w:rsidR="00C15D7A" w:rsidRDefault="00C15D7A">
      <w:pPr>
        <w:spacing w:after="0" w:line="240" w:lineRule="auto"/>
        <w:rPr>
          <w:rFonts w:asciiTheme="majorHAnsi" w:hAnsiTheme="majorHAnsi"/>
          <w:b/>
          <w:color w:val="0056A9"/>
          <w:sz w:val="32"/>
          <w:szCs w:val="32"/>
        </w:rPr>
      </w:pPr>
      <w:bookmarkStart w:id="14" w:name="_Toc221010441"/>
      <w:r>
        <w:br w:type="page"/>
      </w:r>
    </w:p>
    <w:p w14:paraId="54F57FBC" w14:textId="2E8E7EE3" w:rsidR="00C776E4" w:rsidRDefault="00EB47C6" w:rsidP="0084129F">
      <w:pPr>
        <w:pStyle w:val="Heading2"/>
      </w:pPr>
      <w:r>
        <w:lastRenderedPageBreak/>
        <w:t>Revision History</w:t>
      </w:r>
      <w:bookmarkEnd w:id="14"/>
    </w:p>
    <w:p w14:paraId="6138B20C" w14:textId="12F6692F" w:rsidR="001E7A69" w:rsidRPr="001E7A69" w:rsidRDefault="00465DFC" w:rsidP="001E7A69">
      <w:pPr>
        <w:pStyle w:val="Caption"/>
        <w:keepNext/>
        <w:rPr>
          <w:b/>
          <w:bCs/>
          <w:i w:val="0"/>
          <w:iCs w:val="0"/>
        </w:rPr>
      </w:pPr>
      <w:bookmarkStart w:id="15" w:name="_Toc222999197"/>
      <w:r w:rsidRPr="00977E7E">
        <w:rPr>
          <w:b/>
          <w:bCs/>
          <w:i w:val="0"/>
          <w:iCs w:val="0"/>
        </w:rPr>
        <w:t xml:space="preserve">Table </w:t>
      </w:r>
      <w:r w:rsidRPr="00977E7E">
        <w:rPr>
          <w:b/>
          <w:bCs/>
          <w:i w:val="0"/>
          <w:iCs w:val="0"/>
        </w:rPr>
        <w:fldChar w:fldCharType="begin"/>
      </w:r>
      <w:r w:rsidRPr="00977E7E">
        <w:rPr>
          <w:b/>
          <w:bCs/>
          <w:i w:val="0"/>
          <w:iCs w:val="0"/>
        </w:rPr>
        <w:instrText xml:space="preserve"> SEQ Table \* ARABIC </w:instrText>
      </w:r>
      <w:r w:rsidRPr="00977E7E">
        <w:rPr>
          <w:b/>
          <w:bCs/>
          <w:i w:val="0"/>
          <w:iCs w:val="0"/>
        </w:rPr>
        <w:fldChar w:fldCharType="separate"/>
      </w:r>
      <w:r w:rsidR="001E7A69">
        <w:rPr>
          <w:b/>
          <w:bCs/>
          <w:i w:val="0"/>
          <w:iCs w:val="0"/>
          <w:noProof/>
        </w:rPr>
        <w:t>2</w:t>
      </w:r>
      <w:r w:rsidRPr="00977E7E">
        <w:rPr>
          <w:b/>
          <w:bCs/>
          <w:i w:val="0"/>
          <w:iCs w:val="0"/>
        </w:rPr>
        <w:fldChar w:fldCharType="end"/>
      </w:r>
      <w:r w:rsidR="00977E7E">
        <w:rPr>
          <w:b/>
          <w:bCs/>
          <w:i w:val="0"/>
          <w:iCs w:val="0"/>
        </w:rPr>
        <w:t>.</w:t>
      </w:r>
      <w:r w:rsidRPr="00977E7E">
        <w:rPr>
          <w:b/>
          <w:bCs/>
          <w:i w:val="0"/>
          <w:iCs w:val="0"/>
        </w:rPr>
        <w:t xml:space="preserve"> Document </w:t>
      </w:r>
      <w:r w:rsidR="00977E7E">
        <w:rPr>
          <w:b/>
          <w:bCs/>
          <w:i w:val="0"/>
          <w:iCs w:val="0"/>
        </w:rPr>
        <w:t>r</w:t>
      </w:r>
      <w:r w:rsidRPr="00977E7E">
        <w:rPr>
          <w:b/>
          <w:bCs/>
          <w:i w:val="0"/>
          <w:iCs w:val="0"/>
        </w:rPr>
        <w:t xml:space="preserve">evision </w:t>
      </w:r>
      <w:r w:rsidR="00977E7E">
        <w:rPr>
          <w:b/>
          <w:bCs/>
          <w:i w:val="0"/>
          <w:iCs w:val="0"/>
        </w:rPr>
        <w:t>h</w:t>
      </w:r>
      <w:r w:rsidRPr="00977E7E">
        <w:rPr>
          <w:b/>
          <w:bCs/>
          <w:i w:val="0"/>
          <w:iCs w:val="0"/>
        </w:rPr>
        <w:t>istory</w:t>
      </w:r>
      <w:bookmarkEnd w:id="15"/>
    </w:p>
    <w:tbl>
      <w:tblPr>
        <w:tblStyle w:val="ATFTxDOTTable"/>
        <w:tblW w:w="0" w:type="auto"/>
        <w:tblLook w:val="04A0" w:firstRow="1" w:lastRow="0" w:firstColumn="1" w:lastColumn="0" w:noHBand="0" w:noVBand="1"/>
      </w:tblPr>
      <w:tblGrid>
        <w:gridCol w:w="2425"/>
        <w:gridCol w:w="6817"/>
      </w:tblGrid>
      <w:tr w:rsidR="00C333BF" w:rsidRPr="00C333BF" w14:paraId="18FD3B97" w14:textId="77777777" w:rsidTr="00C23859">
        <w:trPr>
          <w:cnfStyle w:val="100000000000" w:firstRow="1" w:lastRow="0" w:firstColumn="0" w:lastColumn="0" w:oddVBand="0" w:evenVBand="0" w:oddHBand="0" w:evenHBand="0" w:firstRowFirstColumn="0" w:firstRowLastColumn="0" w:lastRowFirstColumn="0" w:lastRowLastColumn="0"/>
          <w:cantSplit/>
          <w:tblHeader/>
        </w:trPr>
        <w:tc>
          <w:tcPr>
            <w:tcW w:w="2425" w:type="dxa"/>
          </w:tcPr>
          <w:p w14:paraId="0B45E7B1" w14:textId="62623E08" w:rsidR="00C333BF" w:rsidRPr="00C333BF" w:rsidRDefault="00C333BF" w:rsidP="00C333BF">
            <w:r w:rsidRPr="00C333BF">
              <w:t>Effective Date</w:t>
            </w:r>
            <w:r w:rsidRPr="00C333BF">
              <w:br/>
            </w:r>
            <w:r w:rsidR="00977E7E">
              <w:t>(</w:t>
            </w:r>
            <w:r w:rsidRPr="00C333BF">
              <w:t>Month Year</w:t>
            </w:r>
            <w:r w:rsidR="00977E7E">
              <w:t>)</w:t>
            </w:r>
          </w:p>
        </w:tc>
        <w:tc>
          <w:tcPr>
            <w:tcW w:w="6817" w:type="dxa"/>
          </w:tcPr>
          <w:p w14:paraId="13D622AE" w14:textId="77777777" w:rsidR="00C333BF" w:rsidRPr="00C333BF" w:rsidRDefault="00C333BF" w:rsidP="00C333BF">
            <w:r w:rsidRPr="00C333BF">
              <w:t>Reason for and Description of Change</w:t>
            </w:r>
          </w:p>
        </w:tc>
      </w:tr>
      <w:tr w:rsidR="004E2F5A" w:rsidRPr="00C333BF" w14:paraId="3B298538" w14:textId="77777777" w:rsidTr="00C23859">
        <w:trPr>
          <w:cnfStyle w:val="000000100000" w:firstRow="0" w:lastRow="0" w:firstColumn="0" w:lastColumn="0" w:oddVBand="0" w:evenVBand="0" w:oddHBand="1" w:evenHBand="0" w:firstRowFirstColumn="0" w:firstRowLastColumn="0" w:lastRowFirstColumn="0" w:lastRowLastColumn="0"/>
          <w:cantSplit/>
          <w:trHeight w:val="361"/>
        </w:trPr>
        <w:tc>
          <w:tcPr>
            <w:tcW w:w="2425" w:type="dxa"/>
          </w:tcPr>
          <w:p w14:paraId="66275AC7" w14:textId="51C9A63A" w:rsidR="004E2F5A" w:rsidRPr="00C333BF" w:rsidRDefault="00977E7E" w:rsidP="00C333BF">
            <w:pPr>
              <w:rPr>
                <w:bCs/>
              </w:rPr>
            </w:pPr>
            <w:r>
              <w:rPr>
                <w:bCs/>
              </w:rPr>
              <w:t>February</w:t>
            </w:r>
            <w:r w:rsidR="004E2F5A">
              <w:rPr>
                <w:bCs/>
              </w:rPr>
              <w:t xml:space="preserve"> 2026</w:t>
            </w:r>
          </w:p>
        </w:tc>
        <w:tc>
          <w:tcPr>
            <w:tcW w:w="6817" w:type="dxa"/>
          </w:tcPr>
          <w:p w14:paraId="010C9383" w14:textId="1882303D" w:rsidR="004E2F5A" w:rsidRDefault="004E2F5A" w:rsidP="002E24FE">
            <w:pPr>
              <w:spacing w:after="0"/>
              <w:rPr>
                <w:bCs/>
              </w:rPr>
            </w:pPr>
            <w:r>
              <w:rPr>
                <w:bCs/>
              </w:rPr>
              <w:t xml:space="preserve">Version </w:t>
            </w:r>
            <w:r w:rsidR="00977E7E">
              <w:rPr>
                <w:bCs/>
              </w:rPr>
              <w:t>5</w:t>
            </w:r>
          </w:p>
          <w:p w14:paraId="0ED276F0" w14:textId="1318FFE2" w:rsidR="004E2F5A" w:rsidRPr="00C333BF" w:rsidRDefault="00332EEC" w:rsidP="002E24FE">
            <w:pPr>
              <w:pStyle w:val="ListBullet"/>
            </w:pPr>
            <w:r w:rsidRPr="002E24FE">
              <w:t>Updated to comply with accessibility and TxDOT branding standards.</w:t>
            </w:r>
          </w:p>
        </w:tc>
      </w:tr>
      <w:tr w:rsidR="00C333BF" w:rsidRPr="00C333BF" w14:paraId="65BCD7D4" w14:textId="77777777" w:rsidTr="00C23859">
        <w:trPr>
          <w:cnfStyle w:val="000000010000" w:firstRow="0" w:lastRow="0" w:firstColumn="0" w:lastColumn="0" w:oddVBand="0" w:evenVBand="0" w:oddHBand="0" w:evenHBand="1" w:firstRowFirstColumn="0" w:firstRowLastColumn="0" w:lastRowFirstColumn="0" w:lastRowLastColumn="0"/>
          <w:cantSplit/>
          <w:trHeight w:val="361"/>
        </w:trPr>
        <w:tc>
          <w:tcPr>
            <w:tcW w:w="2425" w:type="dxa"/>
          </w:tcPr>
          <w:p w14:paraId="45E3C32E" w14:textId="77777777" w:rsidR="00C333BF" w:rsidRPr="00C333BF" w:rsidRDefault="00C333BF" w:rsidP="00C333BF">
            <w:pPr>
              <w:rPr>
                <w:bCs/>
              </w:rPr>
            </w:pPr>
            <w:r w:rsidRPr="00C333BF">
              <w:rPr>
                <w:bCs/>
              </w:rPr>
              <w:t>July 2025</w:t>
            </w:r>
          </w:p>
        </w:tc>
        <w:tc>
          <w:tcPr>
            <w:tcW w:w="6817" w:type="dxa"/>
          </w:tcPr>
          <w:p w14:paraId="3B62A6A3" w14:textId="77777777" w:rsidR="00C768E2" w:rsidRDefault="00C333BF" w:rsidP="002E24FE">
            <w:pPr>
              <w:spacing w:after="0"/>
              <w:rPr>
                <w:bCs/>
              </w:rPr>
            </w:pPr>
            <w:r w:rsidRPr="00C333BF">
              <w:rPr>
                <w:bCs/>
              </w:rPr>
              <w:t>Version 4</w:t>
            </w:r>
            <w:r w:rsidR="00332EEC">
              <w:rPr>
                <w:bCs/>
              </w:rPr>
              <w:t xml:space="preserve"> </w:t>
            </w:r>
          </w:p>
          <w:p w14:paraId="4DC3A5CF" w14:textId="47A6FF89" w:rsidR="00C333BF" w:rsidRPr="00C333BF" w:rsidRDefault="00C333BF" w:rsidP="00977E7E">
            <w:pPr>
              <w:pStyle w:val="ListBullet"/>
            </w:pPr>
            <w:r w:rsidRPr="00C333BF">
              <w:t>Update</w:t>
            </w:r>
            <w:r w:rsidR="00526D69">
              <w:t>d to</w:t>
            </w:r>
            <w:r w:rsidRPr="00C333BF">
              <w:t xml:space="preserve"> include addressing the April </w:t>
            </w:r>
            <w:r w:rsidRPr="00977E7E">
              <w:t>2025 DOI Solicitor’s Opinion, M-30785</w:t>
            </w:r>
            <w:r w:rsidRPr="00C333BF">
              <w:t xml:space="preserve">. </w:t>
            </w:r>
          </w:p>
        </w:tc>
      </w:tr>
      <w:tr w:rsidR="00C333BF" w:rsidRPr="00C333BF" w14:paraId="1CA3B0E3" w14:textId="77777777" w:rsidTr="00C23859">
        <w:trPr>
          <w:cnfStyle w:val="000000100000" w:firstRow="0" w:lastRow="0" w:firstColumn="0" w:lastColumn="0" w:oddVBand="0" w:evenVBand="0" w:oddHBand="1" w:evenHBand="0" w:firstRowFirstColumn="0" w:firstRowLastColumn="0" w:lastRowFirstColumn="0" w:lastRowLastColumn="0"/>
          <w:cantSplit/>
          <w:trHeight w:val="361"/>
        </w:trPr>
        <w:tc>
          <w:tcPr>
            <w:tcW w:w="2425" w:type="dxa"/>
          </w:tcPr>
          <w:p w14:paraId="18B0D3DC" w14:textId="77777777" w:rsidR="00C333BF" w:rsidRPr="00C333BF" w:rsidRDefault="00C333BF" w:rsidP="00C333BF">
            <w:pPr>
              <w:rPr>
                <w:bCs/>
              </w:rPr>
            </w:pPr>
            <w:r w:rsidRPr="00C333BF">
              <w:rPr>
                <w:bCs/>
              </w:rPr>
              <w:t>January 2023</w:t>
            </w:r>
          </w:p>
        </w:tc>
        <w:tc>
          <w:tcPr>
            <w:tcW w:w="6817" w:type="dxa"/>
          </w:tcPr>
          <w:p w14:paraId="7E4A09D4" w14:textId="77777777" w:rsidR="00C768E2" w:rsidRDefault="00C333BF" w:rsidP="002E24FE">
            <w:pPr>
              <w:spacing w:after="0"/>
              <w:rPr>
                <w:bCs/>
              </w:rPr>
            </w:pPr>
            <w:r w:rsidRPr="00C333BF">
              <w:rPr>
                <w:bCs/>
              </w:rPr>
              <w:t>Version 3</w:t>
            </w:r>
          </w:p>
          <w:p w14:paraId="52BC4B5B" w14:textId="3AC959E4" w:rsidR="00C333BF" w:rsidRPr="00C333BF" w:rsidRDefault="00C333BF" w:rsidP="00977E7E">
            <w:pPr>
              <w:pStyle w:val="ListBullet"/>
            </w:pPr>
            <w:r w:rsidRPr="00C333BF">
              <w:t>Update</w:t>
            </w:r>
            <w:r w:rsidR="00526D69">
              <w:t>d to</w:t>
            </w:r>
            <w:r w:rsidRPr="00C333BF">
              <w:t xml:space="preserve"> include removal of discussion of December 2017 </w:t>
            </w:r>
            <w:r w:rsidRPr="00977E7E">
              <w:t>DOI Solicitor’s Opinion, M-37050</w:t>
            </w:r>
            <w:r w:rsidRPr="00C333BF">
              <w:t xml:space="preserve"> on the scope of MBTA.</w:t>
            </w:r>
          </w:p>
        </w:tc>
      </w:tr>
      <w:tr w:rsidR="00C333BF" w:rsidRPr="00C333BF" w14:paraId="11EB894A" w14:textId="77777777" w:rsidTr="00C23859">
        <w:trPr>
          <w:cnfStyle w:val="000000010000" w:firstRow="0" w:lastRow="0" w:firstColumn="0" w:lastColumn="0" w:oddVBand="0" w:evenVBand="0" w:oddHBand="0" w:evenHBand="1" w:firstRowFirstColumn="0" w:firstRowLastColumn="0" w:lastRowFirstColumn="0" w:lastRowLastColumn="0"/>
          <w:cantSplit/>
          <w:trHeight w:val="361"/>
        </w:trPr>
        <w:tc>
          <w:tcPr>
            <w:tcW w:w="2425" w:type="dxa"/>
          </w:tcPr>
          <w:p w14:paraId="4EC5AB3D" w14:textId="77777777" w:rsidR="00C333BF" w:rsidRPr="00C333BF" w:rsidRDefault="00C333BF" w:rsidP="00C333BF">
            <w:pPr>
              <w:rPr>
                <w:bCs/>
              </w:rPr>
            </w:pPr>
            <w:r w:rsidRPr="00C333BF">
              <w:rPr>
                <w:bCs/>
              </w:rPr>
              <w:t>October 2018</w:t>
            </w:r>
          </w:p>
        </w:tc>
        <w:tc>
          <w:tcPr>
            <w:tcW w:w="6817" w:type="dxa"/>
          </w:tcPr>
          <w:p w14:paraId="1F238B5B" w14:textId="77777777" w:rsidR="00C768E2" w:rsidRDefault="00C333BF" w:rsidP="002E24FE">
            <w:pPr>
              <w:spacing w:after="0"/>
              <w:rPr>
                <w:bCs/>
              </w:rPr>
            </w:pPr>
            <w:r w:rsidRPr="00C333BF">
              <w:rPr>
                <w:bCs/>
              </w:rPr>
              <w:t>Version 2</w:t>
            </w:r>
          </w:p>
          <w:p w14:paraId="10471489" w14:textId="4459DF2F" w:rsidR="00C333BF" w:rsidRPr="00C333BF" w:rsidRDefault="00C333BF" w:rsidP="00977E7E">
            <w:pPr>
              <w:pStyle w:val="ListBullet"/>
            </w:pPr>
            <w:r w:rsidRPr="00C333BF">
              <w:t>Update</w:t>
            </w:r>
            <w:r w:rsidR="00977E7E">
              <w:t>d to</w:t>
            </w:r>
            <w:r w:rsidRPr="00C333BF">
              <w:t xml:space="preserve"> include addressing December 2017 </w:t>
            </w:r>
            <w:r w:rsidRPr="00977E7E">
              <w:t>DOI Solicitor’s Opinion, M-37050</w:t>
            </w:r>
            <w:r w:rsidRPr="00C333BF">
              <w:t xml:space="preserve"> on the scope of MBTA and </w:t>
            </w:r>
            <w:hyperlink r:id="rId17" w:history="1">
              <w:r w:rsidRPr="00977E7E">
                <w:rPr>
                  <w:rStyle w:val="Hyperlink"/>
                  <w:rFonts w:cstheme="minorBidi"/>
                  <w:bCs/>
                </w:rPr>
                <w:t>TPW Code</w:t>
              </w:r>
              <w:r w:rsidRPr="00C333BF">
                <w:rPr>
                  <w:rStyle w:val="Hyperlink"/>
                  <w:rFonts w:cstheme="minorBidi"/>
                  <w:bCs/>
                </w:rPr>
                <w:t>, Title 5, Subtitle B, Chapter 64</w:t>
              </w:r>
            </w:hyperlink>
            <w:r w:rsidRPr="00C333BF">
              <w:t xml:space="preserve"> on Birds.</w:t>
            </w:r>
          </w:p>
        </w:tc>
      </w:tr>
      <w:tr w:rsidR="00C333BF" w:rsidRPr="00C333BF" w14:paraId="3A0EEB01" w14:textId="77777777" w:rsidTr="00C23859">
        <w:trPr>
          <w:cnfStyle w:val="000000100000" w:firstRow="0" w:lastRow="0" w:firstColumn="0" w:lastColumn="0" w:oddVBand="0" w:evenVBand="0" w:oddHBand="1" w:evenHBand="0" w:firstRowFirstColumn="0" w:firstRowLastColumn="0" w:lastRowFirstColumn="0" w:lastRowLastColumn="0"/>
          <w:cantSplit/>
          <w:trHeight w:val="361"/>
        </w:trPr>
        <w:tc>
          <w:tcPr>
            <w:tcW w:w="2425" w:type="dxa"/>
          </w:tcPr>
          <w:p w14:paraId="13FE943B" w14:textId="77777777" w:rsidR="00C333BF" w:rsidRPr="00C333BF" w:rsidRDefault="00C333BF" w:rsidP="00C333BF">
            <w:pPr>
              <w:rPr>
                <w:bCs/>
              </w:rPr>
            </w:pPr>
            <w:r w:rsidRPr="00C333BF">
              <w:rPr>
                <w:bCs/>
              </w:rPr>
              <w:t>February 2017</w:t>
            </w:r>
          </w:p>
        </w:tc>
        <w:tc>
          <w:tcPr>
            <w:tcW w:w="6817" w:type="dxa"/>
          </w:tcPr>
          <w:p w14:paraId="4C57B7F4" w14:textId="77777777" w:rsidR="00C333BF" w:rsidRDefault="00C333BF" w:rsidP="00C333BF">
            <w:pPr>
              <w:rPr>
                <w:bCs/>
              </w:rPr>
            </w:pPr>
            <w:r w:rsidRPr="00C333BF">
              <w:rPr>
                <w:bCs/>
              </w:rPr>
              <w:t>Version 1</w:t>
            </w:r>
            <w:r w:rsidR="00332EEC">
              <w:rPr>
                <w:bCs/>
              </w:rPr>
              <w:t xml:space="preserve"> </w:t>
            </w:r>
          </w:p>
          <w:p w14:paraId="288965B0" w14:textId="2AE4FC3A" w:rsidR="00977E7E" w:rsidRPr="00C333BF" w:rsidRDefault="00D15677" w:rsidP="00977E7E">
            <w:pPr>
              <w:pStyle w:val="ListBullet"/>
            </w:pPr>
            <w:r w:rsidRPr="00D15677">
              <w:t>Describes TxDOT’s responsibilities to comply with the Migratory Bird Treaty Act 16 USC §703-711 and Parks and Wildlife Code Title 5, Subtitle B, Chapter 64, Birds</w:t>
            </w:r>
            <w:r>
              <w:t>.</w:t>
            </w:r>
          </w:p>
        </w:tc>
      </w:tr>
    </w:tbl>
    <w:p w14:paraId="0F720AB2" w14:textId="77777777" w:rsidR="00EB47C6" w:rsidRDefault="00EB47C6" w:rsidP="00E604DE"/>
    <w:sectPr w:rsidR="00EB47C6" w:rsidSect="001C12E5">
      <w:footerReference w:type="default" r:id="rId18"/>
      <w:footerReference w:type="first" r:id="rId19"/>
      <w:pgSz w:w="12240" w:h="15840"/>
      <w:pgMar w:top="900" w:right="1440" w:bottom="117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B93E2" w14:textId="77777777" w:rsidR="00950410" w:rsidRDefault="00950410" w:rsidP="00E9313B">
      <w:pPr>
        <w:spacing w:after="0" w:line="240" w:lineRule="auto"/>
      </w:pPr>
      <w:r>
        <w:separator/>
      </w:r>
    </w:p>
  </w:endnote>
  <w:endnote w:type="continuationSeparator" w:id="0">
    <w:p w14:paraId="3CD00E20" w14:textId="77777777" w:rsidR="00950410" w:rsidRDefault="00950410" w:rsidP="003D0A5B">
      <w:pPr>
        <w:spacing w:after="0" w:line="240" w:lineRule="auto"/>
      </w:pPr>
      <w:r>
        <w:continuationSeparator/>
      </w:r>
    </w:p>
    <w:p w14:paraId="14BAC535" w14:textId="77777777" w:rsidR="00950410" w:rsidRDefault="00950410"/>
    <w:p w14:paraId="5C2C4517" w14:textId="77777777" w:rsidR="00950410" w:rsidRDefault="00950410" w:rsidP="008B0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embedRegular r:id="rId1" w:subsetted="1" w:fontKey="{D29D73C0-224E-4A1A-AEE1-178DC481708D}"/>
  </w:font>
  <w:font w:name="Verdana">
    <w:panose1 w:val="020B0604030504040204"/>
    <w:charset w:val="00"/>
    <w:family w:val="swiss"/>
    <w:pitch w:val="variable"/>
    <w:sig w:usb0="A00006FF" w:usb1="4000205B" w:usb2="00000010" w:usb3="00000000" w:csb0="0000019F" w:csb1="00000000"/>
    <w:embedRegular r:id="rId2" w:fontKey="{D01212A6-649E-46D9-8293-0ECECBB1ADA2}"/>
    <w:embedBold r:id="rId3" w:fontKey="{822CD458-481E-45C5-ADB5-72D3C61F2A15}"/>
    <w:embedItalic r:id="rId4" w:fontKey="{70AE246A-8E1C-4E20-950A-D3167A604D2A}"/>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D373C" w14:textId="77777777" w:rsidR="008D72A6" w:rsidRPr="008D72A6" w:rsidRDefault="003B6CAE" w:rsidP="003B6CAE">
    <w:pPr>
      <w:pStyle w:val="Footer"/>
      <w:tabs>
        <w:tab w:val="clear" w:pos="4680"/>
        <w:tab w:val="left" w:pos="6622"/>
      </w:tabs>
      <w:rPr>
        <w:b/>
        <w:bCs/>
        <w:color w:val="0056A9"/>
      </w:rPr>
    </w:pPr>
    <w:r>
      <w:rPr>
        <w:b/>
        <w:bCs/>
        <w:color w:val="0056A9"/>
      </w:rPr>
      <w:tab/>
    </w:r>
    <w:r>
      <w:rPr>
        <w:b/>
        <w:bCs/>
        <w:color w:val="0056A9"/>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E31F" w14:textId="77777777" w:rsidR="00EB78FA" w:rsidRPr="00EB78FA" w:rsidRDefault="00EB78FA" w:rsidP="00EB78FA">
    <w:pPr>
      <w:pStyle w:val="Footer"/>
      <w:tabs>
        <w:tab w:val="clear" w:pos="4680"/>
      </w:tabs>
      <w:jc w:val="right"/>
      <w:rPr>
        <w:b/>
        <w:bCs/>
        <w:color w:val="0056A9"/>
      </w:rPr>
    </w:pPr>
    <w:r>
      <w:rPr>
        <w:noProof/>
      </w:rPr>
      <mc:AlternateContent>
        <mc:Choice Requires="wps">
          <w:drawing>
            <wp:anchor distT="0" distB="0" distL="114300" distR="114300" simplePos="0" relativeHeight="251658240" behindDoc="0" locked="0" layoutInCell="1" allowOverlap="1" wp14:anchorId="06E2B5B0" wp14:editId="4260D17E">
              <wp:simplePos x="0" y="0"/>
              <wp:positionH relativeFrom="column">
                <wp:posOffset>-18415</wp:posOffset>
              </wp:positionH>
              <wp:positionV relativeFrom="paragraph">
                <wp:posOffset>182880</wp:posOffset>
              </wp:positionV>
              <wp:extent cx="5971032" cy="0"/>
              <wp:effectExtent l="0" t="0" r="0" b="0"/>
              <wp:wrapNone/>
              <wp:docPr id="154597507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1C3583"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7</w:t>
    </w:r>
    <w:r w:rsidRPr="002D6560">
      <w:rPr>
        <w:b/>
        <w:bCs/>
        <w:color w:val="0056A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12BFE" w14:textId="420DAD6E" w:rsidR="00B227C9" w:rsidRPr="008D72A6" w:rsidRDefault="00B227C9" w:rsidP="007770EB">
    <w:pPr>
      <w:pStyle w:val="Footer"/>
      <w:jc w:val="right"/>
      <w:rPr>
        <w:b/>
        <w:bCs/>
        <w:color w:val="0056A9"/>
      </w:rPr>
    </w:pPr>
    <w:r>
      <w:rPr>
        <w:noProof/>
      </w:rPr>
      <mc:AlternateContent>
        <mc:Choice Requires="wps">
          <w:drawing>
            <wp:anchor distT="0" distB="0" distL="114300" distR="114300" simplePos="0" relativeHeight="251658242" behindDoc="0" locked="0" layoutInCell="1" allowOverlap="1" wp14:anchorId="17519D3A" wp14:editId="3109745E">
              <wp:simplePos x="0" y="0"/>
              <wp:positionH relativeFrom="column">
                <wp:posOffset>-18415</wp:posOffset>
              </wp:positionH>
              <wp:positionV relativeFrom="paragraph">
                <wp:posOffset>182880</wp:posOffset>
              </wp:positionV>
              <wp:extent cx="5971032" cy="0"/>
              <wp:effectExtent l="0" t="0" r="0" b="0"/>
              <wp:wrapNone/>
              <wp:docPr id="285296729"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DDD765"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sidR="001B0B36" w:rsidRPr="001B0B36">
      <w:t xml:space="preserve"> </w:t>
    </w:r>
    <w:r w:rsidR="001B0B36" w:rsidRPr="00072CE7">
      <w:rPr>
        <w:noProof/>
        <w:szCs w:val="24"/>
      </w:rPr>
      <w:t>Guidance: Complying with Laws Protecting Birds and Managing Potential Violation</w:t>
    </w:r>
    <w:r w:rsidR="001B0B36" w:rsidRPr="009E7990">
      <w:rPr>
        <w:noProof/>
        <w:szCs w:val="24"/>
      </w:rPr>
      <w:t>s</w:t>
    </w:r>
    <w:r w:rsidR="007770EB" w:rsidRPr="009E7990">
      <w:rPr>
        <w:noProof/>
      </w:rPr>
      <w:t xml:space="preserve"> </w:t>
    </w:r>
    <w:r w:rsidRPr="00834F05">
      <w:t xml:space="preserve">|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8FA96" w14:textId="77777777" w:rsidR="00B227C9" w:rsidRPr="00EB78FA" w:rsidRDefault="00B227C9" w:rsidP="00EB78FA">
    <w:pPr>
      <w:pStyle w:val="Footer"/>
      <w:tabs>
        <w:tab w:val="clear" w:pos="4680"/>
      </w:tabs>
      <w:jc w:val="right"/>
      <w:rPr>
        <w:b/>
        <w:bCs/>
        <w:color w:val="0056A9"/>
      </w:rPr>
    </w:pPr>
    <w:r>
      <w:rPr>
        <w:noProof/>
      </w:rPr>
      <mc:AlternateContent>
        <mc:Choice Requires="wps">
          <w:drawing>
            <wp:anchor distT="0" distB="0" distL="114300" distR="114300" simplePos="0" relativeHeight="251658241" behindDoc="0" locked="0" layoutInCell="1" allowOverlap="1" wp14:anchorId="52C1F9C3" wp14:editId="76978FD8">
              <wp:simplePos x="0" y="0"/>
              <wp:positionH relativeFrom="column">
                <wp:posOffset>-18415</wp:posOffset>
              </wp:positionH>
              <wp:positionV relativeFrom="paragraph">
                <wp:posOffset>182880</wp:posOffset>
              </wp:positionV>
              <wp:extent cx="5971032" cy="0"/>
              <wp:effectExtent l="0" t="0" r="0" b="0"/>
              <wp:wrapNone/>
              <wp:docPr id="9971414"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2852BE"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7086E" w14:textId="77777777" w:rsidR="00950410" w:rsidRDefault="00950410" w:rsidP="00E9313B">
      <w:pPr>
        <w:spacing w:after="0" w:line="240" w:lineRule="auto"/>
      </w:pPr>
      <w:r>
        <w:separator/>
      </w:r>
    </w:p>
  </w:footnote>
  <w:footnote w:type="continuationSeparator" w:id="0">
    <w:p w14:paraId="5F706898" w14:textId="77777777" w:rsidR="00950410" w:rsidRDefault="00950410" w:rsidP="003D0A5B">
      <w:pPr>
        <w:spacing w:after="0" w:line="240" w:lineRule="auto"/>
      </w:pPr>
      <w:r>
        <w:continuationSeparator/>
      </w:r>
    </w:p>
    <w:p w14:paraId="766981DB" w14:textId="77777777" w:rsidR="00950410" w:rsidRDefault="00950410"/>
    <w:p w14:paraId="48A7AB50" w14:textId="77777777" w:rsidR="00950410" w:rsidRDefault="00950410" w:rsidP="008B0E37"/>
  </w:footnote>
  <w:footnote w:id="1">
    <w:p w14:paraId="44EE4014" w14:textId="36A2B132" w:rsidR="00543B0D" w:rsidRPr="00A64191" w:rsidRDefault="00543B0D" w:rsidP="00F63C44">
      <w:r w:rsidRPr="00A64191">
        <w:rPr>
          <w:rStyle w:val="FootnoteReference"/>
          <w:szCs w:val="32"/>
        </w:rPr>
        <w:footnoteRef/>
      </w:r>
      <w:r w:rsidRPr="00A64191">
        <w:t xml:space="preserve"> The Migratory Bird Treaty Act, 16 U.S.C. §§ 703–711 and implementing regulations found at 50 CFR. part 21, protect native migratory birds, their nests, and their eggs.</w:t>
      </w:r>
    </w:p>
  </w:footnote>
  <w:footnote w:id="2">
    <w:p w14:paraId="0E2534D0" w14:textId="00F21E61" w:rsidR="00543B0D" w:rsidRPr="00A64191" w:rsidRDefault="00543B0D" w:rsidP="00F63C44">
      <w:pPr>
        <w:rPr>
          <w:vertAlign w:val="superscript"/>
        </w:rPr>
      </w:pPr>
      <w:r w:rsidRPr="00A64191">
        <w:rPr>
          <w:rStyle w:val="FootnoteReference"/>
          <w:szCs w:val="32"/>
        </w:rPr>
        <w:footnoteRef/>
      </w:r>
      <w:r w:rsidRPr="00A64191">
        <w:t xml:space="preserve"> 16 U.S.C. § 707.</w:t>
      </w:r>
    </w:p>
  </w:footnote>
  <w:footnote w:id="3">
    <w:p w14:paraId="4467C00B" w14:textId="3B42F6B0" w:rsidR="00543B0D" w:rsidRPr="00A64191" w:rsidRDefault="00543B0D" w:rsidP="003942D6">
      <w:r w:rsidRPr="00A64191">
        <w:rPr>
          <w:rStyle w:val="FootnoteReference"/>
          <w:szCs w:val="32"/>
        </w:rPr>
        <w:footnoteRef/>
      </w:r>
      <w:r w:rsidRPr="00A64191">
        <w:t xml:space="preserve"> </w:t>
      </w:r>
      <w:r w:rsidR="0031014D" w:rsidRPr="0031014D">
        <w:t xml:space="preserve">Texas Parks and Wildlife Code, Title 5, Subtitle B, Chapter 64.002. </w:t>
      </w:r>
    </w:p>
  </w:footnote>
  <w:footnote w:id="4">
    <w:p w14:paraId="5B3F447B" w14:textId="05C9242F" w:rsidR="00543B0D" w:rsidRPr="0031014D" w:rsidRDefault="00543B0D" w:rsidP="003942D6">
      <w:pPr>
        <w:rPr>
          <w:iCs/>
        </w:rPr>
      </w:pPr>
      <w:r w:rsidRPr="00A64191">
        <w:rPr>
          <w:rStyle w:val="FootnoteReference"/>
          <w:szCs w:val="32"/>
        </w:rPr>
        <w:footnoteRef/>
      </w:r>
      <w:r w:rsidRPr="00A64191">
        <w:t xml:space="preserve"> </w:t>
      </w:r>
      <w:r w:rsidR="003942D6" w:rsidRPr="003942D6">
        <w:t>Memorandum to U.S. Department of the Interior Secretary, Deputy Secretary, Assistant Secretary for Land and Minerals Management, Assistant Secretary for Fish and Wildlife and Parks from U.S. Department of the Interior Principal Deputy Solicitor Exercising the Authority of the Solicitor Pursuant to Secretary’s Order 3345, M-37050, “The Migratory Bird Treaty Act Does Not Prohibit Incidental Take” (Dec. 22, 2017).</w:t>
      </w:r>
    </w:p>
  </w:footnote>
  <w:footnote w:id="5">
    <w:p w14:paraId="2532FE66" w14:textId="22E35981" w:rsidR="00543B0D" w:rsidRPr="00A64191" w:rsidRDefault="00543B0D" w:rsidP="003942D6">
      <w:pPr>
        <w:rPr>
          <w:sz w:val="18"/>
          <w:szCs w:val="22"/>
        </w:rPr>
      </w:pPr>
      <w:r w:rsidRPr="00A64191">
        <w:rPr>
          <w:rStyle w:val="FootnoteReference"/>
          <w:szCs w:val="32"/>
        </w:rPr>
        <w:footnoteRef/>
      </w:r>
      <w:r w:rsidRPr="00A64191">
        <w:t xml:space="preserve"> </w:t>
      </w:r>
      <w:bookmarkStart w:id="6" w:name="_Hlk221009821"/>
      <w:r w:rsidRPr="00A64191">
        <w:rPr>
          <w:i/>
        </w:rPr>
        <w:t xml:space="preserve">Id. </w:t>
      </w:r>
      <w:r w:rsidRPr="00A64191">
        <w:t xml:space="preserve">at </w:t>
      </w:r>
      <w:r w:rsidR="003942D6">
        <w:t>2</w:t>
      </w:r>
      <w:r w:rsidRPr="00A64191">
        <w:t>.</w:t>
      </w:r>
      <w:bookmarkEnd w:id="6"/>
    </w:p>
  </w:footnote>
  <w:footnote w:id="6">
    <w:p w14:paraId="28A2679A" w14:textId="201BBD53" w:rsidR="00946119" w:rsidRDefault="00946119" w:rsidP="00946119">
      <w:r>
        <w:rPr>
          <w:rStyle w:val="FootnoteReference"/>
        </w:rPr>
        <w:footnoteRef/>
      </w:r>
      <w:r>
        <w:t xml:space="preserve"> </w:t>
      </w:r>
      <w:r w:rsidRPr="00946119">
        <w:rPr>
          <w:i/>
          <w:iCs/>
        </w:rPr>
        <w:t>Id</w:t>
      </w:r>
      <w:r w:rsidRPr="00946119">
        <w:t xml:space="preserve">. at </w:t>
      </w:r>
      <w:r>
        <w:t>41</w:t>
      </w:r>
      <w:r w:rsidRPr="00946119">
        <w:t>.</w:t>
      </w:r>
    </w:p>
  </w:footnote>
  <w:footnote w:id="7">
    <w:p w14:paraId="4B1DCFBB" w14:textId="6F87454F" w:rsidR="00882157" w:rsidRPr="00C640BA" w:rsidRDefault="00882157" w:rsidP="00AB5029">
      <w:r w:rsidRPr="00C640BA">
        <w:rPr>
          <w:rStyle w:val="FootnoteReference"/>
          <w:szCs w:val="24"/>
        </w:rPr>
        <w:footnoteRef/>
      </w:r>
      <w:r w:rsidRPr="00C640BA">
        <w:t xml:space="preserve"> While MBTA contains no provisions allowing a private party to be sued for an alleged MBTA violation, suits have been brought against federal agencies under the Administrative Procedures Act to prevent an agency from conducting its activities until MBTA compliance is achieved (</w:t>
      </w:r>
      <w:r w:rsidRPr="00EA726E">
        <w:rPr>
          <w:i/>
          <w:iCs/>
        </w:rPr>
        <w:t xml:space="preserve">Humane Soc’y of the U.S. v. Glickman 217 F.3d 882 (D.C. Cir. 2000); Public Employees for </w:t>
      </w:r>
      <w:r w:rsidR="00C640BA" w:rsidRPr="00EA726E">
        <w:rPr>
          <w:i/>
          <w:iCs/>
        </w:rPr>
        <w:t xml:space="preserve">Environmental </w:t>
      </w:r>
      <w:r w:rsidRPr="00EA726E">
        <w:rPr>
          <w:i/>
          <w:iCs/>
        </w:rPr>
        <w:t>Responsibility v. Hopper, 827 F.3d 1077, 1088 n.11 (D.C. Cir. 2016)</w:t>
      </w:r>
      <w:r w:rsidRPr="00C640BA">
        <w:t>)</w:t>
      </w:r>
    </w:p>
  </w:footnote>
  <w:footnote w:id="8">
    <w:p w14:paraId="51B71445" w14:textId="77777777" w:rsidR="00882157" w:rsidRPr="00C640BA" w:rsidRDefault="00882157" w:rsidP="00AB5029">
      <w:r w:rsidRPr="00C640BA">
        <w:rPr>
          <w:rStyle w:val="FootnoteReference"/>
          <w:szCs w:val="24"/>
        </w:rPr>
        <w:footnoteRef/>
      </w:r>
      <w:r w:rsidRPr="00C640BA">
        <w:t xml:space="preserve"> Texas Parks and Wildlife Code, Title 5, Subtitle B, Chapter 64.005. An individual found guilty shall be punished by a fine of not less than $25 nor more than $500 (Texas Parks and Wildlife Code, Title 2, Chapter 12.406).</w:t>
      </w:r>
    </w:p>
  </w:footnote>
  <w:footnote w:id="9">
    <w:p w14:paraId="77918503" w14:textId="77777777" w:rsidR="00882157" w:rsidRPr="00867634" w:rsidRDefault="00882157" w:rsidP="00AB5029">
      <w:pPr>
        <w:rPr>
          <w:sz w:val="16"/>
          <w:szCs w:val="16"/>
        </w:rPr>
      </w:pPr>
      <w:r w:rsidRPr="00C640BA">
        <w:rPr>
          <w:rStyle w:val="FootnoteReference"/>
          <w:szCs w:val="24"/>
        </w:rPr>
        <w:footnoteRef/>
      </w:r>
      <w:r w:rsidRPr="00C640BA">
        <w:t xml:space="preserve"> Texas Parks and Wildlife Code, Title 2, Chapter 12.301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526B6"/>
    <w:multiLevelType w:val="multilevel"/>
    <w:tmpl w:val="8C063A4A"/>
    <w:lvl w:ilvl="0">
      <w:start w:val="1"/>
      <w:numFmt w:val="decimal"/>
      <w:lvlText w:val="%1."/>
      <w:lvlJc w:val="left"/>
      <w:pPr>
        <w:ind w:left="720" w:hanging="360"/>
      </w:pPr>
      <w:rPr>
        <w:rFonts w:hint="default"/>
      </w:rPr>
    </w:lvl>
    <w:lvl w:ilvl="1">
      <w:numFmt w:val="decimal"/>
      <w:isLgl/>
      <w:lvlText w:val="%1.%2"/>
      <w:lvlJc w:val="left"/>
      <w:pPr>
        <w:ind w:left="984" w:hanging="62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C4C12DE"/>
    <w:multiLevelType w:val="multilevel"/>
    <w:tmpl w:val="C6BE2430"/>
    <w:lvl w:ilvl="0">
      <w:start w:val="1"/>
      <w:numFmt w:val="decimal"/>
      <w:pStyle w:val="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6E463622"/>
    <w:multiLevelType w:val="hybridMultilevel"/>
    <w:tmpl w:val="1292D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A063B5"/>
    <w:multiLevelType w:val="hybridMultilevel"/>
    <w:tmpl w:val="CBCE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F72867"/>
    <w:multiLevelType w:val="hybridMultilevel"/>
    <w:tmpl w:val="04383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45039576">
    <w:abstractNumId w:val="1"/>
  </w:num>
  <w:num w:numId="2" w16cid:durableId="486940803">
    <w:abstractNumId w:val="5"/>
  </w:num>
  <w:num w:numId="3" w16cid:durableId="1078599823">
    <w:abstractNumId w:val="3"/>
  </w:num>
  <w:num w:numId="4" w16cid:durableId="575674001">
    <w:abstractNumId w:val="0"/>
  </w:num>
  <w:num w:numId="5" w16cid:durableId="2070759566">
    <w:abstractNumId w:val="4"/>
  </w:num>
  <w:num w:numId="6" w16cid:durableId="10955942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0993481">
    <w:abstractNumId w:val="1"/>
  </w:num>
  <w:num w:numId="8" w16cid:durableId="4279718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1053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K5t9+1B2m9eF/J/YRSpIRSTbDNMNAVRAyCtQPq49LMx5vcn80PcUkKQqyfJS1I+F9RWFipAZUJK+JIMsqpcmyg==" w:salt="hL6Pt3mphnWuNyooTmiiM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10"/>
    <w:rsid w:val="000171A2"/>
    <w:rsid w:val="0002018B"/>
    <w:rsid w:val="00020E5C"/>
    <w:rsid w:val="000424F1"/>
    <w:rsid w:val="000446C8"/>
    <w:rsid w:val="000501F9"/>
    <w:rsid w:val="00072CE7"/>
    <w:rsid w:val="000A2917"/>
    <w:rsid w:val="000C0D5B"/>
    <w:rsid w:val="000D78CE"/>
    <w:rsid w:val="000E0D7D"/>
    <w:rsid w:val="000E6A05"/>
    <w:rsid w:val="000E784A"/>
    <w:rsid w:val="000F126D"/>
    <w:rsid w:val="00100518"/>
    <w:rsid w:val="00106249"/>
    <w:rsid w:val="00106B9C"/>
    <w:rsid w:val="001149B9"/>
    <w:rsid w:val="001214A0"/>
    <w:rsid w:val="00132BCB"/>
    <w:rsid w:val="00145F56"/>
    <w:rsid w:val="00155E89"/>
    <w:rsid w:val="00170E46"/>
    <w:rsid w:val="001809BD"/>
    <w:rsid w:val="0018751C"/>
    <w:rsid w:val="001B0B36"/>
    <w:rsid w:val="001B5742"/>
    <w:rsid w:val="001C12E5"/>
    <w:rsid w:val="001C6F4B"/>
    <w:rsid w:val="001E7A69"/>
    <w:rsid w:val="001F3E0C"/>
    <w:rsid w:val="00211BC0"/>
    <w:rsid w:val="002301AB"/>
    <w:rsid w:val="00232D1C"/>
    <w:rsid w:val="00240B34"/>
    <w:rsid w:val="0024512C"/>
    <w:rsid w:val="00247CB8"/>
    <w:rsid w:val="002600A2"/>
    <w:rsid w:val="002903DC"/>
    <w:rsid w:val="00295654"/>
    <w:rsid w:val="002A04D8"/>
    <w:rsid w:val="002A05A5"/>
    <w:rsid w:val="002A3B69"/>
    <w:rsid w:val="002A3C78"/>
    <w:rsid w:val="002B0BA2"/>
    <w:rsid w:val="002B0BC6"/>
    <w:rsid w:val="002B37CB"/>
    <w:rsid w:val="002D4E37"/>
    <w:rsid w:val="002D6560"/>
    <w:rsid w:val="002E24FE"/>
    <w:rsid w:val="00300CD1"/>
    <w:rsid w:val="00300E82"/>
    <w:rsid w:val="0031014D"/>
    <w:rsid w:val="00321CEB"/>
    <w:rsid w:val="00330402"/>
    <w:rsid w:val="00332EEC"/>
    <w:rsid w:val="003337C2"/>
    <w:rsid w:val="00333FB6"/>
    <w:rsid w:val="00345AEF"/>
    <w:rsid w:val="003546FC"/>
    <w:rsid w:val="003765F5"/>
    <w:rsid w:val="0038282D"/>
    <w:rsid w:val="003852FC"/>
    <w:rsid w:val="00387F2F"/>
    <w:rsid w:val="003942D6"/>
    <w:rsid w:val="003B6CAE"/>
    <w:rsid w:val="003C2A4C"/>
    <w:rsid w:val="003C71B7"/>
    <w:rsid w:val="003D0A5B"/>
    <w:rsid w:val="003D192A"/>
    <w:rsid w:val="003D4749"/>
    <w:rsid w:val="003D5E37"/>
    <w:rsid w:val="003E43D0"/>
    <w:rsid w:val="003E683F"/>
    <w:rsid w:val="003F767E"/>
    <w:rsid w:val="003F7E90"/>
    <w:rsid w:val="00400F33"/>
    <w:rsid w:val="00402F1A"/>
    <w:rsid w:val="004053A6"/>
    <w:rsid w:val="0041293E"/>
    <w:rsid w:val="0041409C"/>
    <w:rsid w:val="00425D54"/>
    <w:rsid w:val="00435F70"/>
    <w:rsid w:val="00443267"/>
    <w:rsid w:val="00444FA7"/>
    <w:rsid w:val="00445393"/>
    <w:rsid w:val="004537AE"/>
    <w:rsid w:val="00462383"/>
    <w:rsid w:val="00464E56"/>
    <w:rsid w:val="00465B7F"/>
    <w:rsid w:val="00465DFC"/>
    <w:rsid w:val="00466FDF"/>
    <w:rsid w:val="0046726C"/>
    <w:rsid w:val="00490361"/>
    <w:rsid w:val="004B0DE9"/>
    <w:rsid w:val="004C3718"/>
    <w:rsid w:val="004C6636"/>
    <w:rsid w:val="004D3590"/>
    <w:rsid w:val="004D525F"/>
    <w:rsid w:val="004E2F5A"/>
    <w:rsid w:val="004E5430"/>
    <w:rsid w:val="004F67BB"/>
    <w:rsid w:val="005051FF"/>
    <w:rsid w:val="00505CA3"/>
    <w:rsid w:val="0051675A"/>
    <w:rsid w:val="005218C4"/>
    <w:rsid w:val="005260EC"/>
    <w:rsid w:val="00526D69"/>
    <w:rsid w:val="005275CB"/>
    <w:rsid w:val="0054076C"/>
    <w:rsid w:val="00543B0D"/>
    <w:rsid w:val="00546918"/>
    <w:rsid w:val="005470AB"/>
    <w:rsid w:val="005622ED"/>
    <w:rsid w:val="00574731"/>
    <w:rsid w:val="0058095D"/>
    <w:rsid w:val="00582328"/>
    <w:rsid w:val="00583063"/>
    <w:rsid w:val="005C2664"/>
    <w:rsid w:val="005C2BFE"/>
    <w:rsid w:val="005C5281"/>
    <w:rsid w:val="005D2983"/>
    <w:rsid w:val="005D3011"/>
    <w:rsid w:val="005D38BE"/>
    <w:rsid w:val="005F0741"/>
    <w:rsid w:val="005F0A23"/>
    <w:rsid w:val="00604295"/>
    <w:rsid w:val="00625AB5"/>
    <w:rsid w:val="00626F7E"/>
    <w:rsid w:val="0063569F"/>
    <w:rsid w:val="00642BC1"/>
    <w:rsid w:val="006440DC"/>
    <w:rsid w:val="00644F1C"/>
    <w:rsid w:val="00651507"/>
    <w:rsid w:val="00652CCE"/>
    <w:rsid w:val="006550CD"/>
    <w:rsid w:val="0065532A"/>
    <w:rsid w:val="00657DEB"/>
    <w:rsid w:val="00666039"/>
    <w:rsid w:val="00673FCA"/>
    <w:rsid w:val="0068078C"/>
    <w:rsid w:val="00685C66"/>
    <w:rsid w:val="006A60EA"/>
    <w:rsid w:val="006B2846"/>
    <w:rsid w:val="006E0628"/>
    <w:rsid w:val="007142F9"/>
    <w:rsid w:val="00715F60"/>
    <w:rsid w:val="00723362"/>
    <w:rsid w:val="00745D4A"/>
    <w:rsid w:val="00760D4F"/>
    <w:rsid w:val="007670B9"/>
    <w:rsid w:val="007770EB"/>
    <w:rsid w:val="00785336"/>
    <w:rsid w:val="00795D53"/>
    <w:rsid w:val="007A4673"/>
    <w:rsid w:val="007C7010"/>
    <w:rsid w:val="00821627"/>
    <w:rsid w:val="00830DDB"/>
    <w:rsid w:val="00834F05"/>
    <w:rsid w:val="0084129F"/>
    <w:rsid w:val="00857EE1"/>
    <w:rsid w:val="00860F2C"/>
    <w:rsid w:val="0088087A"/>
    <w:rsid w:val="00880FFE"/>
    <w:rsid w:val="00882157"/>
    <w:rsid w:val="008B0E37"/>
    <w:rsid w:val="008B3AE8"/>
    <w:rsid w:val="008C7DC5"/>
    <w:rsid w:val="008D2811"/>
    <w:rsid w:val="008D72A6"/>
    <w:rsid w:val="008E4682"/>
    <w:rsid w:val="00907379"/>
    <w:rsid w:val="00910CC7"/>
    <w:rsid w:val="00913DF0"/>
    <w:rsid w:val="0091552B"/>
    <w:rsid w:val="00917891"/>
    <w:rsid w:val="00935DFA"/>
    <w:rsid w:val="00937873"/>
    <w:rsid w:val="009404D1"/>
    <w:rsid w:val="00946119"/>
    <w:rsid w:val="00950410"/>
    <w:rsid w:val="009518EB"/>
    <w:rsid w:val="00952F15"/>
    <w:rsid w:val="00953721"/>
    <w:rsid w:val="009753BB"/>
    <w:rsid w:val="00977E7E"/>
    <w:rsid w:val="00980550"/>
    <w:rsid w:val="009A06E5"/>
    <w:rsid w:val="009A0F3A"/>
    <w:rsid w:val="009C206F"/>
    <w:rsid w:val="009C460F"/>
    <w:rsid w:val="009D1F42"/>
    <w:rsid w:val="009D3D76"/>
    <w:rsid w:val="009D6279"/>
    <w:rsid w:val="009D6EB9"/>
    <w:rsid w:val="009E02BD"/>
    <w:rsid w:val="009E1957"/>
    <w:rsid w:val="009E5068"/>
    <w:rsid w:val="009E7990"/>
    <w:rsid w:val="009F1DD4"/>
    <w:rsid w:val="00A02B24"/>
    <w:rsid w:val="00A1426D"/>
    <w:rsid w:val="00A440FF"/>
    <w:rsid w:val="00A64191"/>
    <w:rsid w:val="00A66AF4"/>
    <w:rsid w:val="00A7674C"/>
    <w:rsid w:val="00AA10E8"/>
    <w:rsid w:val="00AA49FA"/>
    <w:rsid w:val="00AA4F86"/>
    <w:rsid w:val="00AB41E2"/>
    <w:rsid w:val="00AB5029"/>
    <w:rsid w:val="00AE4C68"/>
    <w:rsid w:val="00B02F1E"/>
    <w:rsid w:val="00B11660"/>
    <w:rsid w:val="00B15547"/>
    <w:rsid w:val="00B227C9"/>
    <w:rsid w:val="00B272A7"/>
    <w:rsid w:val="00B274A9"/>
    <w:rsid w:val="00B274FE"/>
    <w:rsid w:val="00B71F7F"/>
    <w:rsid w:val="00B72EAF"/>
    <w:rsid w:val="00B84643"/>
    <w:rsid w:val="00B93B4F"/>
    <w:rsid w:val="00BA63DC"/>
    <w:rsid w:val="00BB29D7"/>
    <w:rsid w:val="00BB4982"/>
    <w:rsid w:val="00BC2A0C"/>
    <w:rsid w:val="00BC2FB8"/>
    <w:rsid w:val="00BC7158"/>
    <w:rsid w:val="00BE0949"/>
    <w:rsid w:val="00BE3E16"/>
    <w:rsid w:val="00C001A8"/>
    <w:rsid w:val="00C15D7A"/>
    <w:rsid w:val="00C23859"/>
    <w:rsid w:val="00C27891"/>
    <w:rsid w:val="00C33034"/>
    <w:rsid w:val="00C333BF"/>
    <w:rsid w:val="00C41BAA"/>
    <w:rsid w:val="00C423F6"/>
    <w:rsid w:val="00C431EA"/>
    <w:rsid w:val="00C436ED"/>
    <w:rsid w:val="00C445B3"/>
    <w:rsid w:val="00C47D0B"/>
    <w:rsid w:val="00C51719"/>
    <w:rsid w:val="00C548C9"/>
    <w:rsid w:val="00C639EB"/>
    <w:rsid w:val="00C640BA"/>
    <w:rsid w:val="00C64139"/>
    <w:rsid w:val="00C67F36"/>
    <w:rsid w:val="00C74B3E"/>
    <w:rsid w:val="00C768E2"/>
    <w:rsid w:val="00C776E4"/>
    <w:rsid w:val="00C813B5"/>
    <w:rsid w:val="00C827D4"/>
    <w:rsid w:val="00CC1F1A"/>
    <w:rsid w:val="00CC2BDA"/>
    <w:rsid w:val="00D04CBF"/>
    <w:rsid w:val="00D15677"/>
    <w:rsid w:val="00D44D84"/>
    <w:rsid w:val="00D47744"/>
    <w:rsid w:val="00D479DE"/>
    <w:rsid w:val="00D5639E"/>
    <w:rsid w:val="00D67F67"/>
    <w:rsid w:val="00D775EA"/>
    <w:rsid w:val="00D80E62"/>
    <w:rsid w:val="00D85507"/>
    <w:rsid w:val="00DA0BF9"/>
    <w:rsid w:val="00DC332B"/>
    <w:rsid w:val="00DC5DC9"/>
    <w:rsid w:val="00DC76C5"/>
    <w:rsid w:val="00DE34F5"/>
    <w:rsid w:val="00DE5111"/>
    <w:rsid w:val="00DE69FF"/>
    <w:rsid w:val="00E00839"/>
    <w:rsid w:val="00E038D8"/>
    <w:rsid w:val="00E06B2E"/>
    <w:rsid w:val="00E14B4A"/>
    <w:rsid w:val="00E15094"/>
    <w:rsid w:val="00E21354"/>
    <w:rsid w:val="00E43CD8"/>
    <w:rsid w:val="00E455A8"/>
    <w:rsid w:val="00E51EA3"/>
    <w:rsid w:val="00E53EDB"/>
    <w:rsid w:val="00E604DE"/>
    <w:rsid w:val="00E6778D"/>
    <w:rsid w:val="00E8747E"/>
    <w:rsid w:val="00E9313B"/>
    <w:rsid w:val="00EA726E"/>
    <w:rsid w:val="00EB47C6"/>
    <w:rsid w:val="00EB6AE0"/>
    <w:rsid w:val="00EB78FA"/>
    <w:rsid w:val="00EC1C9F"/>
    <w:rsid w:val="00ED0775"/>
    <w:rsid w:val="00ED5131"/>
    <w:rsid w:val="00EF1531"/>
    <w:rsid w:val="00EF5B22"/>
    <w:rsid w:val="00F443E2"/>
    <w:rsid w:val="00F51401"/>
    <w:rsid w:val="00F602D4"/>
    <w:rsid w:val="00F63C44"/>
    <w:rsid w:val="00F66D09"/>
    <w:rsid w:val="00F761C7"/>
    <w:rsid w:val="00F822F6"/>
    <w:rsid w:val="00F83278"/>
    <w:rsid w:val="00F84154"/>
    <w:rsid w:val="00F860DE"/>
    <w:rsid w:val="00F919D6"/>
    <w:rsid w:val="00F92530"/>
    <w:rsid w:val="00F959A1"/>
    <w:rsid w:val="00F96D2C"/>
    <w:rsid w:val="00FA101B"/>
    <w:rsid w:val="00FB2011"/>
    <w:rsid w:val="00FB6EB5"/>
    <w:rsid w:val="00FC262D"/>
    <w:rsid w:val="00FD0EAF"/>
    <w:rsid w:val="00FD568D"/>
    <w:rsid w:val="00FE0689"/>
    <w:rsid w:val="00FE17E8"/>
    <w:rsid w:val="00FE5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6A0A5"/>
  <w15:chartTrackingRefBased/>
  <w15:docId w15:val="{A090724F-ABF1-407E-887A-E4C86D526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F56"/>
    <w:pPr>
      <w:spacing w:after="200" w:line="360" w:lineRule="auto"/>
    </w:pPr>
    <w:rPr>
      <w:szCs w:val="20"/>
    </w:rPr>
  </w:style>
  <w:style w:type="paragraph" w:styleId="Heading1">
    <w:name w:val="heading 1"/>
    <w:next w:val="Normal"/>
    <w:link w:val="Heading1Char"/>
    <w:uiPriority w:val="9"/>
    <w:qFormat/>
    <w:rsid w:val="0091552B"/>
    <w:pPr>
      <w:spacing w:after="240"/>
      <w:ind w:left="1267" w:right="1267"/>
      <w:outlineLvl w:val="0"/>
    </w:pPr>
    <w:rPr>
      <w:b/>
      <w:bCs/>
      <w:color w:val="FFFFFF" w:themeColor="background1"/>
      <w:sz w:val="48"/>
      <w:szCs w:val="48"/>
    </w:rPr>
  </w:style>
  <w:style w:type="paragraph" w:styleId="Heading2">
    <w:name w:val="heading 2"/>
    <w:next w:val="Normal"/>
    <w:link w:val="Heading2Char"/>
    <w:uiPriority w:val="9"/>
    <w:unhideWhenUsed/>
    <w:qFormat/>
    <w:rsid w:val="00BB4982"/>
    <w:pPr>
      <w:keepNext/>
      <w:keepLines/>
      <w:widowControl w:val="0"/>
      <w:spacing w:before="240" w:line="336" w:lineRule="auto"/>
      <w:outlineLvl w:val="1"/>
    </w:pPr>
    <w:rPr>
      <w:rFonts w:asciiTheme="majorHAnsi" w:hAnsiTheme="majorHAnsi"/>
      <w:b/>
      <w:color w:val="0056A9"/>
      <w:sz w:val="32"/>
      <w:szCs w:val="32"/>
    </w:rPr>
  </w:style>
  <w:style w:type="paragraph" w:styleId="Heading3">
    <w:name w:val="heading 3"/>
    <w:next w:val="Normal"/>
    <w:link w:val="Heading3Char"/>
    <w:uiPriority w:val="9"/>
    <w:unhideWhenUsed/>
    <w:qFormat/>
    <w:rsid w:val="00BB4982"/>
    <w:pPr>
      <w:keepNext/>
      <w:keepLines/>
      <w:widowControl w:val="0"/>
      <w:spacing w:before="40" w:line="336" w:lineRule="auto"/>
      <w:outlineLvl w:val="2"/>
    </w:pPr>
    <w:rPr>
      <w:rFonts w:asciiTheme="majorHAnsi" w:eastAsiaTheme="majorEastAsia" w:hAnsiTheme="majorHAnsi" w:cstheme="majorBidi"/>
      <w:b/>
      <w:color w:val="002E69"/>
      <w:sz w:val="28"/>
      <w:szCs w:val="32"/>
    </w:rPr>
  </w:style>
  <w:style w:type="paragraph" w:styleId="Heading4">
    <w:name w:val="heading 4"/>
    <w:next w:val="Normal"/>
    <w:link w:val="Heading4Char"/>
    <w:uiPriority w:val="9"/>
    <w:unhideWhenUsed/>
    <w:qFormat/>
    <w:rsid w:val="00BB4982"/>
    <w:pPr>
      <w:keepNext/>
      <w:keepLines/>
      <w:widowControl w:val="0"/>
      <w:spacing w:before="40" w:line="336" w:lineRule="auto"/>
      <w:outlineLvl w:val="3"/>
    </w:pPr>
    <w:rPr>
      <w:rFonts w:asciiTheme="majorHAnsi" w:eastAsiaTheme="majorEastAsia" w:hAnsiTheme="majorHAnsi" w:cstheme="majorBidi"/>
      <w:b/>
      <w:i/>
      <w:color w:val="002E69"/>
      <w:sz w:val="26"/>
      <w:szCs w:val="28"/>
    </w:rPr>
  </w:style>
  <w:style w:type="paragraph" w:styleId="Heading5">
    <w:name w:val="heading 5"/>
    <w:basedOn w:val="Heading4"/>
    <w:next w:val="Normal"/>
    <w:link w:val="Heading5Char"/>
    <w:uiPriority w:val="9"/>
    <w:unhideWhenUsed/>
    <w:qFormat/>
    <w:rsid w:val="00C423F6"/>
    <w:pPr>
      <w:spacing w:before="300"/>
      <w:outlineLvl w:val="4"/>
    </w:pPr>
    <w:rPr>
      <w:i w:val="0"/>
      <w:iCs/>
      <w:color w:val="0056A9" w:themeColor="accent1"/>
      <w:szCs w:val="26"/>
    </w:rPr>
  </w:style>
  <w:style w:type="paragraph" w:styleId="Heading6">
    <w:name w:val="heading 6"/>
    <w:next w:val="Normal"/>
    <w:link w:val="Heading6Char"/>
    <w:uiPriority w:val="9"/>
    <w:unhideWhenUsed/>
    <w:qFormat/>
    <w:rsid w:val="00B93B4F"/>
    <w:pPr>
      <w:spacing w:after="120" w:line="360" w:lineRule="auto"/>
      <w:outlineLvl w:val="5"/>
    </w:pPr>
    <w:rPr>
      <w:rFonts w:asciiTheme="majorHAnsi" w:hAnsiTheme="majorHAnsi"/>
      <w:b/>
      <w:bCs/>
      <w:iCs/>
      <w:color w:val="0056A9" w:themeColor="accent1"/>
    </w:rPr>
  </w:style>
  <w:style w:type="paragraph" w:styleId="Heading7">
    <w:name w:val="heading 7"/>
    <w:basedOn w:val="Normal"/>
    <w:next w:val="Normal"/>
    <w:link w:val="Heading7Char"/>
    <w:uiPriority w:val="9"/>
    <w:unhideWhenUsed/>
    <w:qFormat/>
    <w:rsid w:val="003C2A4C"/>
    <w:pPr>
      <w:pBdr>
        <w:top w:val="single" w:sz="48" w:space="1" w:color="0056A9" w:themeColor="accent1"/>
        <w:left w:val="single" w:sz="48" w:space="4" w:color="0056A9" w:themeColor="accent1"/>
        <w:bottom w:val="single" w:sz="48" w:space="1" w:color="0056A9" w:themeColor="accent1"/>
        <w:right w:val="single" w:sz="48" w:space="4" w:color="0056A9" w:themeColor="accent1"/>
      </w:pBdr>
      <w:shd w:val="clear" w:color="auto" w:fill="0056A9" w:themeFill="accent1"/>
      <w:outlineLvl w:val="6"/>
    </w:pPr>
    <w:rPr>
      <w:b/>
      <w:bCs/>
      <w:color w:val="FFFFFF" w:themeColor="background1"/>
    </w:rPr>
  </w:style>
  <w:style w:type="paragraph" w:styleId="Heading8">
    <w:name w:val="heading 8"/>
    <w:basedOn w:val="Normal"/>
    <w:next w:val="Normal"/>
    <w:link w:val="Heading8Char"/>
    <w:uiPriority w:val="9"/>
    <w:semiHidden/>
    <w:unhideWhenUsed/>
    <w:qFormat/>
    <w:rsid w:val="003D0A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A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52B"/>
    <w:rPr>
      <w:b/>
      <w:bCs/>
      <w:color w:val="FFFFFF" w:themeColor="background1"/>
      <w:sz w:val="48"/>
      <w:szCs w:val="48"/>
    </w:rPr>
  </w:style>
  <w:style w:type="character" w:customStyle="1" w:styleId="Heading2Char">
    <w:name w:val="Heading 2 Char"/>
    <w:basedOn w:val="DefaultParagraphFont"/>
    <w:link w:val="Heading2"/>
    <w:uiPriority w:val="9"/>
    <w:rsid w:val="00BB4982"/>
    <w:rPr>
      <w:rFonts w:asciiTheme="majorHAnsi" w:hAnsiTheme="majorHAnsi"/>
      <w:b/>
      <w:color w:val="0056A9"/>
      <w:sz w:val="32"/>
      <w:szCs w:val="32"/>
    </w:rPr>
  </w:style>
  <w:style w:type="character" w:customStyle="1" w:styleId="Heading3Char">
    <w:name w:val="Heading 3 Char"/>
    <w:basedOn w:val="DefaultParagraphFont"/>
    <w:link w:val="Heading3"/>
    <w:uiPriority w:val="9"/>
    <w:rsid w:val="00BB4982"/>
    <w:rPr>
      <w:rFonts w:asciiTheme="majorHAnsi" w:eastAsiaTheme="majorEastAsia" w:hAnsiTheme="majorHAnsi" w:cstheme="majorBidi"/>
      <w:b/>
      <w:color w:val="002E69"/>
      <w:sz w:val="28"/>
      <w:szCs w:val="32"/>
    </w:rPr>
  </w:style>
  <w:style w:type="character" w:customStyle="1" w:styleId="Heading4Char">
    <w:name w:val="Heading 4 Char"/>
    <w:basedOn w:val="DefaultParagraphFont"/>
    <w:link w:val="Heading4"/>
    <w:uiPriority w:val="9"/>
    <w:rsid w:val="00BB4982"/>
    <w:rPr>
      <w:rFonts w:asciiTheme="majorHAnsi" w:eastAsiaTheme="majorEastAsia" w:hAnsiTheme="majorHAnsi" w:cstheme="majorBidi"/>
      <w:b/>
      <w:i/>
      <w:color w:val="002E69"/>
      <w:sz w:val="26"/>
      <w:szCs w:val="28"/>
    </w:rPr>
  </w:style>
  <w:style w:type="character" w:customStyle="1" w:styleId="Heading5Char">
    <w:name w:val="Heading 5 Char"/>
    <w:basedOn w:val="DefaultParagraphFont"/>
    <w:link w:val="Heading5"/>
    <w:uiPriority w:val="9"/>
    <w:rsid w:val="00C423F6"/>
    <w:rPr>
      <w:rFonts w:asciiTheme="majorHAnsi" w:eastAsiaTheme="majorEastAsia" w:hAnsiTheme="majorHAnsi" w:cstheme="majorBidi"/>
      <w:b/>
      <w:i/>
      <w:iCs/>
      <w:color w:val="0056A9" w:themeColor="accent1"/>
      <w:sz w:val="26"/>
      <w:szCs w:val="26"/>
    </w:rPr>
  </w:style>
  <w:style w:type="character" w:customStyle="1" w:styleId="Heading6Char">
    <w:name w:val="Heading 6 Char"/>
    <w:basedOn w:val="DefaultParagraphFont"/>
    <w:link w:val="Heading6"/>
    <w:uiPriority w:val="9"/>
    <w:rsid w:val="00B93B4F"/>
    <w:rPr>
      <w:rFonts w:asciiTheme="majorHAnsi" w:hAnsiTheme="majorHAnsi"/>
      <w:b/>
      <w:bCs/>
      <w:iCs/>
      <w:color w:val="0056A9" w:themeColor="accent1"/>
    </w:rPr>
  </w:style>
  <w:style w:type="character" w:customStyle="1" w:styleId="Heading7Char">
    <w:name w:val="Heading 7 Char"/>
    <w:basedOn w:val="DefaultParagraphFont"/>
    <w:link w:val="Heading7"/>
    <w:uiPriority w:val="9"/>
    <w:rsid w:val="003C2A4C"/>
    <w:rPr>
      <w:b/>
      <w:bCs/>
      <w:color w:val="FFFFFF" w:themeColor="background1"/>
      <w:szCs w:val="20"/>
      <w:shd w:val="clear" w:color="auto" w:fill="0056A9" w:themeFill="accent1"/>
    </w:rPr>
  </w:style>
  <w:style w:type="character" w:customStyle="1" w:styleId="Heading8Char">
    <w:name w:val="Heading 8 Char"/>
    <w:basedOn w:val="DefaultParagraphFont"/>
    <w:link w:val="Heading8"/>
    <w:uiPriority w:val="9"/>
    <w:semiHidden/>
    <w:rsid w:val="003D0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A5B"/>
    <w:rPr>
      <w:rFonts w:eastAsiaTheme="majorEastAsia" w:cstheme="majorBidi"/>
      <w:color w:val="272727" w:themeColor="text1" w:themeTint="D8"/>
    </w:rPr>
  </w:style>
  <w:style w:type="paragraph" w:customStyle="1" w:styleId="TableHeadingSingle">
    <w:name w:val="Table Heading (Single"/>
    <w:aliases w:val="No Space After)"/>
    <w:basedOn w:val="Normal"/>
    <w:rsid w:val="005D38BE"/>
    <w:pPr>
      <w:framePr w:wrap="around" w:vAnchor="text" w:hAnchor="text" w:y="1"/>
      <w:spacing w:after="0" w:line="240" w:lineRule="auto"/>
      <w:suppressOverlap/>
    </w:pPr>
    <w:rPr>
      <w:rFonts w:asciiTheme="majorHAnsi" w:hAnsiTheme="majorHAnsi"/>
      <w:b/>
      <w:color w:val="FFFFFF" w:themeColor="background1"/>
    </w:rPr>
  </w:style>
  <w:style w:type="paragraph" w:styleId="Footer">
    <w:name w:val="footer"/>
    <w:basedOn w:val="Normal"/>
    <w:link w:val="FooterChar"/>
    <w:uiPriority w:val="99"/>
    <w:unhideWhenUsed/>
    <w:rsid w:val="00EB78FA"/>
    <w:pPr>
      <w:tabs>
        <w:tab w:val="center" w:pos="4680"/>
        <w:tab w:val="right" w:pos="9360"/>
      </w:tabs>
      <w:spacing w:before="360" w:after="0"/>
    </w:pPr>
    <w:rPr>
      <w:color w:val="0056A9" w:themeColor="accent1"/>
    </w:rPr>
  </w:style>
  <w:style w:type="character" w:customStyle="1" w:styleId="FooterChar">
    <w:name w:val="Footer Char"/>
    <w:basedOn w:val="DefaultParagraphFont"/>
    <w:link w:val="Footer"/>
    <w:uiPriority w:val="99"/>
    <w:rsid w:val="00EB78FA"/>
    <w:rPr>
      <w:color w:val="0056A9" w:themeColor="accent1"/>
      <w:szCs w:val="20"/>
    </w:rPr>
  </w:style>
  <w:style w:type="table" w:customStyle="1" w:styleId="ATFTxDOTTable">
    <w:name w:val="ATF TxDOT Table"/>
    <w:basedOn w:val="TableNormal"/>
    <w:uiPriority w:val="99"/>
    <w:rsid w:val="00211BC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uiPriority w:val="35"/>
    <w:unhideWhenUsed/>
    <w:rsid w:val="008B0E37"/>
    <w:pPr>
      <w:spacing w:line="240" w:lineRule="auto"/>
    </w:pPr>
    <w:rPr>
      <w:rFonts w:eastAsia="MS Mincho" w:cs="Traditional Arabic"/>
      <w:i/>
      <w:iCs/>
      <w:color w:val="000000" w:themeColor="text2"/>
      <w:kern w:val="0"/>
      <w:szCs w:val="18"/>
      <w14:ligatures w14:val="none"/>
    </w:rPr>
  </w:style>
  <w:style w:type="paragraph" w:customStyle="1" w:styleId="SpecialCentered">
    <w:name w:val="Special Centered"/>
    <w:basedOn w:val="Normal"/>
    <w:link w:val="SpecialCenteredChar"/>
    <w:rsid w:val="00145F56"/>
    <w:pPr>
      <w:jc w:val="center"/>
    </w:pPr>
    <w:rPr>
      <w:kern w:val="0"/>
      <w:szCs w:val="28"/>
      <w14:ligatures w14:val="none"/>
    </w:rPr>
  </w:style>
  <w:style w:type="paragraph" w:customStyle="1" w:styleId="TableNormalNoSpaceAfter">
    <w:name w:val="Table Normal (No Space After)"/>
    <w:basedOn w:val="Normal"/>
    <w:rsid w:val="00AB41E2"/>
    <w:pPr>
      <w:spacing w:after="0"/>
    </w:pPr>
  </w:style>
  <w:style w:type="character" w:customStyle="1" w:styleId="SpecialCenteredChar">
    <w:name w:val="Special Centered Char"/>
    <w:basedOn w:val="DefaultParagraphFont"/>
    <w:link w:val="SpecialCentered"/>
    <w:rsid w:val="00145F56"/>
    <w:rPr>
      <w:kern w:val="0"/>
      <w:szCs w:val="28"/>
      <w14:ligatures w14:val="none"/>
    </w:rPr>
  </w:style>
  <w:style w:type="paragraph" w:styleId="NoSpacing">
    <w:name w:val="No Spacing"/>
    <w:basedOn w:val="Normal"/>
    <w:uiPriority w:val="1"/>
    <w:rsid w:val="00B11660"/>
    <w:rPr>
      <w:sz w:val="18"/>
    </w:rPr>
  </w:style>
  <w:style w:type="table" w:customStyle="1" w:styleId="TxDOTsimpleleftaxistable">
    <w:name w:val="TxDOT simple left axis table"/>
    <w:basedOn w:val="TableNormal"/>
    <w:uiPriority w:val="99"/>
    <w:rsid w:val="00953721"/>
    <w:rPr>
      <w:sz w:val="18"/>
    </w:rPr>
    <w:tblPr>
      <w:tblCellMar>
        <w:top w:w="115" w:type="dxa"/>
        <w:left w:w="58" w:type="dxa"/>
        <w:bottom w:w="115" w:type="dxa"/>
        <w:right w:w="58" w:type="dxa"/>
      </w:tblCellMar>
    </w:tblPr>
    <w:tblStylePr w:type="firstRow">
      <w:rPr>
        <w:b/>
        <w:sz w:val="18"/>
      </w:rPr>
      <w:tblPr/>
      <w:tcPr>
        <w:tcBorders>
          <w:top w:val="nil"/>
          <w:left w:val="nil"/>
          <w:bottom w:val="single" w:sz="24" w:space="0" w:color="000000" w:themeColor="text1"/>
          <w:right w:val="nil"/>
          <w:insideH w:val="nil"/>
          <w:insideV w:val="nil"/>
          <w:tl2br w:val="nil"/>
          <w:tr2bl w:val="nil"/>
        </w:tcBorders>
      </w:tcPr>
    </w:tblStylePr>
    <w:tblStylePr w:type="firstCol">
      <w:rPr>
        <w:b/>
        <w:sz w:val="18"/>
      </w:rPr>
    </w:tblStylePr>
  </w:style>
  <w:style w:type="paragraph" w:styleId="TOC1">
    <w:name w:val="toc 1"/>
    <w:basedOn w:val="Normal"/>
    <w:next w:val="Normal"/>
    <w:autoRedefine/>
    <w:uiPriority w:val="39"/>
    <w:rsid w:val="00295654"/>
    <w:pPr>
      <w:tabs>
        <w:tab w:val="right" w:leader="dot" w:pos="9360"/>
      </w:tabs>
      <w:spacing w:before="120" w:after="120" w:line="312" w:lineRule="auto"/>
    </w:pPr>
    <w:rPr>
      <w:rFonts w:ascii="Verdana" w:eastAsia="MS Mincho" w:hAnsi="Verdana" w:cs="Traditional Arabic"/>
      <w:b/>
      <w:noProof/>
      <w:color w:val="0056A9"/>
      <w:kern w:val="0"/>
      <w:szCs w:val="28"/>
      <w14:ligatures w14:val="none"/>
    </w:rPr>
  </w:style>
  <w:style w:type="character" w:styleId="Hyperlink">
    <w:name w:val="Hyperlink"/>
    <w:basedOn w:val="DefaultParagraphFont"/>
    <w:uiPriority w:val="99"/>
    <w:rsid w:val="00BC7158"/>
    <w:rPr>
      <w:rFonts w:cs="Times New Roman"/>
      <w:color w:val="0056A9" w:themeColor="accent1"/>
      <w:u w:val="single"/>
    </w:rPr>
  </w:style>
  <w:style w:type="paragraph" w:styleId="TOCHeading">
    <w:name w:val="TOC Heading"/>
    <w:basedOn w:val="Heading1"/>
    <w:next w:val="Normal"/>
    <w:uiPriority w:val="39"/>
    <w:unhideWhenUsed/>
    <w:qFormat/>
    <w:rsid w:val="00AA10E8"/>
    <w:pPr>
      <w:spacing w:after="200" w:line="259" w:lineRule="auto"/>
      <w:ind w:left="0" w:right="0"/>
      <w:outlineLvl w:val="9"/>
    </w:pPr>
    <w:rPr>
      <w:rFonts w:asciiTheme="majorHAnsi" w:hAnsiTheme="majorHAnsi"/>
      <w:color w:val="0056A9" w:themeColor="accent1"/>
      <w:kern w:val="0"/>
      <w:szCs w:val="32"/>
      <w14:ligatures w14:val="none"/>
    </w:rPr>
  </w:style>
  <w:style w:type="table" w:styleId="TableGrid">
    <w:name w:val="Table Grid"/>
    <w:basedOn w:val="TableNormal"/>
    <w:uiPriority w:val="39"/>
    <w:rsid w:val="00C44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AB41E2"/>
    <w:pPr>
      <w:tabs>
        <w:tab w:val="right" w:leader="dot" w:pos="9000"/>
        <w:tab w:val="right" w:leader="dot" w:pos="9350"/>
      </w:tabs>
      <w:spacing w:after="100"/>
      <w:ind w:left="360"/>
    </w:pPr>
    <w:rPr>
      <w:bCs/>
      <w:noProof/>
    </w:rPr>
  </w:style>
  <w:style w:type="paragraph" w:customStyle="1" w:styleId="NormalSingleSpaceNoSpaceAfter">
    <w:name w:val="Normal Single Space (No Space After)"/>
    <w:basedOn w:val="Normal"/>
    <w:rsid w:val="0046726C"/>
    <w:pPr>
      <w:spacing w:after="0"/>
    </w:pPr>
    <w:rPr>
      <w:noProof/>
    </w:rPr>
  </w:style>
  <w:style w:type="paragraph" w:styleId="TOC2">
    <w:name w:val="toc 2"/>
    <w:basedOn w:val="Normal"/>
    <w:next w:val="Normal"/>
    <w:autoRedefine/>
    <w:uiPriority w:val="39"/>
    <w:unhideWhenUsed/>
    <w:rsid w:val="00B84643"/>
    <w:pPr>
      <w:spacing w:after="100"/>
      <w:ind w:left="180"/>
    </w:pPr>
  </w:style>
  <w:style w:type="paragraph" w:styleId="Header">
    <w:name w:val="header"/>
    <w:basedOn w:val="Normal"/>
    <w:link w:val="HeaderChar"/>
    <w:uiPriority w:val="99"/>
    <w:unhideWhenUsed/>
    <w:rsid w:val="00505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CA3"/>
    <w:rPr>
      <w:sz w:val="18"/>
      <w:szCs w:val="20"/>
    </w:rPr>
  </w:style>
  <w:style w:type="character" w:styleId="PageNumber">
    <w:name w:val="page number"/>
    <w:basedOn w:val="DefaultParagraphFont"/>
    <w:uiPriority w:val="99"/>
    <w:semiHidden/>
    <w:unhideWhenUsed/>
    <w:rsid w:val="00505CA3"/>
  </w:style>
  <w:style w:type="paragraph" w:styleId="ListBullet">
    <w:name w:val="List Bullet"/>
    <w:basedOn w:val="Normal"/>
    <w:uiPriority w:val="1"/>
    <w:qFormat/>
    <w:rsid w:val="003F7E90"/>
    <w:pPr>
      <w:numPr>
        <w:numId w:val="2"/>
      </w:numPr>
      <w:contextualSpacing/>
    </w:pPr>
    <w:rPr>
      <w:rFonts w:ascii="Verdana" w:eastAsia="MS Mincho" w:hAnsi="Verdana" w:cs="Times New Roman"/>
      <w:color w:val="000000"/>
      <w:kern w:val="0"/>
      <w:szCs w:val="22"/>
      <w14:ligatures w14:val="none"/>
    </w:rPr>
  </w:style>
  <w:style w:type="paragraph" w:styleId="ListNumber">
    <w:name w:val="List Number"/>
    <w:basedOn w:val="BodyText"/>
    <w:uiPriority w:val="1"/>
    <w:qFormat/>
    <w:rsid w:val="00C74B3E"/>
    <w:pPr>
      <w:numPr>
        <w:numId w:val="1"/>
      </w:numPr>
      <w:spacing w:after="200"/>
      <w:contextualSpacing/>
    </w:pPr>
    <w:rPr>
      <w:rFonts w:ascii="Verdana" w:eastAsia="MS Mincho" w:hAnsi="Verdana" w:cs="Times New Roman"/>
      <w:color w:val="000000"/>
      <w:kern w:val="0"/>
      <w:szCs w:val="22"/>
      <w14:ligatures w14:val="none"/>
    </w:rPr>
  </w:style>
  <w:style w:type="paragraph" w:styleId="BodyText">
    <w:name w:val="Body Text"/>
    <w:basedOn w:val="Normal"/>
    <w:link w:val="BodyTextChar"/>
    <w:uiPriority w:val="99"/>
    <w:semiHidden/>
    <w:unhideWhenUsed/>
    <w:rsid w:val="00F96D2C"/>
    <w:pPr>
      <w:spacing w:after="120"/>
    </w:pPr>
  </w:style>
  <w:style w:type="character" w:customStyle="1" w:styleId="BodyTextChar">
    <w:name w:val="Body Text Char"/>
    <w:basedOn w:val="DefaultParagraphFont"/>
    <w:link w:val="BodyText"/>
    <w:uiPriority w:val="99"/>
    <w:semiHidden/>
    <w:rsid w:val="00F96D2C"/>
    <w:rPr>
      <w:sz w:val="18"/>
      <w:szCs w:val="20"/>
    </w:rPr>
  </w:style>
  <w:style w:type="paragraph" w:customStyle="1" w:styleId="CVRTxDOTLogoSpacing">
    <w:name w:val="CVR TxDOT Logo Spacing"/>
    <w:rsid w:val="004D3590"/>
    <w:pPr>
      <w:spacing w:before="1000" w:after="360"/>
      <w:ind w:left="1267" w:right="1267"/>
    </w:pPr>
    <w:rPr>
      <w:noProof/>
      <w:color w:val="FFFFFF" w:themeColor="background1"/>
      <w:sz w:val="32"/>
      <w:szCs w:val="32"/>
    </w:rPr>
  </w:style>
  <w:style w:type="paragraph" w:styleId="FootnoteText">
    <w:name w:val="footnote text"/>
    <w:basedOn w:val="Normal"/>
    <w:link w:val="FootnoteTextChar"/>
    <w:uiPriority w:val="99"/>
    <w:semiHidden/>
    <w:unhideWhenUsed/>
    <w:rsid w:val="00E9313B"/>
    <w:pPr>
      <w:spacing w:after="0" w:line="240" w:lineRule="auto"/>
    </w:pPr>
    <w:rPr>
      <w:sz w:val="20"/>
    </w:rPr>
  </w:style>
  <w:style w:type="character" w:customStyle="1" w:styleId="FootnoteTextChar">
    <w:name w:val="Footnote Text Char"/>
    <w:basedOn w:val="DefaultParagraphFont"/>
    <w:link w:val="FootnoteText"/>
    <w:uiPriority w:val="99"/>
    <w:semiHidden/>
    <w:rsid w:val="00E9313B"/>
    <w:rPr>
      <w:sz w:val="20"/>
      <w:szCs w:val="20"/>
    </w:rPr>
  </w:style>
  <w:style w:type="character" w:styleId="FootnoteReference">
    <w:name w:val="footnote reference"/>
    <w:basedOn w:val="DefaultParagraphFont"/>
    <w:semiHidden/>
    <w:unhideWhenUsed/>
    <w:rsid w:val="00E9313B"/>
    <w:rPr>
      <w:vertAlign w:val="superscript"/>
    </w:rPr>
  </w:style>
  <w:style w:type="paragraph" w:styleId="EndnoteText">
    <w:name w:val="endnote text"/>
    <w:basedOn w:val="Normal"/>
    <w:link w:val="EndnoteTextChar"/>
    <w:uiPriority w:val="99"/>
    <w:semiHidden/>
    <w:unhideWhenUsed/>
    <w:rsid w:val="00E9313B"/>
    <w:pPr>
      <w:spacing w:after="0" w:line="240" w:lineRule="auto"/>
    </w:pPr>
    <w:rPr>
      <w:sz w:val="20"/>
    </w:rPr>
  </w:style>
  <w:style w:type="character" w:customStyle="1" w:styleId="EndnoteTextChar">
    <w:name w:val="Endnote Text Char"/>
    <w:basedOn w:val="DefaultParagraphFont"/>
    <w:link w:val="EndnoteText"/>
    <w:uiPriority w:val="99"/>
    <w:semiHidden/>
    <w:rsid w:val="00E9313B"/>
    <w:rPr>
      <w:sz w:val="20"/>
      <w:szCs w:val="20"/>
    </w:rPr>
  </w:style>
  <w:style w:type="character" w:styleId="EndnoteReference">
    <w:name w:val="endnote reference"/>
    <w:basedOn w:val="DefaultParagraphFont"/>
    <w:uiPriority w:val="99"/>
    <w:semiHidden/>
    <w:unhideWhenUsed/>
    <w:rsid w:val="00E9313B"/>
    <w:rPr>
      <w:vertAlign w:val="superscript"/>
    </w:rPr>
  </w:style>
  <w:style w:type="paragraph" w:customStyle="1" w:styleId="CoverPageNormal">
    <w:name w:val="Cover Page Normal"/>
    <w:qFormat/>
    <w:rsid w:val="00F92530"/>
    <w:pPr>
      <w:widowControl w:val="0"/>
      <w:spacing w:before="480" w:line="360" w:lineRule="auto"/>
      <w:ind w:left="1267" w:right="1267"/>
    </w:pPr>
    <w:rPr>
      <w:rFonts w:ascii="Verdana" w:eastAsia="MS Mincho" w:hAnsi="Verdana" w:cs="Traditional Arabic"/>
      <w:bCs/>
      <w:noProof/>
      <w:color w:val="FFFFFF" w:themeColor="background1"/>
      <w:kern w:val="0"/>
      <w:sz w:val="32"/>
      <w:szCs w:val="28"/>
      <w14:ligatures w14:val="none"/>
    </w:rPr>
  </w:style>
  <w:style w:type="paragraph" w:styleId="TOC9">
    <w:name w:val="toc 9"/>
    <w:basedOn w:val="Normal"/>
    <w:next w:val="Normal"/>
    <w:autoRedefine/>
    <w:uiPriority w:val="39"/>
    <w:semiHidden/>
    <w:unhideWhenUsed/>
    <w:rsid w:val="00295654"/>
    <w:pPr>
      <w:spacing w:after="100"/>
      <w:ind w:left="1920"/>
    </w:pPr>
  </w:style>
  <w:style w:type="paragraph" w:styleId="TOC4">
    <w:name w:val="toc 4"/>
    <w:basedOn w:val="Normal"/>
    <w:next w:val="Normal"/>
    <w:autoRedefine/>
    <w:uiPriority w:val="39"/>
    <w:unhideWhenUsed/>
    <w:rsid w:val="00295654"/>
    <w:pPr>
      <w:spacing w:after="100"/>
      <w:ind w:left="720"/>
    </w:pPr>
  </w:style>
  <w:style w:type="character" w:styleId="UnresolvedMention">
    <w:name w:val="Unresolved Mention"/>
    <w:basedOn w:val="DefaultParagraphFont"/>
    <w:uiPriority w:val="99"/>
    <w:semiHidden/>
    <w:unhideWhenUsed/>
    <w:rsid w:val="0002018B"/>
    <w:rPr>
      <w:color w:val="605E5C"/>
      <w:shd w:val="clear" w:color="auto" w:fill="E1DFDD"/>
    </w:rPr>
  </w:style>
  <w:style w:type="paragraph" w:styleId="TableofFigures">
    <w:name w:val="table of figures"/>
    <w:basedOn w:val="Normal"/>
    <w:next w:val="Normal"/>
    <w:uiPriority w:val="99"/>
    <w:unhideWhenUsed/>
    <w:rsid w:val="00DC76C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statutes.capitol.texas.gov/Docs/PW/htm/PW.68.htm" TargetMode="External"/><Relationship Id="rId2" Type="http://schemas.openxmlformats.org/officeDocument/2006/relationships/customXml" Target="../customXml/item2.xml"/><Relationship Id="rId16" Type="http://schemas.openxmlformats.org/officeDocument/2006/relationships/hyperlink" Target="https://statutes.capitol.texas.gov/Docs/PW/htm/PW.64.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info.gov/content/pkg/USCODE-2017-title16/pdf/USCODE-2017-title16-chap7-subchapII.pdf"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https://txdot.sharepoint.com/sites/ENVATF/Shared%20Documents/00%20-%20Resources/env-coverpage-word-accessible-template.dotx?OR=81dd2b71-fb82-4b33-ac71-fed46bf0f87a&amp;CID=8640efa1-00e3-1000-2797-74cc56f4e63a&amp;CT=1769020848505"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3F433B-7D0F-409B-8615-66E6631FD8B3}">
  <ds:schemaRefs>
    <ds:schemaRef ds:uri="http://schemas.microsoft.com/sharepoint/v3/contenttype/forms"/>
  </ds:schemaRefs>
</ds:datastoreItem>
</file>

<file path=customXml/itemProps2.xml><?xml version="1.0" encoding="utf-8"?>
<ds:datastoreItem xmlns:ds="http://schemas.openxmlformats.org/officeDocument/2006/customXml" ds:itemID="{5BC90A6F-B384-4748-91F7-A9CF2E650814}">
  <ds:schemaRefs>
    <ds:schemaRef ds:uri="http://schemas.openxmlformats.org/officeDocument/2006/bibliography"/>
  </ds:schemaRefs>
</ds:datastoreItem>
</file>

<file path=customXml/itemProps3.xml><?xml version="1.0" encoding="utf-8"?>
<ds:datastoreItem xmlns:ds="http://schemas.openxmlformats.org/officeDocument/2006/customXml" ds:itemID="{AB9F02DA-8656-4BD8-A5E4-F6F7AB09512D}">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7fef7c20-eb6f-4e1b-9e04-31bde27da1d8"/>
    <ds:schemaRef ds:uri="http://schemas.openxmlformats.org/package/2006/metadata/core-properties"/>
    <ds:schemaRef ds:uri="4f546ee9-1892-45b9-9ba2-985592e03772"/>
    <ds:schemaRef ds:uri="http://www.w3.org/XML/1998/namespace"/>
    <ds:schemaRef ds:uri="http://purl.org/dc/dcmitype/"/>
  </ds:schemaRefs>
</ds:datastoreItem>
</file>

<file path=customXml/itemProps4.xml><?xml version="1.0" encoding="utf-8"?>
<ds:datastoreItem xmlns:ds="http://schemas.openxmlformats.org/officeDocument/2006/customXml" ds:itemID="{FA6B672A-A52E-4654-A958-21470077D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env-coverpage-word-accessible-template.dotx?OR=81dd2b71-fb82-4b33-ac71-fed46bf0f87a&amp;CID=8640efa1-00e3-1000-2797-74cc56f4e63a&amp;CT=1769020848505</Template>
  <TotalTime>88</TotalTime>
  <Pages>10</Pages>
  <Words>1542</Words>
  <Characters>8792</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Guidance: Complying with Laws Protecting Birds and Managing Potential Violations</vt:lpstr>
    </vt:vector>
  </TitlesOfParts>
  <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Complying with Laws Protecting Birds and Managing Potential Violations</dc:title>
  <dc:subject>Describes TxDOT’s responsibilities to comply with the Migratory Bird Treaty Act 16 USC §703-711 and Parks and Wildlife Code Title 5, Subtitle B, Chapter 64, Birds</dc:subject>
  <dc:creator>TxDOT</dc:creator>
  <cp:keywords>350-01-gui; guidance; migratory birds protection</cp:keywords>
  <dc:description/>
  <cp:lastModifiedBy>Elisa Garcia</cp:lastModifiedBy>
  <cp:revision>123</cp:revision>
  <dcterms:created xsi:type="dcterms:W3CDTF">2026-01-21T18:40:00Z</dcterms:created>
  <dcterms:modified xsi:type="dcterms:W3CDTF">2026-02-27T15:55:00Z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