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E09BA9" w14:textId="37F4FB14" w:rsidR="00E824A0" w:rsidRPr="00B35517" w:rsidRDefault="006F54F5" w:rsidP="00957079">
      <w:pPr>
        <w:pStyle w:val="Heading1"/>
        <w:rPr>
          <w:sz w:val="36"/>
          <w:szCs w:val="36"/>
        </w:rPr>
      </w:pPr>
      <w:r w:rsidRPr="00B35517">
        <w:rPr>
          <w:sz w:val="36"/>
          <w:szCs w:val="36"/>
          <w:lang w:val="en-GB"/>
        </w:rPr>
        <w:t>Guidance</w:t>
      </w:r>
      <w:r w:rsidR="00957079" w:rsidRPr="00B35517">
        <w:rPr>
          <w:sz w:val="36"/>
          <w:szCs w:val="36"/>
          <w:lang w:val="en-GB"/>
        </w:rPr>
        <w:t xml:space="preserve">: </w:t>
      </w:r>
      <w:r w:rsidR="00E824A0" w:rsidRPr="00B35517">
        <w:rPr>
          <w:sz w:val="36"/>
          <w:szCs w:val="36"/>
        </w:rPr>
        <w:t xml:space="preserve">List of Projects that Do Not Require Review or Coordination for Archeological Compliance </w:t>
      </w:r>
    </w:p>
    <w:p w14:paraId="45228B8B" w14:textId="77777777" w:rsidR="00942395" w:rsidRPr="00121300" w:rsidRDefault="00942395" w:rsidP="00F952C3">
      <w:pPr>
        <w:pStyle w:val="Heading2"/>
        <w:rPr>
          <w:szCs w:val="32"/>
        </w:rPr>
      </w:pPr>
      <w:bookmarkStart w:id="0" w:name="_Toc373746702"/>
      <w:bookmarkStart w:id="1" w:name="_Toc158817229"/>
      <w:r w:rsidRPr="00121300">
        <w:rPr>
          <w:szCs w:val="32"/>
        </w:rPr>
        <w:t>1.0</w:t>
      </w:r>
      <w:r w:rsidRPr="00121300">
        <w:rPr>
          <w:szCs w:val="32"/>
        </w:rPr>
        <w:tab/>
        <w:t>Introduction</w:t>
      </w:r>
      <w:bookmarkEnd w:id="0"/>
      <w:bookmarkEnd w:id="1"/>
    </w:p>
    <w:p w14:paraId="6D8D7384" w14:textId="77777777" w:rsidR="00584AA1" w:rsidRPr="00584AA1" w:rsidRDefault="00584AA1" w:rsidP="00584AA1">
      <w:r w:rsidRPr="00584AA1">
        <w:t>Under current compliance agreements</w:t>
      </w:r>
      <w:r w:rsidRPr="00584AA1">
        <w:rPr>
          <w:vertAlign w:val="superscript"/>
        </w:rPr>
        <w:footnoteReference w:id="2"/>
      </w:r>
      <w:r w:rsidRPr="00584AA1">
        <w:rPr>
          <w:vertAlign w:val="superscript"/>
        </w:rPr>
        <w:t xml:space="preserve">, </w:t>
      </w:r>
      <w:r w:rsidRPr="00584AA1">
        <w:rPr>
          <w:vertAlign w:val="superscript"/>
        </w:rPr>
        <w:footnoteReference w:id="3"/>
      </w:r>
      <w:r w:rsidRPr="00584AA1">
        <w:t xml:space="preserve">, certain projects have minimal potential to cause effects to archeological historic properties and do not require review. Projects with ground disturbance of less than 100 cubic yards of impacts to undisturbed sediments do not require review of their potential project impacts to archeological historic properties. </w:t>
      </w:r>
      <w:bookmarkStart w:id="2" w:name="_Hlk139523758"/>
      <w:r w:rsidRPr="00584AA1">
        <w:t>Undisturbed sediments are those portions of the project area that have not been previously moved or mixed by earlier construction and maintenance activities. Undisturbed sediments have a natural soil profile, or a portion of the natural soil profile remains below the depth of previous disturbance.</w:t>
      </w:r>
      <w:bookmarkEnd w:id="2"/>
      <w:r w:rsidRPr="00584AA1">
        <w:t xml:space="preserve"> </w:t>
      </w:r>
    </w:p>
    <w:p w14:paraId="66958BEE" w14:textId="77777777" w:rsidR="00584AA1" w:rsidRPr="00584AA1" w:rsidRDefault="00584AA1" w:rsidP="00584AA1">
      <w:r w:rsidRPr="00584AA1">
        <w:t xml:space="preserve">This guidance document identifies types of projects that may fall under this 100-cubic-yard threshold. The document contains two lists. </w:t>
      </w:r>
    </w:p>
    <w:p w14:paraId="122628C4" w14:textId="3599DFC9" w:rsidR="00584AA1" w:rsidRPr="00584AA1" w:rsidRDefault="00584AA1" w:rsidP="00C61B45">
      <w:pPr>
        <w:pStyle w:val="ListBullet"/>
      </w:pPr>
      <w:r w:rsidRPr="00584AA1">
        <w:t xml:space="preserve">The first list comprises project types </w:t>
      </w:r>
      <w:r w:rsidR="00C61B45">
        <w:t xml:space="preserve">that almost certainly </w:t>
      </w:r>
      <w:r w:rsidRPr="00584AA1">
        <w:t xml:space="preserve">fall under the 100-cubic yard threshold. </w:t>
      </w:r>
    </w:p>
    <w:p w14:paraId="5CF6B1FB" w14:textId="77777777" w:rsidR="00584AA1" w:rsidRPr="00584AA1" w:rsidRDefault="00584AA1" w:rsidP="004275A0">
      <w:pPr>
        <w:pStyle w:val="ListBullet"/>
      </w:pPr>
      <w:r w:rsidRPr="00584AA1">
        <w:lastRenderedPageBreak/>
        <w:t xml:space="preserve">The second list comprises project types that may fall under the 100-cubic-yard threshold. District environmental staff may want to consult with project engineers to verify the extent of new impacts caused by particular projects. </w:t>
      </w:r>
    </w:p>
    <w:p w14:paraId="7F16CEA9" w14:textId="77777777" w:rsidR="00584AA1" w:rsidRPr="00584AA1" w:rsidRDefault="00584AA1" w:rsidP="00584AA1">
      <w:r w:rsidRPr="00584AA1">
        <w:t xml:space="preserve">These lists derive from projects that met the requirements for an expedited (c)(22) categorial exclusion determination. District environmental staff previously found that these project types had minimal potential to affect archeological historic properties. The lists are not intended to be exhaustive and are merely illustrative of the types of projects that may fall under the threshold. Projects of any type could be designed in such a way to fall under the threshold. Please review both lists and consult with project engineers as necessary to determine whether a project falls under the 100-cubic-yard threshold. </w:t>
      </w:r>
    </w:p>
    <w:p w14:paraId="0CC03A69" w14:textId="00E430C6" w:rsidR="00DA50F8" w:rsidRPr="00121300" w:rsidRDefault="00DA50F8" w:rsidP="00D4698A">
      <w:pPr>
        <w:pStyle w:val="Heading2"/>
        <w:rPr>
          <w:szCs w:val="32"/>
        </w:rPr>
      </w:pPr>
      <w:bookmarkStart w:id="3" w:name="_Toc373746703"/>
      <w:bookmarkStart w:id="4" w:name="_Toc158817230"/>
      <w:r w:rsidRPr="00121300">
        <w:rPr>
          <w:szCs w:val="32"/>
        </w:rPr>
        <w:t>2.0</w:t>
      </w:r>
      <w:r w:rsidRPr="00121300">
        <w:rPr>
          <w:szCs w:val="32"/>
        </w:rPr>
        <w:tab/>
      </w:r>
      <w:bookmarkEnd w:id="3"/>
      <w:r w:rsidRPr="00121300">
        <w:rPr>
          <w:szCs w:val="32"/>
        </w:rPr>
        <w:t xml:space="preserve">Project Types </w:t>
      </w:r>
      <w:r w:rsidR="00A60199" w:rsidRPr="00121300">
        <w:rPr>
          <w:szCs w:val="32"/>
        </w:rPr>
        <w:t>t</w:t>
      </w:r>
      <w:r w:rsidRPr="00121300">
        <w:rPr>
          <w:szCs w:val="32"/>
        </w:rPr>
        <w:t xml:space="preserve">hat </w:t>
      </w:r>
      <w:r w:rsidR="00A60199" w:rsidRPr="00121300">
        <w:rPr>
          <w:szCs w:val="32"/>
        </w:rPr>
        <w:t>l</w:t>
      </w:r>
      <w:r w:rsidRPr="00121300">
        <w:rPr>
          <w:szCs w:val="32"/>
        </w:rPr>
        <w:t xml:space="preserve">ikely </w:t>
      </w:r>
      <w:r w:rsidR="00A60199" w:rsidRPr="00121300">
        <w:rPr>
          <w:szCs w:val="32"/>
        </w:rPr>
        <w:t>f</w:t>
      </w:r>
      <w:r w:rsidRPr="00121300">
        <w:rPr>
          <w:szCs w:val="32"/>
        </w:rPr>
        <w:t xml:space="preserve">all </w:t>
      </w:r>
      <w:r w:rsidR="00A60199" w:rsidRPr="00121300">
        <w:rPr>
          <w:szCs w:val="32"/>
        </w:rPr>
        <w:t>u</w:t>
      </w:r>
      <w:r w:rsidRPr="00121300">
        <w:rPr>
          <w:szCs w:val="32"/>
        </w:rPr>
        <w:t xml:space="preserve">nder </w:t>
      </w:r>
      <w:r w:rsidR="00A60199" w:rsidRPr="00121300">
        <w:rPr>
          <w:szCs w:val="32"/>
        </w:rPr>
        <w:t>t</w:t>
      </w:r>
      <w:r w:rsidRPr="00121300">
        <w:rPr>
          <w:szCs w:val="32"/>
        </w:rPr>
        <w:t>he 100-</w:t>
      </w:r>
      <w:r w:rsidR="00A60199" w:rsidRPr="00121300">
        <w:rPr>
          <w:szCs w:val="32"/>
        </w:rPr>
        <w:t>c</w:t>
      </w:r>
      <w:r w:rsidRPr="00121300">
        <w:rPr>
          <w:szCs w:val="32"/>
        </w:rPr>
        <w:t>ubic-</w:t>
      </w:r>
      <w:r w:rsidR="00A60199" w:rsidRPr="00121300">
        <w:rPr>
          <w:szCs w:val="32"/>
        </w:rPr>
        <w:t>y</w:t>
      </w:r>
      <w:r w:rsidRPr="00121300">
        <w:rPr>
          <w:szCs w:val="32"/>
        </w:rPr>
        <w:t xml:space="preserve">ard </w:t>
      </w:r>
      <w:bookmarkEnd w:id="4"/>
      <w:r w:rsidR="001C3FAC" w:rsidRPr="00121300">
        <w:rPr>
          <w:szCs w:val="32"/>
        </w:rPr>
        <w:t>threshold</w:t>
      </w:r>
    </w:p>
    <w:p w14:paraId="4D8B6FDC" w14:textId="77777777" w:rsidR="003104D8" w:rsidRDefault="003104D8" w:rsidP="005248DB">
      <w:pPr>
        <w:rPr>
          <w:b/>
        </w:rPr>
      </w:pPr>
      <w:r w:rsidRPr="003104D8">
        <w:t xml:space="preserve">Districts have commonly identified the following project types as types that fall under the 100-cubic-yard threshold: </w:t>
      </w:r>
    </w:p>
    <w:p w14:paraId="403A93A9" w14:textId="3CE8E44F" w:rsidR="003104D8" w:rsidRPr="003104D8" w:rsidRDefault="003104D8" w:rsidP="004A36AF">
      <w:pPr>
        <w:pStyle w:val="ListBullet"/>
        <w:rPr>
          <w:b/>
        </w:rPr>
      </w:pPr>
      <w:r w:rsidRPr="003104D8">
        <w:t xml:space="preserve">bridge maintenance, </w:t>
      </w:r>
    </w:p>
    <w:p w14:paraId="223FA013" w14:textId="794F177F" w:rsidR="003104D8" w:rsidRPr="003104D8" w:rsidRDefault="003104D8" w:rsidP="004A36AF">
      <w:pPr>
        <w:pStyle w:val="ListBullet"/>
        <w:rPr>
          <w:b/>
        </w:rPr>
      </w:pPr>
      <w:r w:rsidRPr="003104D8">
        <w:t xml:space="preserve">hazard elimination &amp; safety, </w:t>
      </w:r>
    </w:p>
    <w:p w14:paraId="7DECBF08" w14:textId="6A455566" w:rsidR="003104D8" w:rsidRPr="003104D8" w:rsidRDefault="003104D8" w:rsidP="004A36AF">
      <w:pPr>
        <w:pStyle w:val="ListBullet"/>
        <w:rPr>
          <w:b/>
        </w:rPr>
      </w:pPr>
      <w:r w:rsidRPr="003104D8">
        <w:t xml:space="preserve">install illumination, </w:t>
      </w:r>
    </w:p>
    <w:p w14:paraId="7E6996B4" w14:textId="00EA2A69" w:rsidR="003104D8" w:rsidRPr="003104D8" w:rsidRDefault="003104D8" w:rsidP="004A36AF">
      <w:pPr>
        <w:pStyle w:val="ListBullet"/>
        <w:rPr>
          <w:b/>
        </w:rPr>
      </w:pPr>
      <w:r w:rsidRPr="003104D8">
        <w:t xml:space="preserve">landscape development, </w:t>
      </w:r>
    </w:p>
    <w:p w14:paraId="5893C6D4" w14:textId="77777777" w:rsidR="003104D8" w:rsidRPr="003104D8" w:rsidRDefault="003104D8" w:rsidP="004A36AF">
      <w:pPr>
        <w:pStyle w:val="ListBullet"/>
        <w:rPr>
          <w:b/>
        </w:rPr>
      </w:pPr>
      <w:r w:rsidRPr="003104D8">
        <w:t xml:space="preserve">preventive maintenance, </w:t>
      </w:r>
    </w:p>
    <w:p w14:paraId="07A843EF" w14:textId="68A68D9E" w:rsidR="003104D8" w:rsidRPr="003104D8" w:rsidRDefault="003104D8" w:rsidP="004A36AF">
      <w:pPr>
        <w:pStyle w:val="ListBullet"/>
        <w:rPr>
          <w:b/>
        </w:rPr>
      </w:pPr>
      <w:r w:rsidRPr="001A2D77">
        <w:t>resurface roadway</w:t>
      </w:r>
      <w:r w:rsidRPr="003104D8">
        <w:t xml:space="preserve">, </w:t>
      </w:r>
    </w:p>
    <w:p w14:paraId="5D42D587" w14:textId="580E902C" w:rsidR="003104D8" w:rsidRPr="003104D8" w:rsidRDefault="003104D8" w:rsidP="004A36AF">
      <w:pPr>
        <w:pStyle w:val="ListBullet"/>
        <w:rPr>
          <w:b/>
        </w:rPr>
      </w:pPr>
      <w:r w:rsidRPr="003104D8">
        <w:t xml:space="preserve">seal coat, </w:t>
      </w:r>
    </w:p>
    <w:p w14:paraId="6806949A" w14:textId="3EBC4778" w:rsidR="003104D8" w:rsidRPr="003104D8" w:rsidRDefault="003104D8" w:rsidP="004A36AF">
      <w:pPr>
        <w:pStyle w:val="ListBullet"/>
        <w:rPr>
          <w:b/>
        </w:rPr>
      </w:pPr>
      <w:r w:rsidRPr="003104D8">
        <w:t>surfacing/roadway restoration, and</w:t>
      </w:r>
    </w:p>
    <w:p w14:paraId="33B4C8EF" w14:textId="3530549C" w:rsidR="00D47E60" w:rsidRPr="001A2D77" w:rsidRDefault="003104D8" w:rsidP="005C43CB">
      <w:pPr>
        <w:pStyle w:val="ListBullet"/>
        <w:rPr>
          <w:b/>
        </w:rPr>
      </w:pPr>
      <w:r w:rsidRPr="003104D8">
        <w:t>traffic signal improvements.</w:t>
      </w:r>
      <w:bookmarkStart w:id="5" w:name="_Toc373746704"/>
      <w:bookmarkStart w:id="6" w:name="_Toc158817231"/>
    </w:p>
    <w:p w14:paraId="3C21E008" w14:textId="1F347035" w:rsidR="00684F78" w:rsidRPr="00121300" w:rsidRDefault="00684F78" w:rsidP="001A2D77">
      <w:pPr>
        <w:pStyle w:val="Heading2"/>
        <w:rPr>
          <w:szCs w:val="32"/>
        </w:rPr>
      </w:pPr>
      <w:r w:rsidRPr="00121300">
        <w:rPr>
          <w:szCs w:val="32"/>
        </w:rPr>
        <w:lastRenderedPageBreak/>
        <w:t>3.0</w:t>
      </w:r>
      <w:r w:rsidRPr="00121300">
        <w:rPr>
          <w:szCs w:val="32"/>
        </w:rPr>
        <w:tab/>
      </w:r>
      <w:bookmarkEnd w:id="5"/>
      <w:r w:rsidRPr="00121300">
        <w:rPr>
          <w:szCs w:val="32"/>
        </w:rPr>
        <w:t xml:space="preserve">Project </w:t>
      </w:r>
      <w:r w:rsidR="005D6DBE" w:rsidRPr="00121300">
        <w:rPr>
          <w:szCs w:val="32"/>
        </w:rPr>
        <w:t>T</w:t>
      </w:r>
      <w:r w:rsidRPr="00121300">
        <w:rPr>
          <w:szCs w:val="32"/>
        </w:rPr>
        <w:t xml:space="preserve">ypes </w:t>
      </w:r>
      <w:r w:rsidR="005D6DBE" w:rsidRPr="00121300">
        <w:rPr>
          <w:szCs w:val="32"/>
        </w:rPr>
        <w:t>t</w:t>
      </w:r>
      <w:r w:rsidRPr="00121300">
        <w:rPr>
          <w:szCs w:val="32"/>
        </w:rPr>
        <w:t xml:space="preserve">hat </w:t>
      </w:r>
      <w:r w:rsidR="005D6DBE" w:rsidRPr="00121300">
        <w:rPr>
          <w:szCs w:val="32"/>
        </w:rPr>
        <w:t>m</w:t>
      </w:r>
      <w:r w:rsidRPr="00121300">
        <w:rPr>
          <w:szCs w:val="32"/>
        </w:rPr>
        <w:t xml:space="preserve">ay </w:t>
      </w:r>
      <w:r w:rsidR="005D6DBE" w:rsidRPr="00121300">
        <w:rPr>
          <w:szCs w:val="32"/>
        </w:rPr>
        <w:t>f</w:t>
      </w:r>
      <w:r w:rsidRPr="00121300">
        <w:rPr>
          <w:szCs w:val="32"/>
        </w:rPr>
        <w:t xml:space="preserve">all </w:t>
      </w:r>
      <w:r w:rsidR="005D6DBE" w:rsidRPr="00121300">
        <w:rPr>
          <w:szCs w:val="32"/>
        </w:rPr>
        <w:t>u</w:t>
      </w:r>
      <w:r w:rsidRPr="00121300">
        <w:rPr>
          <w:szCs w:val="32"/>
        </w:rPr>
        <w:t xml:space="preserve">nder </w:t>
      </w:r>
      <w:r w:rsidR="005D6DBE" w:rsidRPr="00121300">
        <w:rPr>
          <w:szCs w:val="32"/>
        </w:rPr>
        <w:t>t</w:t>
      </w:r>
      <w:r w:rsidRPr="00121300">
        <w:rPr>
          <w:szCs w:val="32"/>
        </w:rPr>
        <w:t>he 100-</w:t>
      </w:r>
      <w:r w:rsidR="005D6DBE" w:rsidRPr="00121300">
        <w:rPr>
          <w:szCs w:val="32"/>
        </w:rPr>
        <w:t>c</w:t>
      </w:r>
      <w:r w:rsidRPr="00121300">
        <w:rPr>
          <w:szCs w:val="32"/>
        </w:rPr>
        <w:t>ubic-</w:t>
      </w:r>
      <w:r w:rsidR="005D6DBE" w:rsidRPr="00121300">
        <w:rPr>
          <w:szCs w:val="32"/>
        </w:rPr>
        <w:t>y</w:t>
      </w:r>
      <w:r w:rsidRPr="00121300">
        <w:rPr>
          <w:szCs w:val="32"/>
        </w:rPr>
        <w:t xml:space="preserve">ard </w:t>
      </w:r>
      <w:r w:rsidR="005D6DBE" w:rsidRPr="00121300">
        <w:rPr>
          <w:szCs w:val="32"/>
        </w:rPr>
        <w:t>t</w:t>
      </w:r>
      <w:r w:rsidRPr="00121300">
        <w:rPr>
          <w:szCs w:val="32"/>
        </w:rPr>
        <w:t>hreshold</w:t>
      </w:r>
      <w:bookmarkEnd w:id="6"/>
      <w:r w:rsidRPr="00121300">
        <w:rPr>
          <w:szCs w:val="32"/>
        </w:rPr>
        <w:t xml:space="preserve"> </w:t>
      </w:r>
    </w:p>
    <w:p w14:paraId="1E761581" w14:textId="57C839FE" w:rsidR="0029601E" w:rsidRPr="0029601E" w:rsidRDefault="0029601E" w:rsidP="0029601E">
      <w:r w:rsidRPr="0029601E">
        <w:t>Districts have sometimes identified the following project types as types that fall under the 100-cubic-yard threshold. This list distinguishes the project elements and the actions to be performed. The same actions may exceed or fall below the threshold, depending on the project elements with which they are associated. For example, district environmental staff previously identified interchange improvements as a type that may fall under the threshold. Those interchange projects only involve “improvement” of an existing facility and not “construction” of a new facility. In contrast, district environmental staff also identified “construct pedestrian infrastructure” as a project type that can fall under the threshold. “Improvement” of pedestrian infrastructure may also fall under the threshold. Consult with project engineers as necessary to determine whether a project falls under the 100-cubic-yard threshold.</w:t>
      </w:r>
    </w:p>
    <w:p w14:paraId="706A60DD" w14:textId="77777777" w:rsidR="005F3743" w:rsidRPr="005F3743" w:rsidRDefault="005F3743" w:rsidP="001A2D77">
      <w:pPr>
        <w:pStyle w:val="ListBullet"/>
      </w:pPr>
      <w:r w:rsidRPr="005F3743">
        <w:t>Advanced traffic management system</w:t>
      </w:r>
      <w:r w:rsidRPr="005F3743">
        <w:tab/>
      </w:r>
    </w:p>
    <w:p w14:paraId="3C12FD84" w14:textId="77777777" w:rsidR="005F3743" w:rsidRPr="005F3743" w:rsidRDefault="005F3743" w:rsidP="001A2D77">
      <w:pPr>
        <w:pStyle w:val="ListBullet"/>
        <w:numPr>
          <w:ilvl w:val="1"/>
          <w:numId w:val="5"/>
        </w:numPr>
      </w:pPr>
      <w:r w:rsidRPr="005F3743">
        <w:t xml:space="preserve">Improve </w:t>
      </w:r>
    </w:p>
    <w:p w14:paraId="3F9474EA" w14:textId="77777777" w:rsidR="005F3743" w:rsidRPr="005F3743" w:rsidRDefault="005F3743" w:rsidP="001A2D77">
      <w:pPr>
        <w:pStyle w:val="ListBullet"/>
        <w:numPr>
          <w:ilvl w:val="1"/>
          <w:numId w:val="5"/>
        </w:numPr>
      </w:pPr>
      <w:r w:rsidRPr="005F3743">
        <w:t>Rehabilitate</w:t>
      </w:r>
    </w:p>
    <w:p w14:paraId="3D56052E" w14:textId="77777777" w:rsidR="005F3743" w:rsidRPr="005F3743" w:rsidRDefault="005F3743" w:rsidP="005B114D">
      <w:pPr>
        <w:pStyle w:val="ListBullet"/>
      </w:pPr>
      <w:r w:rsidRPr="005F3743">
        <w:t>Bridge</w:t>
      </w:r>
      <w:r w:rsidRPr="005F3743">
        <w:tab/>
      </w:r>
    </w:p>
    <w:p w14:paraId="28119D30" w14:textId="77777777" w:rsidR="005F3743" w:rsidRPr="005F3743" w:rsidRDefault="005F3743" w:rsidP="00DA2D59">
      <w:pPr>
        <w:pStyle w:val="ListBullet"/>
        <w:numPr>
          <w:ilvl w:val="1"/>
          <w:numId w:val="6"/>
        </w:numPr>
      </w:pPr>
      <w:r w:rsidRPr="005F3743">
        <w:t>Rehabilitate</w:t>
      </w:r>
    </w:p>
    <w:p w14:paraId="46C80E5B" w14:textId="5ECD0FEF" w:rsidR="005F3743" w:rsidRPr="005F3743" w:rsidRDefault="005F3743" w:rsidP="00DA2D59">
      <w:pPr>
        <w:pStyle w:val="ListBullet"/>
        <w:numPr>
          <w:ilvl w:val="1"/>
          <w:numId w:val="6"/>
        </w:numPr>
      </w:pPr>
      <w:r w:rsidRPr="005F3743">
        <w:t>Replace</w:t>
      </w:r>
    </w:p>
    <w:p w14:paraId="03DBA3B0" w14:textId="3A0F3932" w:rsidR="005F3743" w:rsidRPr="005F3743" w:rsidRDefault="005F3743" w:rsidP="005B114D">
      <w:pPr>
        <w:pStyle w:val="ListBullet"/>
      </w:pPr>
      <w:r w:rsidRPr="005F3743">
        <w:t>Bridge rail</w:t>
      </w:r>
    </w:p>
    <w:p w14:paraId="1C233643" w14:textId="77777777" w:rsidR="005F3743" w:rsidRPr="005F3743" w:rsidRDefault="005F3743" w:rsidP="00DA2D59">
      <w:pPr>
        <w:pStyle w:val="ListBullet"/>
        <w:numPr>
          <w:ilvl w:val="1"/>
          <w:numId w:val="7"/>
        </w:numPr>
      </w:pPr>
      <w:r w:rsidRPr="005F3743">
        <w:t>Remove</w:t>
      </w:r>
    </w:p>
    <w:p w14:paraId="0DE558F9" w14:textId="77777777" w:rsidR="005F3743" w:rsidRPr="005F3743" w:rsidRDefault="005F3743" w:rsidP="00DA2D59">
      <w:pPr>
        <w:pStyle w:val="ListBullet"/>
        <w:numPr>
          <w:ilvl w:val="1"/>
          <w:numId w:val="7"/>
        </w:numPr>
      </w:pPr>
      <w:r w:rsidRPr="005F3743">
        <w:t>Replace</w:t>
      </w:r>
    </w:p>
    <w:p w14:paraId="3292F783" w14:textId="77777777" w:rsidR="005F3743" w:rsidRPr="005F3743" w:rsidRDefault="005F3743" w:rsidP="005B114D">
      <w:pPr>
        <w:pStyle w:val="ListBullet"/>
      </w:pPr>
      <w:r w:rsidRPr="005F3743">
        <w:t>Drainage - improve</w:t>
      </w:r>
    </w:p>
    <w:p w14:paraId="4B2E3920" w14:textId="7511FED7" w:rsidR="005F3743" w:rsidRPr="005F3743" w:rsidRDefault="005F3743" w:rsidP="005B114D">
      <w:pPr>
        <w:pStyle w:val="ListBullet"/>
      </w:pPr>
      <w:r w:rsidRPr="005F3743">
        <w:t>Dynamic message signs</w:t>
      </w:r>
    </w:p>
    <w:p w14:paraId="475266FA" w14:textId="77777777" w:rsidR="005F3743" w:rsidRPr="005F3743" w:rsidRDefault="005F3743" w:rsidP="00DA2D59">
      <w:pPr>
        <w:pStyle w:val="ListBullet"/>
        <w:numPr>
          <w:ilvl w:val="1"/>
          <w:numId w:val="8"/>
        </w:numPr>
      </w:pPr>
      <w:r w:rsidRPr="005F3743">
        <w:t>Install</w:t>
      </w:r>
    </w:p>
    <w:p w14:paraId="3F45634E" w14:textId="77777777" w:rsidR="005F3743" w:rsidRPr="005F3743" w:rsidRDefault="005F3743" w:rsidP="00DA2D59">
      <w:pPr>
        <w:pStyle w:val="ListBullet"/>
        <w:numPr>
          <w:ilvl w:val="1"/>
          <w:numId w:val="8"/>
        </w:numPr>
      </w:pPr>
      <w:r w:rsidRPr="005F3743">
        <w:t>Rehabilitate</w:t>
      </w:r>
    </w:p>
    <w:p w14:paraId="63FF830C" w14:textId="77777777" w:rsidR="005F3743" w:rsidRPr="005F3743" w:rsidRDefault="005F3743" w:rsidP="00DA2D59">
      <w:pPr>
        <w:pStyle w:val="ListBullet"/>
        <w:numPr>
          <w:ilvl w:val="1"/>
          <w:numId w:val="8"/>
        </w:numPr>
      </w:pPr>
      <w:r w:rsidRPr="005F3743">
        <w:t>Upgrade</w:t>
      </w:r>
    </w:p>
    <w:p w14:paraId="5C5349C9" w14:textId="77777777" w:rsidR="005F3743" w:rsidRPr="005F3743" w:rsidRDefault="005F3743" w:rsidP="005B114D">
      <w:pPr>
        <w:pStyle w:val="ListBullet"/>
      </w:pPr>
      <w:r w:rsidRPr="005F3743">
        <w:t>Embankment - stabilize</w:t>
      </w:r>
    </w:p>
    <w:p w14:paraId="0242897A" w14:textId="77777777" w:rsidR="005F3743" w:rsidRPr="005F3743" w:rsidRDefault="005F3743" w:rsidP="005B114D">
      <w:pPr>
        <w:pStyle w:val="ListBullet"/>
      </w:pPr>
      <w:r w:rsidRPr="005F3743">
        <w:lastRenderedPageBreak/>
        <w:t>Flashing beacon - install</w:t>
      </w:r>
    </w:p>
    <w:p w14:paraId="4DA0BE8C" w14:textId="77777777" w:rsidR="005F3743" w:rsidRPr="005F3743" w:rsidRDefault="005F3743" w:rsidP="005B114D">
      <w:pPr>
        <w:pStyle w:val="ListBullet"/>
      </w:pPr>
      <w:r w:rsidRPr="005F3743">
        <w:t>Highway, existing - improve</w:t>
      </w:r>
    </w:p>
    <w:p w14:paraId="2ABAE7AA" w14:textId="77777777" w:rsidR="005F3743" w:rsidRPr="005F3743" w:rsidRDefault="005F3743" w:rsidP="005B114D">
      <w:pPr>
        <w:pStyle w:val="ListBullet"/>
      </w:pPr>
      <w:r w:rsidRPr="005F3743">
        <w:t>Infrastructure - improve</w:t>
      </w:r>
    </w:p>
    <w:p w14:paraId="5F563754" w14:textId="0A123582" w:rsidR="005F3743" w:rsidRPr="005F3743" w:rsidRDefault="005F3743" w:rsidP="005B114D">
      <w:pPr>
        <w:pStyle w:val="ListBullet"/>
      </w:pPr>
      <w:r w:rsidRPr="005F3743">
        <w:t xml:space="preserve">Intelligent </w:t>
      </w:r>
      <w:r w:rsidR="0020790F">
        <w:t>H</w:t>
      </w:r>
      <w:r w:rsidRPr="005F3743">
        <w:t xml:space="preserve">ighway </w:t>
      </w:r>
      <w:r w:rsidR="0020790F">
        <w:t>S</w:t>
      </w:r>
      <w:r w:rsidRPr="005F3743">
        <w:t>ystem (ITS) and infrastructure</w:t>
      </w:r>
      <w:r w:rsidRPr="005F3743">
        <w:tab/>
      </w:r>
    </w:p>
    <w:p w14:paraId="099571CD" w14:textId="77777777" w:rsidR="005F3743" w:rsidRPr="005F3743" w:rsidRDefault="005F3743" w:rsidP="00DA2D59">
      <w:pPr>
        <w:pStyle w:val="ListBullet"/>
        <w:numPr>
          <w:ilvl w:val="1"/>
          <w:numId w:val="9"/>
        </w:numPr>
      </w:pPr>
      <w:r w:rsidRPr="005F3743">
        <w:t>Install</w:t>
      </w:r>
    </w:p>
    <w:p w14:paraId="453B889C" w14:textId="77777777" w:rsidR="005F3743" w:rsidRPr="005F3743" w:rsidRDefault="005F3743" w:rsidP="00DA2D59">
      <w:pPr>
        <w:pStyle w:val="ListBullet"/>
        <w:numPr>
          <w:ilvl w:val="1"/>
          <w:numId w:val="9"/>
        </w:numPr>
      </w:pPr>
      <w:r w:rsidRPr="005F3743">
        <w:t>Rehabilitate</w:t>
      </w:r>
    </w:p>
    <w:p w14:paraId="17F498EC" w14:textId="77777777" w:rsidR="005F3743" w:rsidRPr="005F3743" w:rsidRDefault="005F3743" w:rsidP="005B114D">
      <w:pPr>
        <w:pStyle w:val="ListBullet"/>
      </w:pPr>
      <w:r w:rsidRPr="005F3743">
        <w:t>Interchange - improve</w:t>
      </w:r>
    </w:p>
    <w:p w14:paraId="1D9B5DD1" w14:textId="77777777" w:rsidR="005F3743" w:rsidRPr="005F3743" w:rsidRDefault="005F3743" w:rsidP="005B114D">
      <w:pPr>
        <w:pStyle w:val="ListBullet"/>
      </w:pPr>
      <w:r w:rsidRPr="005F3743">
        <w:t>Intersection - improve</w:t>
      </w:r>
    </w:p>
    <w:p w14:paraId="6C6AEAB9" w14:textId="77777777" w:rsidR="005F3743" w:rsidRPr="005F3743" w:rsidRDefault="005F3743" w:rsidP="005B114D">
      <w:pPr>
        <w:pStyle w:val="ListBullet"/>
      </w:pPr>
      <w:r w:rsidRPr="005F3743">
        <w:t>Maintenance and operations project</w:t>
      </w:r>
      <w:r w:rsidRPr="005F3743">
        <w:tab/>
      </w:r>
    </w:p>
    <w:p w14:paraId="5CBBA634" w14:textId="77777777" w:rsidR="005F3743" w:rsidRPr="005F3743" w:rsidRDefault="005F3743" w:rsidP="005B114D">
      <w:pPr>
        <w:pStyle w:val="ListBullet"/>
      </w:pPr>
      <w:r w:rsidRPr="005F3743">
        <w:t xml:space="preserve">Pedestrian infrastructure </w:t>
      </w:r>
    </w:p>
    <w:p w14:paraId="25E4016B" w14:textId="77777777" w:rsidR="005F3743" w:rsidRPr="005F3743" w:rsidRDefault="005F3743" w:rsidP="00DA2D59">
      <w:pPr>
        <w:pStyle w:val="ListBullet"/>
        <w:numPr>
          <w:ilvl w:val="1"/>
          <w:numId w:val="10"/>
        </w:numPr>
      </w:pPr>
      <w:r w:rsidRPr="005F3743">
        <w:t>Construct</w:t>
      </w:r>
    </w:p>
    <w:p w14:paraId="37172842" w14:textId="77777777" w:rsidR="005F3743" w:rsidRPr="005F3743" w:rsidRDefault="005F3743" w:rsidP="00DA2D59">
      <w:pPr>
        <w:pStyle w:val="ListBullet"/>
        <w:numPr>
          <w:ilvl w:val="1"/>
          <w:numId w:val="10"/>
        </w:numPr>
      </w:pPr>
      <w:r w:rsidRPr="005F3743">
        <w:t>Improve</w:t>
      </w:r>
    </w:p>
    <w:p w14:paraId="0E704345" w14:textId="77777777" w:rsidR="005F3743" w:rsidRPr="005F3743" w:rsidRDefault="005F3743" w:rsidP="005B114D">
      <w:pPr>
        <w:pStyle w:val="ListBullet"/>
      </w:pPr>
      <w:r w:rsidRPr="005F3743">
        <w:t>Railroad - improve</w:t>
      </w:r>
    </w:p>
    <w:p w14:paraId="03D17900" w14:textId="77777777" w:rsidR="005F3743" w:rsidRPr="005F3743" w:rsidRDefault="005F3743" w:rsidP="005B114D">
      <w:pPr>
        <w:pStyle w:val="ListBullet"/>
      </w:pPr>
      <w:r w:rsidRPr="005F3743">
        <w:t>Railroad crossing - improve</w:t>
      </w:r>
    </w:p>
    <w:p w14:paraId="161B9AB1" w14:textId="77777777" w:rsidR="005F3743" w:rsidRPr="005F3743" w:rsidRDefault="005F3743" w:rsidP="005B114D">
      <w:pPr>
        <w:pStyle w:val="ListBullet"/>
      </w:pPr>
      <w:r w:rsidRPr="005F3743">
        <w:t>Ramps - construct</w:t>
      </w:r>
    </w:p>
    <w:p w14:paraId="3C0A39CA" w14:textId="77777777" w:rsidR="005F3743" w:rsidRPr="005F3743" w:rsidRDefault="005F3743" w:rsidP="005B114D">
      <w:pPr>
        <w:pStyle w:val="ListBullet"/>
      </w:pPr>
      <w:r w:rsidRPr="005F3743">
        <w:t>Rest area - construct</w:t>
      </w:r>
    </w:p>
    <w:p w14:paraId="6F57CAC7" w14:textId="77777777" w:rsidR="005F3743" w:rsidRPr="005F3743" w:rsidRDefault="005F3743" w:rsidP="005B114D">
      <w:pPr>
        <w:pStyle w:val="ListBullet"/>
      </w:pPr>
      <w:r w:rsidRPr="005F3743">
        <w:t>Roadway lighting</w:t>
      </w:r>
      <w:r w:rsidRPr="005F3743">
        <w:tab/>
      </w:r>
    </w:p>
    <w:p w14:paraId="160B30AD" w14:textId="77777777" w:rsidR="005F3743" w:rsidRPr="005F3743" w:rsidRDefault="005F3743" w:rsidP="00DA2D59">
      <w:pPr>
        <w:pStyle w:val="ListBullet"/>
        <w:numPr>
          <w:ilvl w:val="1"/>
          <w:numId w:val="11"/>
        </w:numPr>
      </w:pPr>
      <w:r w:rsidRPr="005F3743">
        <w:t>Install</w:t>
      </w:r>
    </w:p>
    <w:p w14:paraId="46572467" w14:textId="77777777" w:rsidR="005F3743" w:rsidRPr="005F3743" w:rsidRDefault="005F3743" w:rsidP="00DA2D59">
      <w:pPr>
        <w:pStyle w:val="ListBullet"/>
        <w:numPr>
          <w:ilvl w:val="1"/>
          <w:numId w:val="11"/>
        </w:numPr>
      </w:pPr>
      <w:r w:rsidRPr="005F3743">
        <w:t>Upgrade</w:t>
      </w:r>
    </w:p>
    <w:p w14:paraId="181C6F2B" w14:textId="77777777" w:rsidR="005F3743" w:rsidRPr="005F3743" w:rsidRDefault="005F3743" w:rsidP="005B114D">
      <w:pPr>
        <w:pStyle w:val="ListBullet"/>
      </w:pPr>
      <w:r w:rsidRPr="005F3743">
        <w:t>Roadway, existing</w:t>
      </w:r>
      <w:r w:rsidRPr="005F3743">
        <w:tab/>
      </w:r>
    </w:p>
    <w:p w14:paraId="15E17FBE" w14:textId="77777777" w:rsidR="005F3743" w:rsidRPr="005F3743" w:rsidRDefault="005F3743" w:rsidP="00DA2D59">
      <w:pPr>
        <w:pStyle w:val="ListBullet"/>
        <w:numPr>
          <w:ilvl w:val="1"/>
          <w:numId w:val="12"/>
        </w:numPr>
      </w:pPr>
      <w:r w:rsidRPr="005F3743">
        <w:t>Reconstruct</w:t>
      </w:r>
    </w:p>
    <w:p w14:paraId="06EE5B91" w14:textId="77777777" w:rsidR="005F3743" w:rsidRPr="005F3743" w:rsidRDefault="005F3743" w:rsidP="00DA2D59">
      <w:pPr>
        <w:pStyle w:val="ListBullet"/>
        <w:numPr>
          <w:ilvl w:val="1"/>
          <w:numId w:val="12"/>
        </w:numPr>
      </w:pPr>
      <w:r w:rsidRPr="005F3743">
        <w:t xml:space="preserve">Rehabilitate </w:t>
      </w:r>
    </w:p>
    <w:p w14:paraId="013B7E5B" w14:textId="77777777" w:rsidR="005F3743" w:rsidRPr="005F3743" w:rsidRDefault="005F3743" w:rsidP="00DA2D59">
      <w:pPr>
        <w:pStyle w:val="ListBullet"/>
        <w:numPr>
          <w:ilvl w:val="1"/>
          <w:numId w:val="12"/>
        </w:numPr>
      </w:pPr>
      <w:r w:rsidRPr="005F3743">
        <w:t>Repair</w:t>
      </w:r>
    </w:p>
    <w:p w14:paraId="626B10C5" w14:textId="77777777" w:rsidR="005F3743" w:rsidRPr="005F3743" w:rsidRDefault="005F3743" w:rsidP="005B114D">
      <w:pPr>
        <w:pStyle w:val="ListBullet"/>
      </w:pPr>
      <w:r w:rsidRPr="005F3743">
        <w:t>Signs</w:t>
      </w:r>
      <w:r w:rsidRPr="005F3743">
        <w:tab/>
      </w:r>
    </w:p>
    <w:p w14:paraId="406F39BF" w14:textId="77777777" w:rsidR="005F3743" w:rsidRPr="005F3743" w:rsidRDefault="005F3743" w:rsidP="00DA2D59">
      <w:pPr>
        <w:pStyle w:val="ListBullet"/>
        <w:numPr>
          <w:ilvl w:val="1"/>
          <w:numId w:val="13"/>
        </w:numPr>
      </w:pPr>
      <w:r w:rsidRPr="005F3743">
        <w:t>Install</w:t>
      </w:r>
    </w:p>
    <w:p w14:paraId="06073413" w14:textId="77777777" w:rsidR="005F3743" w:rsidRPr="005F3743" w:rsidRDefault="005F3743" w:rsidP="00DA2D59">
      <w:pPr>
        <w:pStyle w:val="ListBullet"/>
        <w:numPr>
          <w:ilvl w:val="1"/>
          <w:numId w:val="13"/>
        </w:numPr>
      </w:pPr>
      <w:r w:rsidRPr="005F3743">
        <w:t>Replace</w:t>
      </w:r>
    </w:p>
    <w:p w14:paraId="5D656EA7" w14:textId="77777777" w:rsidR="005F3743" w:rsidRPr="005F3743" w:rsidRDefault="005F3743" w:rsidP="005B114D">
      <w:pPr>
        <w:pStyle w:val="ListBullet"/>
      </w:pPr>
      <w:r w:rsidRPr="005F3743">
        <w:t>State park – improve</w:t>
      </w:r>
    </w:p>
    <w:p w14:paraId="1752EDE3" w14:textId="779B759E" w:rsidR="005F3743" w:rsidRPr="005F3743" w:rsidRDefault="005F3743" w:rsidP="005B114D">
      <w:pPr>
        <w:pStyle w:val="ListBullet"/>
      </w:pPr>
      <w:r w:rsidRPr="005F3743">
        <w:t>Traffic signal</w:t>
      </w:r>
    </w:p>
    <w:p w14:paraId="637CE28C" w14:textId="77777777" w:rsidR="005F3743" w:rsidRPr="005F3743" w:rsidRDefault="005F3743" w:rsidP="00DA2D59">
      <w:pPr>
        <w:pStyle w:val="ListBullet"/>
        <w:numPr>
          <w:ilvl w:val="1"/>
          <w:numId w:val="14"/>
        </w:numPr>
      </w:pPr>
      <w:r w:rsidRPr="005F3743">
        <w:t>Improve</w:t>
      </w:r>
    </w:p>
    <w:p w14:paraId="490C00D5" w14:textId="77777777" w:rsidR="005F3743" w:rsidRPr="005F3743" w:rsidRDefault="005F3743" w:rsidP="00DA2D59">
      <w:pPr>
        <w:pStyle w:val="ListBullet"/>
        <w:numPr>
          <w:ilvl w:val="1"/>
          <w:numId w:val="14"/>
        </w:numPr>
      </w:pPr>
      <w:r w:rsidRPr="005F3743">
        <w:lastRenderedPageBreak/>
        <w:t>Install</w:t>
      </w:r>
    </w:p>
    <w:p w14:paraId="6C88BB66" w14:textId="77777777" w:rsidR="005F3743" w:rsidRPr="005F3743" w:rsidRDefault="005F3743" w:rsidP="00DA2D59">
      <w:pPr>
        <w:pStyle w:val="ListBullet"/>
        <w:numPr>
          <w:ilvl w:val="1"/>
          <w:numId w:val="14"/>
        </w:numPr>
      </w:pPr>
      <w:r w:rsidRPr="005F3743">
        <w:t>Upgrade</w:t>
      </w:r>
    </w:p>
    <w:p w14:paraId="77BEDB28" w14:textId="77777777" w:rsidR="00E15C1E" w:rsidRPr="00E15C1E" w:rsidRDefault="00726827" w:rsidP="00E15C1E">
      <w:pPr>
        <w:pStyle w:val="Heading2"/>
        <w:rPr>
          <w:szCs w:val="32"/>
        </w:rPr>
      </w:pPr>
      <w:bookmarkStart w:id="7" w:name="_Toc158817232"/>
      <w:r>
        <w:br w:type="page"/>
      </w:r>
      <w:bookmarkEnd w:id="7"/>
      <w:r w:rsidR="00E15C1E" w:rsidRPr="00E15C1E">
        <w:rPr>
          <w:szCs w:val="32"/>
        </w:rPr>
        <w:lastRenderedPageBreak/>
        <w:t xml:space="preserve">Revision History </w:t>
      </w:r>
    </w:p>
    <w:p w14:paraId="2F4B4AFC" w14:textId="32B67A7B" w:rsidR="0004581E" w:rsidRPr="00955B93" w:rsidRDefault="00CB2EDF" w:rsidP="00282B8D">
      <w:pPr>
        <w:pStyle w:val="Caption"/>
        <w:rPr>
          <w:rFonts w:asciiTheme="majorHAnsi" w:eastAsiaTheme="majorEastAsia" w:hAnsiTheme="majorHAnsi" w:cstheme="majorBidi"/>
          <w:b/>
          <w:bCs/>
          <w:i w:val="0"/>
          <w:iCs w:val="0"/>
          <w:color w:val="0056A9" w:themeColor="accent1"/>
          <w:sz w:val="24"/>
          <w:szCs w:val="24"/>
        </w:rPr>
      </w:pPr>
      <w:r w:rsidRPr="00955B93">
        <w:rPr>
          <w:b/>
          <w:bCs/>
          <w:i w:val="0"/>
          <w:iCs w:val="0"/>
          <w:sz w:val="24"/>
          <w:szCs w:val="24"/>
        </w:rPr>
        <w:t xml:space="preserve">Table </w:t>
      </w:r>
      <w:r w:rsidRPr="00955B93">
        <w:rPr>
          <w:b/>
          <w:bCs/>
          <w:i w:val="0"/>
          <w:iCs w:val="0"/>
          <w:sz w:val="24"/>
          <w:szCs w:val="24"/>
        </w:rPr>
        <w:fldChar w:fldCharType="begin"/>
      </w:r>
      <w:r w:rsidRPr="00955B93">
        <w:rPr>
          <w:b/>
          <w:bCs/>
          <w:i w:val="0"/>
          <w:iCs w:val="0"/>
          <w:sz w:val="24"/>
          <w:szCs w:val="24"/>
        </w:rPr>
        <w:instrText xml:space="preserve"> SEQ Table \* ARABIC </w:instrText>
      </w:r>
      <w:r w:rsidRPr="00955B93">
        <w:rPr>
          <w:b/>
          <w:bCs/>
          <w:i w:val="0"/>
          <w:iCs w:val="0"/>
          <w:sz w:val="24"/>
          <w:szCs w:val="24"/>
        </w:rPr>
        <w:fldChar w:fldCharType="separate"/>
      </w:r>
      <w:r w:rsidRPr="00955B93">
        <w:rPr>
          <w:b/>
          <w:bCs/>
          <w:i w:val="0"/>
          <w:iCs w:val="0"/>
          <w:noProof/>
          <w:sz w:val="24"/>
          <w:szCs w:val="24"/>
        </w:rPr>
        <w:t>1</w:t>
      </w:r>
      <w:r w:rsidRPr="00955B93">
        <w:rPr>
          <w:b/>
          <w:bCs/>
          <w:i w:val="0"/>
          <w:iCs w:val="0"/>
          <w:sz w:val="24"/>
          <w:szCs w:val="24"/>
        </w:rPr>
        <w:fldChar w:fldCharType="end"/>
      </w:r>
      <w:r w:rsidR="009D6C69" w:rsidRPr="00955B93">
        <w:rPr>
          <w:b/>
          <w:bCs/>
          <w:i w:val="0"/>
          <w:iCs w:val="0"/>
          <w:sz w:val="24"/>
          <w:szCs w:val="24"/>
        </w:rPr>
        <w:t>.</w:t>
      </w:r>
      <w:r w:rsidRPr="00955B93">
        <w:rPr>
          <w:b/>
          <w:bCs/>
          <w:i w:val="0"/>
          <w:iCs w:val="0"/>
          <w:sz w:val="24"/>
          <w:szCs w:val="24"/>
        </w:rPr>
        <w:t xml:space="preserve"> </w:t>
      </w:r>
      <w:r w:rsidR="00E15C1E" w:rsidRPr="00955B93">
        <w:rPr>
          <w:b/>
          <w:bCs/>
          <w:i w:val="0"/>
          <w:iCs w:val="0"/>
          <w:sz w:val="24"/>
          <w:szCs w:val="24"/>
        </w:rPr>
        <w:t xml:space="preserve">Document </w:t>
      </w:r>
      <w:r w:rsidR="009D6C69" w:rsidRPr="00955B93">
        <w:rPr>
          <w:b/>
          <w:bCs/>
          <w:i w:val="0"/>
          <w:iCs w:val="0"/>
          <w:sz w:val="24"/>
          <w:szCs w:val="24"/>
        </w:rPr>
        <w:t>r</w:t>
      </w:r>
      <w:r w:rsidRPr="00955B93">
        <w:rPr>
          <w:b/>
          <w:bCs/>
          <w:i w:val="0"/>
          <w:iCs w:val="0"/>
          <w:sz w:val="24"/>
          <w:szCs w:val="24"/>
        </w:rPr>
        <w:t xml:space="preserve">evision </w:t>
      </w:r>
      <w:r w:rsidR="009D6C69" w:rsidRPr="00955B93">
        <w:rPr>
          <w:b/>
          <w:bCs/>
          <w:i w:val="0"/>
          <w:iCs w:val="0"/>
          <w:sz w:val="24"/>
          <w:szCs w:val="24"/>
        </w:rPr>
        <w:t>h</w:t>
      </w:r>
      <w:r w:rsidRPr="00955B93">
        <w:rPr>
          <w:b/>
          <w:bCs/>
          <w:i w:val="0"/>
          <w:iCs w:val="0"/>
          <w:sz w:val="24"/>
          <w:szCs w:val="24"/>
        </w:rPr>
        <w:t xml:space="preserve">istory </w:t>
      </w:r>
    </w:p>
    <w:tbl>
      <w:tblPr>
        <w:tblStyle w:val="ATFTxDOTTable"/>
        <w:tblW w:w="10795" w:type="dxa"/>
        <w:tblLook w:val="0420" w:firstRow="1" w:lastRow="0" w:firstColumn="0" w:lastColumn="0" w:noHBand="0" w:noVBand="1"/>
        <w:tblCaption w:val="Revision History"/>
        <w:tblDescription w:val="The following table shows the revision history for this guidance document"/>
      </w:tblPr>
      <w:tblGrid>
        <w:gridCol w:w="2425"/>
        <w:gridCol w:w="8370"/>
      </w:tblGrid>
      <w:tr w:rsidR="00282B8D" w:rsidRPr="00211BC0" w14:paraId="025213D9" w14:textId="77777777" w:rsidTr="00282B8D">
        <w:trPr>
          <w:cnfStyle w:val="100000000000" w:firstRow="1" w:lastRow="0" w:firstColumn="0" w:lastColumn="0" w:oddVBand="0" w:evenVBand="0" w:oddHBand="0" w:evenHBand="0" w:firstRowFirstColumn="0" w:firstRowLastColumn="0" w:lastRowFirstColumn="0" w:lastRowLastColumn="0"/>
          <w:cantSplit/>
          <w:tblHeader/>
        </w:trPr>
        <w:tc>
          <w:tcPr>
            <w:tcW w:w="2425" w:type="dxa"/>
            <w:vAlign w:val="top"/>
          </w:tcPr>
          <w:p w14:paraId="30AA5724" w14:textId="53E99358" w:rsidR="00282B8D" w:rsidRPr="00211BC0" w:rsidRDefault="00282B8D" w:rsidP="00282B8D">
            <w:pPr>
              <w:pStyle w:val="TableHeadingSingle"/>
              <w:framePr w:wrap="auto" w:vAnchor="margin" w:yAlign="inline"/>
              <w:suppressOverlap w:val="0"/>
              <w:rPr>
                <w:rFonts w:asciiTheme="minorHAnsi" w:hAnsiTheme="minorHAnsi"/>
                <w:b/>
                <w:bCs/>
                <w:szCs w:val="24"/>
              </w:rPr>
            </w:pPr>
            <w:r w:rsidRPr="00A07348">
              <w:t>Effective date (month year)</w:t>
            </w:r>
          </w:p>
        </w:tc>
        <w:tc>
          <w:tcPr>
            <w:tcW w:w="8370" w:type="dxa"/>
            <w:vAlign w:val="top"/>
          </w:tcPr>
          <w:p w14:paraId="11DDBAC0" w14:textId="1F9FAC50" w:rsidR="00282B8D" w:rsidRPr="00211BC0" w:rsidRDefault="00282B8D" w:rsidP="00282B8D">
            <w:pPr>
              <w:pStyle w:val="TableHeadingSingle"/>
              <w:framePr w:wrap="auto" w:vAnchor="margin" w:yAlign="inline"/>
              <w:suppressOverlap w:val="0"/>
              <w:rPr>
                <w:rFonts w:asciiTheme="minorHAnsi" w:hAnsiTheme="minorHAnsi"/>
                <w:b/>
                <w:bCs/>
                <w:szCs w:val="24"/>
              </w:rPr>
            </w:pPr>
            <w:r w:rsidRPr="00A07348">
              <w:t>Reason for and description of change</w:t>
            </w:r>
          </w:p>
        </w:tc>
      </w:tr>
      <w:tr w:rsidR="00282B8D" w:rsidRPr="00211BC0" w14:paraId="6EA2E20D" w14:textId="77777777" w:rsidTr="008724E4">
        <w:trPr>
          <w:cnfStyle w:val="000000100000" w:firstRow="0" w:lastRow="0" w:firstColumn="0" w:lastColumn="0" w:oddVBand="0" w:evenVBand="0" w:oddHBand="1" w:evenHBand="0" w:firstRowFirstColumn="0" w:firstRowLastColumn="0" w:lastRowFirstColumn="0" w:lastRowLastColumn="0"/>
          <w:cantSplit/>
          <w:trHeight w:val="25"/>
        </w:trPr>
        <w:tc>
          <w:tcPr>
            <w:tcW w:w="2425" w:type="dxa"/>
          </w:tcPr>
          <w:p w14:paraId="21D012DF" w14:textId="45E06B33" w:rsidR="00282B8D" w:rsidRPr="003A3047" w:rsidRDefault="00AB28E1" w:rsidP="00282B8D">
            <w:pPr>
              <w:pStyle w:val="TableNormalNoSpaceAfter"/>
              <w:rPr>
                <w:szCs w:val="24"/>
              </w:rPr>
            </w:pPr>
            <w:r>
              <w:t>January 2026</w:t>
            </w:r>
          </w:p>
        </w:tc>
        <w:tc>
          <w:tcPr>
            <w:tcW w:w="8370" w:type="dxa"/>
            <w:vAlign w:val="top"/>
          </w:tcPr>
          <w:p w14:paraId="03EDAAB7" w14:textId="040BE7D7" w:rsidR="007727FC" w:rsidRDefault="00282B8D" w:rsidP="00282B8D">
            <w:pPr>
              <w:pStyle w:val="TableNormalNoSpaceAfter"/>
            </w:pPr>
            <w:r w:rsidRPr="00AF6E0E">
              <w:t xml:space="preserve">Version </w:t>
            </w:r>
            <w:r w:rsidR="00196860">
              <w:t>4</w:t>
            </w:r>
          </w:p>
          <w:p w14:paraId="4670C0D7" w14:textId="44D39450" w:rsidR="00282B8D" w:rsidRPr="00211BC0" w:rsidRDefault="00282B8D" w:rsidP="00196860">
            <w:pPr>
              <w:pStyle w:val="ListBullet"/>
              <w:rPr>
                <w:szCs w:val="24"/>
              </w:rPr>
            </w:pPr>
            <w:r w:rsidRPr="00AF6E0E">
              <w:t>Updated to comply with accessibility and TxDOT branding standards</w:t>
            </w:r>
            <w:r>
              <w:t>.</w:t>
            </w:r>
          </w:p>
        </w:tc>
      </w:tr>
      <w:tr w:rsidR="00282B8D" w:rsidRPr="00211BC0" w14:paraId="5AF0A0DE" w14:textId="77777777" w:rsidTr="008724E4">
        <w:trPr>
          <w:cnfStyle w:val="000000010000" w:firstRow="0" w:lastRow="0" w:firstColumn="0" w:lastColumn="0" w:oddVBand="0" w:evenVBand="0" w:oddHBand="0" w:evenHBand="1" w:firstRowFirstColumn="0" w:firstRowLastColumn="0" w:lastRowFirstColumn="0" w:lastRowLastColumn="0"/>
          <w:cantSplit/>
        </w:trPr>
        <w:tc>
          <w:tcPr>
            <w:tcW w:w="2425" w:type="dxa"/>
          </w:tcPr>
          <w:p w14:paraId="79C706C7" w14:textId="3F9A14C1" w:rsidR="00282B8D" w:rsidRPr="003A3047" w:rsidRDefault="00282B8D" w:rsidP="00282B8D">
            <w:pPr>
              <w:pStyle w:val="TableNormalNoSpaceAfter"/>
              <w:rPr>
                <w:szCs w:val="24"/>
              </w:rPr>
            </w:pPr>
            <w:r w:rsidRPr="003A3047">
              <w:t>March 2024</w:t>
            </w:r>
          </w:p>
        </w:tc>
        <w:tc>
          <w:tcPr>
            <w:tcW w:w="8370" w:type="dxa"/>
            <w:vAlign w:val="top"/>
          </w:tcPr>
          <w:p w14:paraId="4D8E38AB" w14:textId="77777777" w:rsidR="00196860" w:rsidRDefault="00196860" w:rsidP="00282B8D">
            <w:pPr>
              <w:pStyle w:val="TableNormalNoSpaceAfter"/>
            </w:pPr>
            <w:r>
              <w:t>Version 3</w:t>
            </w:r>
          </w:p>
          <w:p w14:paraId="4DD72790" w14:textId="4936DCDC" w:rsidR="00B73E6D" w:rsidRPr="00B73E6D" w:rsidRDefault="00B73E6D" w:rsidP="00196860">
            <w:pPr>
              <w:pStyle w:val="ListBullet"/>
              <w:rPr>
                <w:szCs w:val="24"/>
              </w:rPr>
            </w:pPr>
            <w:r w:rsidRPr="00B73E6D">
              <w:rPr>
                <w:szCs w:val="24"/>
              </w:rPr>
              <w:t>Updated Federal undertaking list to reflect changes made to the list in the new Section 106 programmatic agreement.</w:t>
            </w:r>
          </w:p>
          <w:p w14:paraId="635BFC73" w14:textId="21D04441" w:rsidR="00282B8D" w:rsidRPr="00211BC0" w:rsidRDefault="00282B8D" w:rsidP="00196860">
            <w:pPr>
              <w:pStyle w:val="ListBullet"/>
              <w:rPr>
                <w:szCs w:val="24"/>
              </w:rPr>
            </w:pPr>
            <w:r w:rsidRPr="00245DE0">
              <w:t>The “no review” procedures in the Programmatic Agreement among the Federal Highway Administration, the Texas Department of Transportation, the Texas State Historic Preservation Officer, Participating Tribes, and the Advisory Council on Historic Preservation Regarding the Implementation of Transportation Undertakings; and the Memorandum of Understanding between the Texas Department of Transportation and the Texas Historic Preservation changed.</w:t>
            </w:r>
          </w:p>
        </w:tc>
      </w:tr>
      <w:tr w:rsidR="00282B8D" w:rsidRPr="00211BC0" w14:paraId="1762B1A9" w14:textId="77777777" w:rsidTr="008724E4">
        <w:trPr>
          <w:cnfStyle w:val="000000100000" w:firstRow="0" w:lastRow="0" w:firstColumn="0" w:lastColumn="0" w:oddVBand="0" w:evenVBand="0" w:oddHBand="1" w:evenHBand="0" w:firstRowFirstColumn="0" w:firstRowLastColumn="0" w:lastRowFirstColumn="0" w:lastRowLastColumn="0"/>
          <w:cantSplit/>
        </w:trPr>
        <w:tc>
          <w:tcPr>
            <w:tcW w:w="2425" w:type="dxa"/>
          </w:tcPr>
          <w:p w14:paraId="5C583D5D" w14:textId="7986E417" w:rsidR="00282B8D" w:rsidRPr="003A3047" w:rsidRDefault="00282B8D" w:rsidP="00282B8D">
            <w:pPr>
              <w:pStyle w:val="TableNormalNoSpaceAfter"/>
              <w:rPr>
                <w:szCs w:val="24"/>
              </w:rPr>
            </w:pPr>
            <w:r w:rsidRPr="003A3047">
              <w:t>December 2015</w:t>
            </w:r>
          </w:p>
        </w:tc>
        <w:tc>
          <w:tcPr>
            <w:tcW w:w="8370" w:type="dxa"/>
            <w:vAlign w:val="top"/>
          </w:tcPr>
          <w:p w14:paraId="7ED7472C" w14:textId="52A9A59D" w:rsidR="00282B8D" w:rsidRPr="00F33550" w:rsidRDefault="00282B8D" w:rsidP="00282B8D">
            <w:pPr>
              <w:rPr>
                <w:bCs/>
              </w:rPr>
            </w:pPr>
            <w:r w:rsidRPr="00F33550">
              <w:rPr>
                <w:bCs/>
              </w:rPr>
              <w:t>Version 2</w:t>
            </w:r>
          </w:p>
          <w:p w14:paraId="23D25E52" w14:textId="77777777" w:rsidR="00282B8D" w:rsidRPr="00F33550" w:rsidRDefault="00282B8D" w:rsidP="00B73E6D">
            <w:pPr>
              <w:pStyle w:val="ListBullet"/>
            </w:pPr>
            <w:r w:rsidRPr="00F33550">
              <w:t>Updated Federal undertaking list to reflect changes made to the list in the new Section 106 programmatic agreement.</w:t>
            </w:r>
          </w:p>
          <w:p w14:paraId="4036F506" w14:textId="587922AA" w:rsidR="00282B8D" w:rsidRPr="00211BC0" w:rsidRDefault="00282B8D" w:rsidP="00B73E6D">
            <w:pPr>
              <w:pStyle w:val="ListBullet"/>
              <w:rPr>
                <w:szCs w:val="24"/>
              </w:rPr>
            </w:pPr>
            <w:r w:rsidRPr="00F33550">
              <w:t>Added list for cemeteries to create consistency with the new Section 106 programmatic agreement and scope development tool.</w:t>
            </w:r>
          </w:p>
        </w:tc>
      </w:tr>
      <w:tr w:rsidR="00282B8D" w:rsidRPr="00211BC0" w14:paraId="20E9AF22" w14:textId="77777777" w:rsidTr="008724E4">
        <w:trPr>
          <w:cnfStyle w:val="000000010000" w:firstRow="0" w:lastRow="0" w:firstColumn="0" w:lastColumn="0" w:oddVBand="0" w:evenVBand="0" w:oddHBand="0" w:evenHBand="1" w:firstRowFirstColumn="0" w:firstRowLastColumn="0" w:lastRowFirstColumn="0" w:lastRowLastColumn="0"/>
          <w:cantSplit/>
        </w:trPr>
        <w:tc>
          <w:tcPr>
            <w:tcW w:w="2425" w:type="dxa"/>
          </w:tcPr>
          <w:p w14:paraId="40466900" w14:textId="6D832223" w:rsidR="00282B8D" w:rsidRPr="003A3047" w:rsidRDefault="00282B8D" w:rsidP="00282B8D">
            <w:pPr>
              <w:pStyle w:val="TableNormalNoSpaceAfter"/>
              <w:rPr>
                <w:szCs w:val="24"/>
              </w:rPr>
            </w:pPr>
            <w:r w:rsidRPr="003A3047">
              <w:lastRenderedPageBreak/>
              <w:t>June 2014</w:t>
            </w:r>
          </w:p>
        </w:tc>
        <w:tc>
          <w:tcPr>
            <w:tcW w:w="8370" w:type="dxa"/>
            <w:vAlign w:val="top"/>
          </w:tcPr>
          <w:p w14:paraId="634BCD4D" w14:textId="77777777" w:rsidR="00282B8D" w:rsidRDefault="00282B8D" w:rsidP="00282B8D">
            <w:pPr>
              <w:pStyle w:val="TableNormalNoSpaceAfter"/>
              <w:rPr>
                <w:rFonts w:cstheme="minorHAnsi"/>
                <w:bCs/>
              </w:rPr>
            </w:pPr>
            <w:r w:rsidRPr="00245DE0">
              <w:rPr>
                <w:rFonts w:cstheme="minorHAnsi"/>
                <w:bCs/>
              </w:rPr>
              <w:t>Version 1</w:t>
            </w:r>
          </w:p>
          <w:p w14:paraId="6836FF36" w14:textId="0D49CF2D" w:rsidR="00DC2FB7" w:rsidRPr="00211BC0" w:rsidRDefault="00DC2FB7" w:rsidP="003A3047">
            <w:pPr>
              <w:pStyle w:val="ListBullet"/>
            </w:pPr>
            <w:r>
              <w:t>Used to i</w:t>
            </w:r>
            <w:r w:rsidRPr="00DC2FB7">
              <w:t>dentif</w:t>
            </w:r>
            <w:r>
              <w:t xml:space="preserve">y </w:t>
            </w:r>
            <w:r w:rsidRPr="00DC2FB7">
              <w:t>the project types that do not require review or coordination for compliance with laws and regulations regarding archeological sites. The guidance comes from existing TxDOT agreements with regulatory agencies.</w:t>
            </w:r>
          </w:p>
        </w:tc>
      </w:tr>
    </w:tbl>
    <w:p w14:paraId="6E1B842B" w14:textId="77777777" w:rsidR="0004581E" w:rsidRPr="005D638D" w:rsidRDefault="0004581E" w:rsidP="00781A58"/>
    <w:sectPr w:rsidR="0004581E" w:rsidRPr="005D638D" w:rsidSect="0010454F">
      <w:headerReference w:type="default" r:id="rId11"/>
      <w:footerReference w:type="default" r:id="rId12"/>
      <w:headerReference w:type="first" r:id="rId13"/>
      <w:pgSz w:w="12240" w:h="15840" w:code="1"/>
      <w:pgMar w:top="720" w:right="720" w:bottom="720" w:left="720" w:header="432"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B96A3D" w14:textId="77777777" w:rsidR="00D6726E" w:rsidRDefault="00D6726E" w:rsidP="00CE2B96">
      <w:pPr>
        <w:spacing w:after="0"/>
      </w:pPr>
      <w:r>
        <w:separator/>
      </w:r>
    </w:p>
  </w:endnote>
  <w:endnote w:type="continuationSeparator" w:id="0">
    <w:p w14:paraId="592A78FC" w14:textId="77777777" w:rsidR="00D6726E" w:rsidRDefault="00D6726E" w:rsidP="00CE2B96">
      <w:pPr>
        <w:spacing w:after="0"/>
      </w:pPr>
      <w:r>
        <w:continuationSeparator/>
      </w:r>
    </w:p>
  </w:endnote>
  <w:endnote w:type="continuationNotice" w:id="1">
    <w:p w14:paraId="68717DF5" w14:textId="77777777" w:rsidR="00D6726E" w:rsidRDefault="00D6726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Franklin Gothic Book">
    <w:panose1 w:val="020B0503020102020204"/>
    <w:charset w:val="00"/>
    <w:family w:val="swiss"/>
    <w:pitch w:val="variable"/>
    <w:sig w:usb0="00000287" w:usb1="00000000" w:usb2="00000000" w:usb3="00000000" w:csb0="0000009F" w:csb1="00000000"/>
  </w:font>
  <w:font w:name="Verdana Bold">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E0D0D" w14:textId="351A11C2" w:rsidR="00E15D9F" w:rsidRPr="00A07068" w:rsidRDefault="00C02127" w:rsidP="0010454F">
    <w:pPr>
      <w:pStyle w:val="Footer"/>
      <w:spacing w:before="360" w:line="360" w:lineRule="auto"/>
      <w:jc w:val="right"/>
      <w:rPr>
        <w:b/>
        <w:bCs/>
        <w:color w:val="0056A9"/>
      </w:rPr>
    </w:pPr>
    <w:r w:rsidRPr="00781A58">
      <w:rPr>
        <w:noProof/>
      </w:rPr>
      <mc:AlternateContent>
        <mc:Choice Requires="wps">
          <w:drawing>
            <wp:anchor distT="0" distB="0" distL="114300" distR="114300" simplePos="0" relativeHeight="251658240" behindDoc="0" locked="0" layoutInCell="1" allowOverlap="1" wp14:anchorId="602BC6B8" wp14:editId="0A73755C">
              <wp:simplePos x="0" y="0"/>
              <wp:positionH relativeFrom="margin">
                <wp:posOffset>0</wp:posOffset>
              </wp:positionH>
              <wp:positionV relativeFrom="paragraph">
                <wp:posOffset>86065</wp:posOffset>
              </wp:positionV>
              <wp:extent cx="6844381" cy="6795"/>
              <wp:effectExtent l="0" t="0" r="13970" b="31750"/>
              <wp:wrapNone/>
              <wp:docPr id="2" name="AutoShap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844381" cy="6795"/>
                      </a:xfrm>
                      <a:prstGeom prst="straightConnector1">
                        <a:avLst/>
                      </a:prstGeom>
                      <a:noFill/>
                      <a:ln w="9525">
                        <a:solidFill>
                          <a:srgbClr val="D81F26"/>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6A75935" id="_x0000_t32" coordsize="21600,21600" o:spt="32" o:oned="t" path="m,l21600,21600e" filled="f">
              <v:path arrowok="t" fillok="f" o:connecttype="none"/>
              <o:lock v:ext="edit" shapetype="t"/>
            </v:shapetype>
            <v:shape id="AutoShape 12" o:spid="_x0000_s1026" type="#_x0000_t32" alt="&quot;&quot;" style="position:absolute;margin-left:0;margin-top:6.8pt;width:538.95pt;height:.55pt;flip:x;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" strokecolor="#d81f26">
              <w10:wrap anchorx="margin"/>
            </v:shape>
          </w:pict>
        </mc:Fallback>
      </mc:AlternateContent>
    </w:r>
    <w:r w:rsidR="008F4D37">
      <w:rPr>
        <w:color w:val="0056A9"/>
      </w:rPr>
      <w:t>Guidance: L</w:t>
    </w:r>
    <w:r w:rsidR="00BE343C" w:rsidRPr="00BE343C">
      <w:rPr>
        <w:color w:val="0056A9"/>
      </w:rPr>
      <w:t>ist of Projects that Do Not Require Review or Coordination for Archeological</w:t>
    </w:r>
    <w:r w:rsidR="00FB2ADC">
      <w:rPr>
        <w:color w:val="0056A9"/>
      </w:rPr>
      <w:t xml:space="preserve"> Compliance</w:t>
    </w:r>
    <w:r w:rsidR="0032481A">
      <w:rPr>
        <w:color w:val="0056A9"/>
      </w:rPr>
      <w:t xml:space="preserve"> </w:t>
    </w:r>
    <w:r w:rsidR="00BD2218" w:rsidRPr="00BD2218">
      <w:rPr>
        <w:b/>
        <w:bCs/>
        <w:color w:val="0056A9"/>
      </w:rPr>
      <w:t xml:space="preserve">| </w:t>
    </w:r>
    <w:r w:rsidR="00BD2218" w:rsidRPr="00BD2218">
      <w:rPr>
        <w:b/>
        <w:bCs/>
        <w:color w:val="0056A9"/>
      </w:rPr>
      <w:fldChar w:fldCharType="begin"/>
    </w:r>
    <w:r w:rsidR="00BD2218" w:rsidRPr="00BD2218">
      <w:rPr>
        <w:b/>
        <w:bCs/>
        <w:color w:val="0056A9"/>
      </w:rPr>
      <w:instrText xml:space="preserve"> PAGE   \* MERGEFORMAT </w:instrText>
    </w:r>
    <w:r w:rsidR="00BD2218" w:rsidRPr="00BD2218">
      <w:rPr>
        <w:b/>
        <w:bCs/>
        <w:color w:val="0056A9"/>
      </w:rPr>
      <w:fldChar w:fldCharType="separate"/>
    </w:r>
    <w:r w:rsidR="00BD2218" w:rsidRPr="00BD2218">
      <w:rPr>
        <w:b/>
        <w:bCs/>
        <w:noProof/>
        <w:color w:val="0056A9"/>
      </w:rPr>
      <w:t>1</w:t>
    </w:r>
    <w:r w:rsidR="00BD2218" w:rsidRPr="00BD2218">
      <w:rPr>
        <w:b/>
        <w:bCs/>
        <w:noProof/>
        <w:color w:val="0056A9"/>
      </w:rPr>
      <w:fldChar w:fldCharType="end"/>
    </w:r>
  </w:p>
  <w:p w14:paraId="53D770CE" w14:textId="77777777" w:rsidR="002376C2" w:rsidRDefault="002376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283E22" w14:textId="77777777" w:rsidR="00D6726E" w:rsidRDefault="00D6726E" w:rsidP="00CE2B96">
      <w:pPr>
        <w:spacing w:after="0"/>
      </w:pPr>
      <w:r>
        <w:separator/>
      </w:r>
    </w:p>
  </w:footnote>
  <w:footnote w:type="continuationSeparator" w:id="0">
    <w:p w14:paraId="022C77CB" w14:textId="77777777" w:rsidR="00D6726E" w:rsidRDefault="00D6726E" w:rsidP="00CE2B96">
      <w:pPr>
        <w:spacing w:after="0"/>
      </w:pPr>
      <w:r>
        <w:continuationSeparator/>
      </w:r>
    </w:p>
  </w:footnote>
  <w:footnote w:type="continuationNotice" w:id="1">
    <w:p w14:paraId="32BF0724" w14:textId="77777777" w:rsidR="00D6726E" w:rsidRDefault="00D6726E">
      <w:pPr>
        <w:spacing w:after="0" w:line="240" w:lineRule="auto"/>
      </w:pPr>
    </w:p>
  </w:footnote>
  <w:footnote w:id="2">
    <w:p w14:paraId="2903197D" w14:textId="24D52F8B" w:rsidR="00584AA1" w:rsidRPr="00336197" w:rsidRDefault="00584AA1" w:rsidP="00336197">
      <w:pPr>
        <w:pStyle w:val="FootnoteText"/>
        <w:spacing w:line="360" w:lineRule="auto"/>
        <w:rPr>
          <w:rFonts w:asciiTheme="minorHAnsi" w:hAnsiTheme="minorHAnsi"/>
          <w:sz w:val="24"/>
          <w:szCs w:val="24"/>
        </w:rPr>
      </w:pPr>
      <w:r w:rsidRPr="00336197">
        <w:rPr>
          <w:rStyle w:val="FootnoteReference"/>
          <w:rFonts w:asciiTheme="minorHAnsi" w:hAnsiTheme="minorHAnsi"/>
          <w:sz w:val="24"/>
          <w:szCs w:val="24"/>
        </w:rPr>
        <w:footnoteRef/>
      </w:r>
      <w:r w:rsidRPr="00336197">
        <w:rPr>
          <w:rFonts w:asciiTheme="minorHAnsi" w:hAnsiTheme="minorHAnsi"/>
          <w:sz w:val="24"/>
          <w:szCs w:val="24"/>
        </w:rPr>
        <w:t xml:space="preserve"> These agreements are the Programmatic Agreement among the Federal Highway Administration, the Texas Department of Transportation, the Texas State Historic Preservation Officer, Participating Tribes, and the Advisory Council on Historic Preservation Regarding the Implementation of Transportation Undertakings</w:t>
      </w:r>
      <w:r w:rsidR="00EF28CA" w:rsidRPr="00336197">
        <w:rPr>
          <w:rFonts w:asciiTheme="minorHAnsi" w:hAnsiTheme="minorHAnsi"/>
          <w:sz w:val="24"/>
          <w:szCs w:val="24"/>
        </w:rPr>
        <w:t>,</w:t>
      </w:r>
      <w:r w:rsidRPr="00336197">
        <w:rPr>
          <w:rFonts w:asciiTheme="minorHAnsi" w:hAnsiTheme="minorHAnsi"/>
          <w:sz w:val="24"/>
          <w:szCs w:val="24"/>
        </w:rPr>
        <w:t xml:space="preserve"> and the Memorandum of Understanding between the Texas Department of Transportation and the Texas Historical Commission.</w:t>
      </w:r>
    </w:p>
  </w:footnote>
  <w:footnote w:id="3">
    <w:p w14:paraId="76F5A00E" w14:textId="4AE167D9" w:rsidR="00584AA1" w:rsidRPr="00E614AC" w:rsidRDefault="00584AA1" w:rsidP="00336197">
      <w:pPr>
        <w:pStyle w:val="FootnoteText"/>
        <w:spacing w:line="360" w:lineRule="auto"/>
        <w:rPr>
          <w:rFonts w:asciiTheme="minorHAnsi" w:hAnsiTheme="minorHAnsi" w:cs="Arial"/>
          <w:sz w:val="24"/>
          <w:szCs w:val="24"/>
        </w:rPr>
      </w:pPr>
      <w:r w:rsidRPr="00336197">
        <w:rPr>
          <w:rStyle w:val="FootnoteReference"/>
          <w:rFonts w:asciiTheme="minorHAnsi" w:hAnsiTheme="minorHAnsi"/>
          <w:sz w:val="24"/>
          <w:szCs w:val="24"/>
        </w:rPr>
        <w:footnoteRef/>
      </w:r>
      <w:r w:rsidRPr="00336197">
        <w:rPr>
          <w:rFonts w:asciiTheme="minorHAnsi" w:hAnsiTheme="minorHAnsi"/>
          <w:sz w:val="24"/>
          <w:szCs w:val="24"/>
        </w:rPr>
        <w:t xml:space="preserve"> </w:t>
      </w:r>
      <w:r w:rsidRPr="00336197">
        <w:rPr>
          <w:rFonts w:asciiTheme="minorHAnsi" w:hAnsiTheme="minorHAnsi" w:cs="Arial"/>
          <w:sz w:val="24"/>
          <w:szCs w:val="24"/>
        </w:rPr>
        <w:t>Projects that qualified under previous agreements for “no review” will qualify under the current agreement.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7A6EC" w14:textId="77777777" w:rsidR="001705BC" w:rsidRDefault="001705BC" w:rsidP="001705BC">
    <w:pPr>
      <w:pStyle w:val="Header"/>
      <w:spacing w:after="400"/>
      <w:jc w:val="right"/>
    </w:pPr>
    <w:r>
      <w:rPr>
        <w:noProof/>
      </w:rPr>
      <w:drawing>
        <wp:inline distT="0" distB="0" distL="0" distR="0" wp14:anchorId="4334D61B" wp14:editId="5D06926A">
          <wp:extent cx="2020824" cy="347472"/>
          <wp:effectExtent l="0" t="0" r="0" b="0"/>
          <wp:docPr id="1352774196" name="Graphic 1" descr="Texas Department of Transport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2335144" name="Graphic 1" descr="Texas Department of Transportation logo"/>
                  <pic:cNvPicPr/>
                </pic:nvPicPr>
                <pic:blipFill>
                  <a:blip r:embed="rId1">
                    <a:extLst>
                      <a:ext uri="{96DAC541-7B7A-43D3-8B79-37D633B846F1}">
                        <asvg:svgBlip xmlns:asvg="http://schemas.microsoft.com/office/drawing/2016/SVG/main" r:embed="rId2"/>
                      </a:ext>
                    </a:extLst>
                  </a:blip>
                  <a:stretch>
                    <a:fillRect/>
                  </a:stretch>
                </pic:blipFill>
                <pic:spPr>
                  <a:xfrm>
                    <a:off x="0" y="0"/>
                    <a:ext cx="2020824" cy="347472"/>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72738" w14:textId="77777777" w:rsidR="00CE2B96" w:rsidRPr="002A75F2" w:rsidRDefault="00CE2B96" w:rsidP="002A75F2">
    <w:pPr>
      <w:spacing w:after="28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9D4A3B"/>
    <w:multiLevelType w:val="multilevel"/>
    <w:tmpl w:val="562E886E"/>
    <w:lvl w:ilvl="0">
      <w:start w:val="1"/>
      <w:numFmt w:val="bullet"/>
      <w:lvlText w:val=""/>
      <w:lvlJc w:val="left"/>
      <w:pPr>
        <w:ind w:left="360" w:hanging="360"/>
      </w:pPr>
      <w:rPr>
        <w:rFonts w:ascii="Symbol" w:hAnsi="Symbol" w:hint="default"/>
        <w:color w:val="0056A9" w:themeColor="accent1"/>
      </w:rPr>
    </w:lvl>
    <w:lvl w:ilvl="1">
      <w:start w:val="1"/>
      <w:numFmt w:val="bullet"/>
      <w:lvlText w:val="o"/>
      <w:lvlJc w:val="left"/>
      <w:pPr>
        <w:ind w:left="720" w:hanging="360"/>
      </w:pPr>
      <w:rPr>
        <w:rFonts w:ascii="Courier New" w:hAnsi="Courier New" w:cs="Courier New" w:hint="default"/>
        <w:color w:val="0056A9"/>
      </w:rPr>
    </w:lvl>
    <w:lvl w:ilvl="2">
      <w:start w:val="1"/>
      <w:numFmt w:val="bullet"/>
      <w:lvlText w:val=""/>
      <w:lvlJc w:val="left"/>
      <w:pPr>
        <w:ind w:left="1080" w:hanging="360"/>
      </w:pPr>
      <w:rPr>
        <w:rFonts w:ascii="Wingdings" w:hAnsi="Wingdings" w:hint="default"/>
        <w:color w:val="0056A9" w:themeColor="accent1"/>
      </w:rPr>
    </w:lvl>
    <w:lvl w:ilvl="3">
      <w:start w:val="1"/>
      <w:numFmt w:val="bullet"/>
      <w:lvlText w:val=""/>
      <w:lvlJc w:val="left"/>
      <w:pPr>
        <w:ind w:left="1440" w:hanging="360"/>
      </w:pPr>
      <w:rPr>
        <w:rFonts w:ascii="Symbol" w:hAnsi="Symbol" w:hint="default"/>
        <w:color w:val="0056A9" w:themeColor="accent1"/>
      </w:rPr>
    </w:lvl>
    <w:lvl w:ilvl="4">
      <w:start w:val="1"/>
      <w:numFmt w:val="bullet"/>
      <w:lvlText w:val="°"/>
      <w:lvlJc w:val="left"/>
      <w:pPr>
        <w:ind w:left="1800" w:hanging="360"/>
      </w:pPr>
      <w:rPr>
        <w:rFonts w:ascii="Verdana" w:hAnsi="Verdana" w:hint="default"/>
        <w:color w:val="0056A9" w:themeColor="accent1"/>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 w15:restartNumberingAfterBreak="0">
    <w:nsid w:val="3772571D"/>
    <w:multiLevelType w:val="hybridMultilevel"/>
    <w:tmpl w:val="3A10FF4E"/>
    <w:lvl w:ilvl="0" w:tplc="370C3E08">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8D571AC"/>
    <w:multiLevelType w:val="multilevel"/>
    <w:tmpl w:val="3E9C386A"/>
    <w:lvl w:ilvl="0">
      <w:start w:val="1"/>
      <w:numFmt w:val="bullet"/>
      <w:lvlText w:val=""/>
      <w:lvlJc w:val="left"/>
      <w:pPr>
        <w:ind w:left="360" w:hanging="360"/>
      </w:pPr>
      <w:rPr>
        <w:rFonts w:ascii="Symbol" w:hAnsi="Symbol" w:hint="default"/>
        <w:color w:val="0056A9" w:themeColor="accent1"/>
      </w:rPr>
    </w:lvl>
    <w:lvl w:ilvl="1">
      <w:start w:val="1"/>
      <w:numFmt w:val="bullet"/>
      <w:lvlText w:val="o"/>
      <w:lvlJc w:val="left"/>
      <w:pPr>
        <w:ind w:left="720" w:hanging="360"/>
      </w:pPr>
      <w:rPr>
        <w:rFonts w:ascii="Courier New" w:hAnsi="Courier New" w:cs="Courier New" w:hint="default"/>
        <w:color w:val="0056A9"/>
      </w:rPr>
    </w:lvl>
    <w:lvl w:ilvl="2">
      <w:start w:val="1"/>
      <w:numFmt w:val="bullet"/>
      <w:lvlText w:val=""/>
      <w:lvlJc w:val="left"/>
      <w:pPr>
        <w:ind w:left="1080" w:hanging="360"/>
      </w:pPr>
      <w:rPr>
        <w:rFonts w:ascii="Wingdings" w:hAnsi="Wingdings" w:hint="default"/>
        <w:color w:val="0056A9" w:themeColor="accent1"/>
      </w:rPr>
    </w:lvl>
    <w:lvl w:ilvl="3">
      <w:start w:val="1"/>
      <w:numFmt w:val="bullet"/>
      <w:lvlText w:val=""/>
      <w:lvlJc w:val="left"/>
      <w:pPr>
        <w:ind w:left="1440" w:hanging="360"/>
      </w:pPr>
      <w:rPr>
        <w:rFonts w:ascii="Symbol" w:hAnsi="Symbol" w:hint="default"/>
        <w:color w:val="0056A9" w:themeColor="accent1"/>
      </w:rPr>
    </w:lvl>
    <w:lvl w:ilvl="4">
      <w:start w:val="1"/>
      <w:numFmt w:val="bullet"/>
      <w:lvlText w:val="°"/>
      <w:lvlJc w:val="left"/>
      <w:pPr>
        <w:ind w:left="1800" w:hanging="360"/>
      </w:pPr>
      <w:rPr>
        <w:rFonts w:ascii="Verdana" w:hAnsi="Verdana" w:hint="default"/>
        <w:color w:val="0056A9" w:themeColor="accent1"/>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 w15:restartNumberingAfterBreak="0">
    <w:nsid w:val="3BEA4708"/>
    <w:multiLevelType w:val="multilevel"/>
    <w:tmpl w:val="6120A4F4"/>
    <w:lvl w:ilvl="0">
      <w:start w:val="1"/>
      <w:numFmt w:val="bullet"/>
      <w:lvlText w:val=""/>
      <w:lvlJc w:val="left"/>
      <w:pPr>
        <w:ind w:left="360" w:hanging="360"/>
      </w:pPr>
      <w:rPr>
        <w:rFonts w:ascii="Symbol" w:hAnsi="Symbol" w:hint="default"/>
        <w:color w:val="0056A9" w:themeColor="accent1"/>
      </w:rPr>
    </w:lvl>
    <w:lvl w:ilvl="1">
      <w:start w:val="1"/>
      <w:numFmt w:val="bullet"/>
      <w:lvlText w:val="o"/>
      <w:lvlJc w:val="left"/>
      <w:pPr>
        <w:ind w:left="720" w:hanging="360"/>
      </w:pPr>
      <w:rPr>
        <w:rFonts w:ascii="Courier New" w:hAnsi="Courier New" w:cs="Courier New" w:hint="default"/>
        <w:color w:val="0056A9"/>
      </w:rPr>
    </w:lvl>
    <w:lvl w:ilvl="2">
      <w:start w:val="1"/>
      <w:numFmt w:val="bullet"/>
      <w:lvlText w:val=""/>
      <w:lvlJc w:val="left"/>
      <w:pPr>
        <w:ind w:left="1080" w:hanging="360"/>
      </w:pPr>
      <w:rPr>
        <w:rFonts w:ascii="Wingdings" w:hAnsi="Wingdings" w:hint="default"/>
        <w:color w:val="0056A9" w:themeColor="accent1"/>
      </w:rPr>
    </w:lvl>
    <w:lvl w:ilvl="3">
      <w:start w:val="1"/>
      <w:numFmt w:val="bullet"/>
      <w:lvlText w:val=""/>
      <w:lvlJc w:val="left"/>
      <w:pPr>
        <w:ind w:left="1440" w:hanging="360"/>
      </w:pPr>
      <w:rPr>
        <w:rFonts w:ascii="Symbol" w:hAnsi="Symbol" w:hint="default"/>
        <w:color w:val="0056A9" w:themeColor="accent1"/>
      </w:rPr>
    </w:lvl>
    <w:lvl w:ilvl="4">
      <w:start w:val="1"/>
      <w:numFmt w:val="bullet"/>
      <w:lvlText w:val="°"/>
      <w:lvlJc w:val="left"/>
      <w:pPr>
        <w:ind w:left="1800" w:hanging="360"/>
      </w:pPr>
      <w:rPr>
        <w:rFonts w:ascii="Verdana" w:hAnsi="Verdana" w:hint="default"/>
        <w:color w:val="0056A9" w:themeColor="accent1"/>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 w15:restartNumberingAfterBreak="0">
    <w:nsid w:val="3D314548"/>
    <w:multiLevelType w:val="multilevel"/>
    <w:tmpl w:val="5A502FAE"/>
    <w:lvl w:ilvl="0">
      <w:start w:val="1"/>
      <w:numFmt w:val="bullet"/>
      <w:lvlText w:val=""/>
      <w:lvlJc w:val="left"/>
      <w:pPr>
        <w:ind w:left="360" w:hanging="360"/>
      </w:pPr>
      <w:rPr>
        <w:rFonts w:ascii="Symbol" w:hAnsi="Symbol" w:hint="default"/>
        <w:color w:val="0056A9" w:themeColor="accent1"/>
      </w:rPr>
    </w:lvl>
    <w:lvl w:ilvl="1">
      <w:start w:val="1"/>
      <w:numFmt w:val="bullet"/>
      <w:lvlText w:val="o"/>
      <w:lvlJc w:val="left"/>
      <w:pPr>
        <w:ind w:left="720" w:hanging="360"/>
      </w:pPr>
      <w:rPr>
        <w:rFonts w:ascii="Courier New" w:hAnsi="Courier New" w:cs="Courier New" w:hint="default"/>
        <w:color w:val="0056A9"/>
      </w:rPr>
    </w:lvl>
    <w:lvl w:ilvl="2">
      <w:start w:val="1"/>
      <w:numFmt w:val="bullet"/>
      <w:lvlText w:val=""/>
      <w:lvlJc w:val="left"/>
      <w:pPr>
        <w:ind w:left="1080" w:hanging="360"/>
      </w:pPr>
      <w:rPr>
        <w:rFonts w:ascii="Wingdings" w:hAnsi="Wingdings" w:hint="default"/>
        <w:color w:val="0056A9" w:themeColor="accent1"/>
      </w:rPr>
    </w:lvl>
    <w:lvl w:ilvl="3">
      <w:start w:val="1"/>
      <w:numFmt w:val="bullet"/>
      <w:lvlText w:val=""/>
      <w:lvlJc w:val="left"/>
      <w:pPr>
        <w:ind w:left="1440" w:hanging="360"/>
      </w:pPr>
      <w:rPr>
        <w:rFonts w:ascii="Symbol" w:hAnsi="Symbol" w:hint="default"/>
        <w:color w:val="0056A9" w:themeColor="accent1"/>
      </w:rPr>
    </w:lvl>
    <w:lvl w:ilvl="4">
      <w:start w:val="1"/>
      <w:numFmt w:val="bullet"/>
      <w:lvlText w:val="°"/>
      <w:lvlJc w:val="left"/>
      <w:pPr>
        <w:ind w:left="1800" w:hanging="360"/>
      </w:pPr>
      <w:rPr>
        <w:rFonts w:ascii="Verdana" w:hAnsi="Verdana" w:hint="default"/>
        <w:color w:val="0056A9" w:themeColor="accent1"/>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5" w15:restartNumberingAfterBreak="0">
    <w:nsid w:val="49963842"/>
    <w:multiLevelType w:val="hybridMultilevel"/>
    <w:tmpl w:val="E018B2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1474EC2"/>
    <w:multiLevelType w:val="multilevel"/>
    <w:tmpl w:val="E64C88D6"/>
    <w:lvl w:ilvl="0">
      <w:start w:val="1"/>
      <w:numFmt w:val="bullet"/>
      <w:lvlText w:val=""/>
      <w:lvlJc w:val="left"/>
      <w:pPr>
        <w:ind w:left="360" w:hanging="360"/>
      </w:pPr>
      <w:rPr>
        <w:rFonts w:ascii="Symbol" w:hAnsi="Symbol" w:hint="default"/>
        <w:color w:val="0056A9" w:themeColor="accent1"/>
      </w:rPr>
    </w:lvl>
    <w:lvl w:ilvl="1">
      <w:start w:val="1"/>
      <w:numFmt w:val="bullet"/>
      <w:lvlText w:val="o"/>
      <w:lvlJc w:val="left"/>
      <w:pPr>
        <w:ind w:left="720" w:hanging="360"/>
      </w:pPr>
      <w:rPr>
        <w:rFonts w:ascii="Courier New" w:hAnsi="Courier New" w:cs="Courier New" w:hint="default"/>
        <w:color w:val="0056A9"/>
      </w:rPr>
    </w:lvl>
    <w:lvl w:ilvl="2">
      <w:start w:val="1"/>
      <w:numFmt w:val="bullet"/>
      <w:lvlText w:val=""/>
      <w:lvlJc w:val="left"/>
      <w:pPr>
        <w:ind w:left="1080" w:hanging="360"/>
      </w:pPr>
      <w:rPr>
        <w:rFonts w:ascii="Wingdings" w:hAnsi="Wingdings" w:hint="default"/>
        <w:color w:val="0056A9" w:themeColor="accent1"/>
      </w:rPr>
    </w:lvl>
    <w:lvl w:ilvl="3">
      <w:start w:val="1"/>
      <w:numFmt w:val="bullet"/>
      <w:lvlText w:val=""/>
      <w:lvlJc w:val="left"/>
      <w:pPr>
        <w:ind w:left="1440" w:hanging="360"/>
      </w:pPr>
      <w:rPr>
        <w:rFonts w:ascii="Symbol" w:hAnsi="Symbol" w:hint="default"/>
        <w:color w:val="0056A9" w:themeColor="accent1"/>
      </w:rPr>
    </w:lvl>
    <w:lvl w:ilvl="4">
      <w:start w:val="1"/>
      <w:numFmt w:val="bullet"/>
      <w:lvlText w:val="°"/>
      <w:lvlJc w:val="left"/>
      <w:pPr>
        <w:ind w:left="1800" w:hanging="360"/>
      </w:pPr>
      <w:rPr>
        <w:rFonts w:ascii="Verdana" w:hAnsi="Verdana" w:hint="default"/>
        <w:color w:val="0056A9" w:themeColor="accent1"/>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7" w15:restartNumberingAfterBreak="0">
    <w:nsid w:val="5EAC461A"/>
    <w:multiLevelType w:val="multilevel"/>
    <w:tmpl w:val="F1783F88"/>
    <w:lvl w:ilvl="0">
      <w:start w:val="1"/>
      <w:numFmt w:val="bullet"/>
      <w:lvlText w:val=""/>
      <w:lvlJc w:val="left"/>
      <w:pPr>
        <w:ind w:left="360" w:hanging="360"/>
      </w:pPr>
      <w:rPr>
        <w:rFonts w:ascii="Symbol" w:hAnsi="Symbol" w:hint="default"/>
        <w:color w:val="0056A9" w:themeColor="accent1"/>
      </w:rPr>
    </w:lvl>
    <w:lvl w:ilvl="1">
      <w:start w:val="1"/>
      <w:numFmt w:val="bullet"/>
      <w:lvlText w:val="o"/>
      <w:lvlJc w:val="left"/>
      <w:pPr>
        <w:ind w:left="720" w:hanging="360"/>
      </w:pPr>
      <w:rPr>
        <w:rFonts w:ascii="Courier New" w:hAnsi="Courier New" w:cs="Courier New" w:hint="default"/>
        <w:color w:val="0056A9"/>
      </w:rPr>
    </w:lvl>
    <w:lvl w:ilvl="2">
      <w:start w:val="1"/>
      <w:numFmt w:val="bullet"/>
      <w:lvlText w:val=""/>
      <w:lvlJc w:val="left"/>
      <w:pPr>
        <w:ind w:left="1080" w:hanging="360"/>
      </w:pPr>
      <w:rPr>
        <w:rFonts w:ascii="Wingdings" w:hAnsi="Wingdings" w:hint="default"/>
        <w:color w:val="0056A9" w:themeColor="accent1"/>
      </w:rPr>
    </w:lvl>
    <w:lvl w:ilvl="3">
      <w:start w:val="1"/>
      <w:numFmt w:val="bullet"/>
      <w:lvlText w:val=""/>
      <w:lvlJc w:val="left"/>
      <w:pPr>
        <w:ind w:left="1440" w:hanging="360"/>
      </w:pPr>
      <w:rPr>
        <w:rFonts w:ascii="Symbol" w:hAnsi="Symbol" w:hint="default"/>
        <w:color w:val="0056A9" w:themeColor="accent1"/>
      </w:rPr>
    </w:lvl>
    <w:lvl w:ilvl="4">
      <w:start w:val="1"/>
      <w:numFmt w:val="bullet"/>
      <w:lvlText w:val="°"/>
      <w:lvlJc w:val="left"/>
      <w:pPr>
        <w:ind w:left="1800" w:hanging="360"/>
      </w:pPr>
      <w:rPr>
        <w:rFonts w:ascii="Verdana" w:hAnsi="Verdana" w:hint="default"/>
        <w:color w:val="0056A9" w:themeColor="accent1"/>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8" w15:restartNumberingAfterBreak="0">
    <w:nsid w:val="60932C79"/>
    <w:multiLevelType w:val="multilevel"/>
    <w:tmpl w:val="9FB8F25A"/>
    <w:lvl w:ilvl="0">
      <w:start w:val="1"/>
      <w:numFmt w:val="bullet"/>
      <w:lvlText w:val=""/>
      <w:lvlJc w:val="left"/>
      <w:pPr>
        <w:ind w:left="360" w:hanging="360"/>
      </w:pPr>
      <w:rPr>
        <w:rFonts w:ascii="Symbol" w:hAnsi="Symbol" w:hint="default"/>
        <w:color w:val="0056A9" w:themeColor="accent1"/>
      </w:rPr>
    </w:lvl>
    <w:lvl w:ilvl="1">
      <w:start w:val="1"/>
      <w:numFmt w:val="bullet"/>
      <w:lvlText w:val="o"/>
      <w:lvlJc w:val="left"/>
      <w:pPr>
        <w:ind w:left="720" w:hanging="360"/>
      </w:pPr>
      <w:rPr>
        <w:rFonts w:ascii="Courier New" w:hAnsi="Courier New" w:cs="Courier New" w:hint="default"/>
        <w:color w:val="0056A9"/>
      </w:rPr>
    </w:lvl>
    <w:lvl w:ilvl="2">
      <w:start w:val="1"/>
      <w:numFmt w:val="bullet"/>
      <w:lvlText w:val=""/>
      <w:lvlJc w:val="left"/>
      <w:pPr>
        <w:ind w:left="1080" w:hanging="360"/>
      </w:pPr>
      <w:rPr>
        <w:rFonts w:ascii="Wingdings" w:hAnsi="Wingdings" w:hint="default"/>
        <w:color w:val="0056A9" w:themeColor="accent1"/>
      </w:rPr>
    </w:lvl>
    <w:lvl w:ilvl="3">
      <w:start w:val="1"/>
      <w:numFmt w:val="bullet"/>
      <w:lvlText w:val=""/>
      <w:lvlJc w:val="left"/>
      <w:pPr>
        <w:ind w:left="1440" w:hanging="360"/>
      </w:pPr>
      <w:rPr>
        <w:rFonts w:ascii="Symbol" w:hAnsi="Symbol" w:hint="default"/>
        <w:color w:val="0056A9" w:themeColor="accent1"/>
      </w:rPr>
    </w:lvl>
    <w:lvl w:ilvl="4">
      <w:start w:val="1"/>
      <w:numFmt w:val="bullet"/>
      <w:lvlText w:val="°"/>
      <w:lvlJc w:val="left"/>
      <w:pPr>
        <w:ind w:left="1800" w:hanging="360"/>
      </w:pPr>
      <w:rPr>
        <w:rFonts w:ascii="Verdana" w:hAnsi="Verdana" w:hint="default"/>
        <w:color w:val="0056A9" w:themeColor="accent1"/>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9" w15:restartNumberingAfterBreak="0">
    <w:nsid w:val="68D20F47"/>
    <w:multiLevelType w:val="multilevel"/>
    <w:tmpl w:val="142C5B3C"/>
    <w:lvl w:ilvl="0">
      <w:start w:val="1"/>
      <w:numFmt w:val="bullet"/>
      <w:lvlText w:val=""/>
      <w:lvlJc w:val="left"/>
      <w:pPr>
        <w:ind w:left="360" w:hanging="360"/>
      </w:pPr>
      <w:rPr>
        <w:rFonts w:ascii="Symbol" w:hAnsi="Symbol" w:hint="default"/>
        <w:color w:val="0056A9" w:themeColor="accent1"/>
      </w:rPr>
    </w:lvl>
    <w:lvl w:ilvl="1">
      <w:start w:val="1"/>
      <w:numFmt w:val="bullet"/>
      <w:lvlText w:val="o"/>
      <w:lvlJc w:val="left"/>
      <w:pPr>
        <w:ind w:left="720" w:hanging="360"/>
      </w:pPr>
      <w:rPr>
        <w:rFonts w:ascii="Courier New" w:hAnsi="Courier New" w:cs="Courier New" w:hint="default"/>
        <w:color w:val="0056A9"/>
      </w:rPr>
    </w:lvl>
    <w:lvl w:ilvl="2">
      <w:start w:val="1"/>
      <w:numFmt w:val="bullet"/>
      <w:lvlText w:val=""/>
      <w:lvlJc w:val="left"/>
      <w:pPr>
        <w:ind w:left="1080" w:hanging="360"/>
      </w:pPr>
      <w:rPr>
        <w:rFonts w:ascii="Wingdings" w:hAnsi="Wingdings" w:hint="default"/>
        <w:color w:val="0056A9" w:themeColor="accent1"/>
      </w:rPr>
    </w:lvl>
    <w:lvl w:ilvl="3">
      <w:start w:val="1"/>
      <w:numFmt w:val="bullet"/>
      <w:lvlText w:val=""/>
      <w:lvlJc w:val="left"/>
      <w:pPr>
        <w:ind w:left="1440" w:hanging="360"/>
      </w:pPr>
      <w:rPr>
        <w:rFonts w:ascii="Symbol" w:hAnsi="Symbol" w:hint="default"/>
        <w:color w:val="0056A9" w:themeColor="accent1"/>
      </w:rPr>
    </w:lvl>
    <w:lvl w:ilvl="4">
      <w:start w:val="1"/>
      <w:numFmt w:val="bullet"/>
      <w:lvlText w:val="°"/>
      <w:lvlJc w:val="left"/>
      <w:pPr>
        <w:ind w:left="1800" w:hanging="360"/>
      </w:pPr>
      <w:rPr>
        <w:rFonts w:ascii="Verdana" w:hAnsi="Verdana" w:hint="default"/>
        <w:color w:val="0056A9" w:themeColor="accent1"/>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0" w15:restartNumberingAfterBreak="0">
    <w:nsid w:val="6D5C2BA7"/>
    <w:multiLevelType w:val="multilevel"/>
    <w:tmpl w:val="B8D2D770"/>
    <w:lvl w:ilvl="0">
      <w:start w:val="1"/>
      <w:numFmt w:val="bullet"/>
      <w:lvlText w:val=""/>
      <w:lvlJc w:val="left"/>
      <w:pPr>
        <w:ind w:left="360" w:hanging="360"/>
      </w:pPr>
      <w:rPr>
        <w:rFonts w:ascii="Symbol" w:hAnsi="Symbol" w:hint="default"/>
        <w:color w:val="0056A9" w:themeColor="accent1"/>
      </w:rPr>
    </w:lvl>
    <w:lvl w:ilvl="1">
      <w:start w:val="1"/>
      <w:numFmt w:val="bullet"/>
      <w:lvlText w:val="o"/>
      <w:lvlJc w:val="left"/>
      <w:pPr>
        <w:ind w:left="720" w:hanging="360"/>
      </w:pPr>
      <w:rPr>
        <w:rFonts w:ascii="Courier New" w:hAnsi="Courier New" w:cs="Courier New" w:hint="default"/>
        <w:color w:val="0056A9"/>
      </w:rPr>
    </w:lvl>
    <w:lvl w:ilvl="2">
      <w:start w:val="1"/>
      <w:numFmt w:val="bullet"/>
      <w:lvlText w:val=""/>
      <w:lvlJc w:val="left"/>
      <w:pPr>
        <w:ind w:left="1080" w:hanging="360"/>
      </w:pPr>
      <w:rPr>
        <w:rFonts w:ascii="Wingdings" w:hAnsi="Wingdings" w:hint="default"/>
        <w:color w:val="0056A9" w:themeColor="accent1"/>
      </w:rPr>
    </w:lvl>
    <w:lvl w:ilvl="3">
      <w:start w:val="1"/>
      <w:numFmt w:val="bullet"/>
      <w:lvlText w:val=""/>
      <w:lvlJc w:val="left"/>
      <w:pPr>
        <w:ind w:left="1440" w:hanging="360"/>
      </w:pPr>
      <w:rPr>
        <w:rFonts w:ascii="Symbol" w:hAnsi="Symbol" w:hint="default"/>
        <w:color w:val="0056A9" w:themeColor="accent1"/>
      </w:rPr>
    </w:lvl>
    <w:lvl w:ilvl="4">
      <w:start w:val="1"/>
      <w:numFmt w:val="bullet"/>
      <w:lvlText w:val="°"/>
      <w:lvlJc w:val="left"/>
      <w:pPr>
        <w:ind w:left="1800" w:hanging="360"/>
      </w:pPr>
      <w:rPr>
        <w:rFonts w:ascii="Verdana" w:hAnsi="Verdana" w:hint="default"/>
        <w:color w:val="0056A9" w:themeColor="accent1"/>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1" w15:restartNumberingAfterBreak="0">
    <w:nsid w:val="787855FB"/>
    <w:multiLevelType w:val="hybridMultilevel"/>
    <w:tmpl w:val="8C749FAA"/>
    <w:lvl w:ilvl="0" w:tplc="370C3E0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9080315"/>
    <w:multiLevelType w:val="multilevel"/>
    <w:tmpl w:val="6ED2FEFE"/>
    <w:lvl w:ilvl="0">
      <w:start w:val="1"/>
      <w:numFmt w:val="bullet"/>
      <w:lvlText w:val=""/>
      <w:lvlJc w:val="left"/>
      <w:pPr>
        <w:ind w:left="360" w:hanging="360"/>
      </w:pPr>
      <w:rPr>
        <w:rFonts w:ascii="Symbol" w:hAnsi="Symbol" w:hint="default"/>
        <w:color w:val="0056A9" w:themeColor="accent1"/>
      </w:rPr>
    </w:lvl>
    <w:lvl w:ilvl="1">
      <w:start w:val="1"/>
      <w:numFmt w:val="bullet"/>
      <w:lvlText w:val="o"/>
      <w:lvlJc w:val="left"/>
      <w:pPr>
        <w:ind w:left="720" w:hanging="360"/>
      </w:pPr>
      <w:rPr>
        <w:rFonts w:ascii="Courier New" w:hAnsi="Courier New" w:cs="Courier New" w:hint="default"/>
        <w:color w:val="0056A9"/>
      </w:rPr>
    </w:lvl>
    <w:lvl w:ilvl="2">
      <w:start w:val="1"/>
      <w:numFmt w:val="bullet"/>
      <w:lvlText w:val=""/>
      <w:lvlJc w:val="left"/>
      <w:pPr>
        <w:ind w:left="1080" w:hanging="360"/>
      </w:pPr>
      <w:rPr>
        <w:rFonts w:ascii="Wingdings" w:hAnsi="Wingdings" w:hint="default"/>
        <w:color w:val="0056A9" w:themeColor="accent1"/>
      </w:rPr>
    </w:lvl>
    <w:lvl w:ilvl="3">
      <w:start w:val="1"/>
      <w:numFmt w:val="bullet"/>
      <w:lvlText w:val=""/>
      <w:lvlJc w:val="left"/>
      <w:pPr>
        <w:ind w:left="1440" w:hanging="360"/>
      </w:pPr>
      <w:rPr>
        <w:rFonts w:ascii="Symbol" w:hAnsi="Symbol" w:hint="default"/>
        <w:color w:val="0056A9" w:themeColor="accent1"/>
      </w:rPr>
    </w:lvl>
    <w:lvl w:ilvl="4">
      <w:start w:val="1"/>
      <w:numFmt w:val="bullet"/>
      <w:lvlText w:val="°"/>
      <w:lvlJc w:val="left"/>
      <w:pPr>
        <w:ind w:left="1800" w:hanging="360"/>
      </w:pPr>
      <w:rPr>
        <w:rFonts w:ascii="Verdana" w:hAnsi="Verdana" w:hint="default"/>
        <w:color w:val="0056A9" w:themeColor="accent1"/>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3" w15:restartNumberingAfterBreak="0">
    <w:nsid w:val="7AFD11F3"/>
    <w:multiLevelType w:val="multilevel"/>
    <w:tmpl w:val="1C3A27A0"/>
    <w:lvl w:ilvl="0">
      <w:start w:val="1"/>
      <w:numFmt w:val="bullet"/>
      <w:pStyle w:val="ListBullet"/>
      <w:lvlText w:val=""/>
      <w:lvlJc w:val="left"/>
      <w:pPr>
        <w:ind w:left="360" w:hanging="360"/>
      </w:pPr>
      <w:rPr>
        <w:rFonts w:ascii="Symbol" w:hAnsi="Symbol" w:hint="default"/>
        <w:color w:val="0056A9" w:themeColor="accent1"/>
      </w:rPr>
    </w:lvl>
    <w:lvl w:ilvl="1">
      <w:start w:val="1"/>
      <w:numFmt w:val="bullet"/>
      <w:lvlText w:val="–"/>
      <w:lvlJc w:val="left"/>
      <w:pPr>
        <w:ind w:left="720" w:hanging="360"/>
      </w:pPr>
      <w:rPr>
        <w:rFonts w:ascii="Franklin Gothic Book" w:hAnsi="Franklin Gothic Book" w:hint="default"/>
        <w:color w:val="0056A9" w:themeColor="accent1"/>
      </w:rPr>
    </w:lvl>
    <w:lvl w:ilvl="2">
      <w:start w:val="1"/>
      <w:numFmt w:val="bullet"/>
      <w:lvlText w:val=""/>
      <w:lvlJc w:val="left"/>
      <w:pPr>
        <w:ind w:left="1080" w:hanging="360"/>
      </w:pPr>
      <w:rPr>
        <w:rFonts w:ascii="Wingdings" w:hAnsi="Wingdings" w:hint="default"/>
        <w:color w:val="0056A9" w:themeColor="accent1"/>
      </w:rPr>
    </w:lvl>
    <w:lvl w:ilvl="3">
      <w:start w:val="1"/>
      <w:numFmt w:val="bullet"/>
      <w:lvlText w:val=""/>
      <w:lvlJc w:val="left"/>
      <w:pPr>
        <w:ind w:left="1440" w:hanging="360"/>
      </w:pPr>
      <w:rPr>
        <w:rFonts w:ascii="Symbol" w:hAnsi="Symbol" w:hint="default"/>
        <w:color w:val="0056A9" w:themeColor="accent1"/>
      </w:rPr>
    </w:lvl>
    <w:lvl w:ilvl="4">
      <w:start w:val="1"/>
      <w:numFmt w:val="bullet"/>
      <w:lvlText w:val="°"/>
      <w:lvlJc w:val="left"/>
      <w:pPr>
        <w:ind w:left="1800" w:hanging="360"/>
      </w:pPr>
      <w:rPr>
        <w:rFonts w:ascii="Verdana" w:hAnsi="Verdana" w:hint="default"/>
        <w:color w:val="0056A9" w:themeColor="accent1"/>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num w:numId="1" w16cid:durableId="486940803">
    <w:abstractNumId w:val="13"/>
  </w:num>
  <w:num w:numId="2" w16cid:durableId="1782339321">
    <w:abstractNumId w:val="5"/>
  </w:num>
  <w:num w:numId="3" w16cid:durableId="716054315">
    <w:abstractNumId w:val="11"/>
  </w:num>
  <w:num w:numId="4" w16cid:durableId="2038657993">
    <w:abstractNumId w:val="1"/>
  </w:num>
  <w:num w:numId="5" w16cid:durableId="719942542">
    <w:abstractNumId w:val="2"/>
  </w:num>
  <w:num w:numId="6" w16cid:durableId="1337613065">
    <w:abstractNumId w:val="8"/>
  </w:num>
  <w:num w:numId="7" w16cid:durableId="384837945">
    <w:abstractNumId w:val="7"/>
  </w:num>
  <w:num w:numId="8" w16cid:durableId="1372533682">
    <w:abstractNumId w:val="10"/>
  </w:num>
  <w:num w:numId="9" w16cid:durableId="1243105901">
    <w:abstractNumId w:val="3"/>
  </w:num>
  <w:num w:numId="10" w16cid:durableId="536085084">
    <w:abstractNumId w:val="6"/>
  </w:num>
  <w:num w:numId="11" w16cid:durableId="1848447613">
    <w:abstractNumId w:val="0"/>
  </w:num>
  <w:num w:numId="12" w16cid:durableId="1616861798">
    <w:abstractNumId w:val="12"/>
  </w:num>
  <w:num w:numId="13" w16cid:durableId="293365220">
    <w:abstractNumId w:val="4"/>
  </w:num>
  <w:num w:numId="14" w16cid:durableId="106117836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ocumentProtection w:edit="readOnly" w:enforcement="1" w:cryptProviderType="rsaAES" w:cryptAlgorithmClass="hash" w:cryptAlgorithmType="typeAny" w:cryptAlgorithmSid="14" w:cryptSpinCount="100000" w:hash="uD8GivYWvgJ63eswjYPo5RDF1kxyvb9kysP0K8djw4Zx5OYuDpSX0YgCAT00DaGpMCaxaiSMe6igp9itjx2KOw==" w:salt="BsQul+lptl1/ifh3EJ3xSw=="/>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3A65"/>
    <w:rsid w:val="000078D3"/>
    <w:rsid w:val="0003040F"/>
    <w:rsid w:val="00042206"/>
    <w:rsid w:val="0004581E"/>
    <w:rsid w:val="000513DE"/>
    <w:rsid w:val="0005583F"/>
    <w:rsid w:val="0005680C"/>
    <w:rsid w:val="00067C1A"/>
    <w:rsid w:val="000713D2"/>
    <w:rsid w:val="00075AE3"/>
    <w:rsid w:val="000940FB"/>
    <w:rsid w:val="000B2945"/>
    <w:rsid w:val="000B397E"/>
    <w:rsid w:val="000B5A5C"/>
    <w:rsid w:val="000C7AD7"/>
    <w:rsid w:val="000E0386"/>
    <w:rsid w:val="000F05C2"/>
    <w:rsid w:val="00100D2A"/>
    <w:rsid w:val="0010454F"/>
    <w:rsid w:val="00105532"/>
    <w:rsid w:val="00117C51"/>
    <w:rsid w:val="00121300"/>
    <w:rsid w:val="0014335A"/>
    <w:rsid w:val="00146BE0"/>
    <w:rsid w:val="00155B2E"/>
    <w:rsid w:val="001705BC"/>
    <w:rsid w:val="00173823"/>
    <w:rsid w:val="001761D7"/>
    <w:rsid w:val="00181735"/>
    <w:rsid w:val="0018694B"/>
    <w:rsid w:val="00190DCD"/>
    <w:rsid w:val="00191AFD"/>
    <w:rsid w:val="00196860"/>
    <w:rsid w:val="001A1DBC"/>
    <w:rsid w:val="001A2D77"/>
    <w:rsid w:val="001A69C9"/>
    <w:rsid w:val="001B5185"/>
    <w:rsid w:val="001B6C26"/>
    <w:rsid w:val="001C3E75"/>
    <w:rsid w:val="001C3FAC"/>
    <w:rsid w:val="001D5497"/>
    <w:rsid w:val="001E5E7E"/>
    <w:rsid w:val="001F4FAC"/>
    <w:rsid w:val="00201A54"/>
    <w:rsid w:val="0020790F"/>
    <w:rsid w:val="002233DE"/>
    <w:rsid w:val="00232FC1"/>
    <w:rsid w:val="002340C7"/>
    <w:rsid w:val="002376C2"/>
    <w:rsid w:val="002531E4"/>
    <w:rsid w:val="00266C9B"/>
    <w:rsid w:val="00273031"/>
    <w:rsid w:val="002805FC"/>
    <w:rsid w:val="00282B8D"/>
    <w:rsid w:val="00284504"/>
    <w:rsid w:val="00290571"/>
    <w:rsid w:val="00290A05"/>
    <w:rsid w:val="002934DC"/>
    <w:rsid w:val="0029601E"/>
    <w:rsid w:val="002A12D5"/>
    <w:rsid w:val="002A75F2"/>
    <w:rsid w:val="002B1115"/>
    <w:rsid w:val="002C4E44"/>
    <w:rsid w:val="002C57BC"/>
    <w:rsid w:val="002D0309"/>
    <w:rsid w:val="002E6480"/>
    <w:rsid w:val="00305B51"/>
    <w:rsid w:val="003104D8"/>
    <w:rsid w:val="0032481A"/>
    <w:rsid w:val="00336197"/>
    <w:rsid w:val="00340A7D"/>
    <w:rsid w:val="003A3047"/>
    <w:rsid w:val="003A504F"/>
    <w:rsid w:val="003B55D3"/>
    <w:rsid w:val="003D41C5"/>
    <w:rsid w:val="003E1328"/>
    <w:rsid w:val="003F3CC1"/>
    <w:rsid w:val="004112F8"/>
    <w:rsid w:val="0041212D"/>
    <w:rsid w:val="004121A5"/>
    <w:rsid w:val="0042061E"/>
    <w:rsid w:val="004275A0"/>
    <w:rsid w:val="00427DBB"/>
    <w:rsid w:val="00437A34"/>
    <w:rsid w:val="00487276"/>
    <w:rsid w:val="004944B6"/>
    <w:rsid w:val="004A1071"/>
    <w:rsid w:val="004A36AF"/>
    <w:rsid w:val="004B325C"/>
    <w:rsid w:val="004D010E"/>
    <w:rsid w:val="004E496F"/>
    <w:rsid w:val="004E7B23"/>
    <w:rsid w:val="004F32F8"/>
    <w:rsid w:val="004F697B"/>
    <w:rsid w:val="00501A04"/>
    <w:rsid w:val="00510A44"/>
    <w:rsid w:val="005248DB"/>
    <w:rsid w:val="00543543"/>
    <w:rsid w:val="005456F3"/>
    <w:rsid w:val="005555C5"/>
    <w:rsid w:val="005617D1"/>
    <w:rsid w:val="005707A2"/>
    <w:rsid w:val="00582F38"/>
    <w:rsid w:val="00584AA1"/>
    <w:rsid w:val="00596B2A"/>
    <w:rsid w:val="005A5C3A"/>
    <w:rsid w:val="005B114D"/>
    <w:rsid w:val="005C43CB"/>
    <w:rsid w:val="005C47FE"/>
    <w:rsid w:val="005C73B5"/>
    <w:rsid w:val="005D35F1"/>
    <w:rsid w:val="005D638D"/>
    <w:rsid w:val="005D6DBE"/>
    <w:rsid w:val="005D6FD8"/>
    <w:rsid w:val="005E451D"/>
    <w:rsid w:val="005F3743"/>
    <w:rsid w:val="00605935"/>
    <w:rsid w:val="006125F2"/>
    <w:rsid w:val="006258E9"/>
    <w:rsid w:val="00626A92"/>
    <w:rsid w:val="00640ADD"/>
    <w:rsid w:val="0064565C"/>
    <w:rsid w:val="0066063F"/>
    <w:rsid w:val="0067319B"/>
    <w:rsid w:val="00684F78"/>
    <w:rsid w:val="00687A4D"/>
    <w:rsid w:val="006A5A5A"/>
    <w:rsid w:val="006B34EF"/>
    <w:rsid w:val="006C2C0D"/>
    <w:rsid w:val="006D4646"/>
    <w:rsid w:val="006E5163"/>
    <w:rsid w:val="006F54F5"/>
    <w:rsid w:val="0070413E"/>
    <w:rsid w:val="00717D3E"/>
    <w:rsid w:val="0072002A"/>
    <w:rsid w:val="00726827"/>
    <w:rsid w:val="007414D4"/>
    <w:rsid w:val="00744883"/>
    <w:rsid w:val="007524CB"/>
    <w:rsid w:val="00763838"/>
    <w:rsid w:val="00771021"/>
    <w:rsid w:val="007727FC"/>
    <w:rsid w:val="00773D73"/>
    <w:rsid w:val="00781A58"/>
    <w:rsid w:val="00791127"/>
    <w:rsid w:val="00791132"/>
    <w:rsid w:val="007A3B26"/>
    <w:rsid w:val="007B00A8"/>
    <w:rsid w:val="007D1C45"/>
    <w:rsid w:val="007E1FDD"/>
    <w:rsid w:val="007E4B7F"/>
    <w:rsid w:val="00802A30"/>
    <w:rsid w:val="00855426"/>
    <w:rsid w:val="0086528F"/>
    <w:rsid w:val="0087110F"/>
    <w:rsid w:val="008724E4"/>
    <w:rsid w:val="00885A03"/>
    <w:rsid w:val="008905E4"/>
    <w:rsid w:val="00893375"/>
    <w:rsid w:val="0089435E"/>
    <w:rsid w:val="00894429"/>
    <w:rsid w:val="008A1B67"/>
    <w:rsid w:val="008B49EB"/>
    <w:rsid w:val="008F4D37"/>
    <w:rsid w:val="00900F14"/>
    <w:rsid w:val="00915FFB"/>
    <w:rsid w:val="009160AB"/>
    <w:rsid w:val="0091704D"/>
    <w:rsid w:val="00917F65"/>
    <w:rsid w:val="00921345"/>
    <w:rsid w:val="00923092"/>
    <w:rsid w:val="009260DC"/>
    <w:rsid w:val="00936F41"/>
    <w:rsid w:val="00942395"/>
    <w:rsid w:val="00955095"/>
    <w:rsid w:val="00955B93"/>
    <w:rsid w:val="00955C8C"/>
    <w:rsid w:val="00957079"/>
    <w:rsid w:val="00967F5A"/>
    <w:rsid w:val="00976A16"/>
    <w:rsid w:val="00995A37"/>
    <w:rsid w:val="009A3173"/>
    <w:rsid w:val="009B26A3"/>
    <w:rsid w:val="009D6C69"/>
    <w:rsid w:val="009F72F5"/>
    <w:rsid w:val="00A031D0"/>
    <w:rsid w:val="00A07068"/>
    <w:rsid w:val="00A07348"/>
    <w:rsid w:val="00A11091"/>
    <w:rsid w:val="00A166DE"/>
    <w:rsid w:val="00A22F82"/>
    <w:rsid w:val="00A2594C"/>
    <w:rsid w:val="00A44609"/>
    <w:rsid w:val="00A47D0D"/>
    <w:rsid w:val="00A517D8"/>
    <w:rsid w:val="00A55EA0"/>
    <w:rsid w:val="00A60199"/>
    <w:rsid w:val="00A665DF"/>
    <w:rsid w:val="00A71049"/>
    <w:rsid w:val="00A8343C"/>
    <w:rsid w:val="00A858D7"/>
    <w:rsid w:val="00AB28E1"/>
    <w:rsid w:val="00AC6EA3"/>
    <w:rsid w:val="00AD4351"/>
    <w:rsid w:val="00AE1A16"/>
    <w:rsid w:val="00AF6E0E"/>
    <w:rsid w:val="00B23D2A"/>
    <w:rsid w:val="00B35517"/>
    <w:rsid w:val="00B357DD"/>
    <w:rsid w:val="00B406D5"/>
    <w:rsid w:val="00B53346"/>
    <w:rsid w:val="00B5375F"/>
    <w:rsid w:val="00B55323"/>
    <w:rsid w:val="00B572FC"/>
    <w:rsid w:val="00B60B93"/>
    <w:rsid w:val="00B63CB8"/>
    <w:rsid w:val="00B73E6D"/>
    <w:rsid w:val="00B83AC5"/>
    <w:rsid w:val="00B84690"/>
    <w:rsid w:val="00B85D46"/>
    <w:rsid w:val="00B900B0"/>
    <w:rsid w:val="00B90234"/>
    <w:rsid w:val="00B92DCC"/>
    <w:rsid w:val="00B93EDB"/>
    <w:rsid w:val="00BC3EA5"/>
    <w:rsid w:val="00BD2218"/>
    <w:rsid w:val="00BD7E0B"/>
    <w:rsid w:val="00BE343C"/>
    <w:rsid w:val="00BE5815"/>
    <w:rsid w:val="00C02127"/>
    <w:rsid w:val="00C072EE"/>
    <w:rsid w:val="00C10F1E"/>
    <w:rsid w:val="00C1463A"/>
    <w:rsid w:val="00C27E67"/>
    <w:rsid w:val="00C31BC5"/>
    <w:rsid w:val="00C35F87"/>
    <w:rsid w:val="00C61B45"/>
    <w:rsid w:val="00C716A8"/>
    <w:rsid w:val="00C7776C"/>
    <w:rsid w:val="00C923ED"/>
    <w:rsid w:val="00CB2EDF"/>
    <w:rsid w:val="00CB2FFC"/>
    <w:rsid w:val="00CC00DC"/>
    <w:rsid w:val="00CD31E5"/>
    <w:rsid w:val="00CE1E5E"/>
    <w:rsid w:val="00CE2B96"/>
    <w:rsid w:val="00CE6A5A"/>
    <w:rsid w:val="00CF0FA4"/>
    <w:rsid w:val="00CF708E"/>
    <w:rsid w:val="00D009CF"/>
    <w:rsid w:val="00D04F17"/>
    <w:rsid w:val="00D058C9"/>
    <w:rsid w:val="00D07333"/>
    <w:rsid w:val="00D11322"/>
    <w:rsid w:val="00D4473A"/>
    <w:rsid w:val="00D4698A"/>
    <w:rsid w:val="00D46BC3"/>
    <w:rsid w:val="00D47E60"/>
    <w:rsid w:val="00D52D93"/>
    <w:rsid w:val="00D5306D"/>
    <w:rsid w:val="00D55ED5"/>
    <w:rsid w:val="00D57B8C"/>
    <w:rsid w:val="00D63FA5"/>
    <w:rsid w:val="00D64095"/>
    <w:rsid w:val="00D641FB"/>
    <w:rsid w:val="00D6726E"/>
    <w:rsid w:val="00D73CA9"/>
    <w:rsid w:val="00D91549"/>
    <w:rsid w:val="00D97F7A"/>
    <w:rsid w:val="00DA2D59"/>
    <w:rsid w:val="00DA50F8"/>
    <w:rsid w:val="00DB6A6F"/>
    <w:rsid w:val="00DC2FB7"/>
    <w:rsid w:val="00DC3074"/>
    <w:rsid w:val="00DD5129"/>
    <w:rsid w:val="00DE6ED5"/>
    <w:rsid w:val="00DF567A"/>
    <w:rsid w:val="00E03A65"/>
    <w:rsid w:val="00E04EB5"/>
    <w:rsid w:val="00E15C1E"/>
    <w:rsid w:val="00E15D9F"/>
    <w:rsid w:val="00E243EE"/>
    <w:rsid w:val="00E302A4"/>
    <w:rsid w:val="00E33825"/>
    <w:rsid w:val="00E47D85"/>
    <w:rsid w:val="00E50774"/>
    <w:rsid w:val="00E5205E"/>
    <w:rsid w:val="00E614AC"/>
    <w:rsid w:val="00E64227"/>
    <w:rsid w:val="00E75EDD"/>
    <w:rsid w:val="00E824A0"/>
    <w:rsid w:val="00E83835"/>
    <w:rsid w:val="00EB0613"/>
    <w:rsid w:val="00EE6DDC"/>
    <w:rsid w:val="00EF28CA"/>
    <w:rsid w:val="00EF7847"/>
    <w:rsid w:val="00F11034"/>
    <w:rsid w:val="00F22C28"/>
    <w:rsid w:val="00F33550"/>
    <w:rsid w:val="00F35F29"/>
    <w:rsid w:val="00F44653"/>
    <w:rsid w:val="00F53357"/>
    <w:rsid w:val="00F63F58"/>
    <w:rsid w:val="00F952C3"/>
    <w:rsid w:val="00FB18D8"/>
    <w:rsid w:val="00FB2ADC"/>
    <w:rsid w:val="00FB2FFC"/>
    <w:rsid w:val="00FB3F6D"/>
    <w:rsid w:val="00FC4A49"/>
    <w:rsid w:val="00FF4496"/>
    <w:rsid w:val="00FF7B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D6345B"/>
  <w15:chartTrackingRefBased/>
  <w15:docId w15:val="{A3F00EB9-94D3-4BEA-96EC-AA864A148B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3357"/>
    <w:pPr>
      <w:spacing w:after="200" w:line="360" w:lineRule="auto"/>
    </w:pPr>
    <w:rPr>
      <w:color w:val="000000" w:themeColor="text1"/>
    </w:rPr>
  </w:style>
  <w:style w:type="paragraph" w:styleId="Heading1">
    <w:name w:val="heading 1"/>
    <w:basedOn w:val="Normal"/>
    <w:next w:val="Normal"/>
    <w:link w:val="Heading1Char"/>
    <w:uiPriority w:val="9"/>
    <w:qFormat/>
    <w:rsid w:val="00967F5A"/>
    <w:pPr>
      <w:keepNext/>
      <w:keepLines/>
      <w:spacing w:before="240" w:after="0"/>
      <w:outlineLvl w:val="0"/>
    </w:pPr>
    <w:rPr>
      <w:rFonts w:asciiTheme="majorHAnsi" w:eastAsiaTheme="majorEastAsia" w:hAnsiTheme="majorHAnsi" w:cstheme="majorBidi"/>
      <w:b/>
      <w:color w:val="0056A9" w:themeColor="accent1"/>
      <w:sz w:val="28"/>
      <w:szCs w:val="32"/>
    </w:rPr>
  </w:style>
  <w:style w:type="paragraph" w:styleId="Heading2">
    <w:name w:val="heading 2"/>
    <w:basedOn w:val="Normal"/>
    <w:next w:val="Normal"/>
    <w:link w:val="Heading2Char"/>
    <w:autoRedefine/>
    <w:uiPriority w:val="9"/>
    <w:unhideWhenUsed/>
    <w:qFormat/>
    <w:rsid w:val="009D6C69"/>
    <w:pPr>
      <w:keepNext/>
      <w:keepLines/>
      <w:spacing w:before="240" w:after="0"/>
      <w:outlineLvl w:val="1"/>
    </w:pPr>
    <w:rPr>
      <w:rFonts w:asciiTheme="majorHAnsi" w:eastAsiaTheme="majorEastAsia" w:hAnsiTheme="majorHAnsi" w:cstheme="majorBidi"/>
      <w:b/>
      <w:color w:val="0056A9" w:themeColor="accent1"/>
      <w:sz w:val="32"/>
      <w:szCs w:val="26"/>
    </w:rPr>
  </w:style>
  <w:style w:type="paragraph" w:styleId="Heading3">
    <w:name w:val="heading 3"/>
    <w:basedOn w:val="Normal"/>
    <w:next w:val="Normal"/>
    <w:link w:val="Heading3Char"/>
    <w:uiPriority w:val="9"/>
    <w:unhideWhenUsed/>
    <w:qFormat/>
    <w:rsid w:val="00F53357"/>
    <w:pPr>
      <w:keepNext/>
      <w:keepLines/>
      <w:spacing w:before="40" w:after="0"/>
      <w:outlineLvl w:val="2"/>
    </w:pPr>
    <w:rPr>
      <w:rFonts w:asciiTheme="majorHAnsi" w:eastAsiaTheme="majorEastAsia" w:hAnsiTheme="majorHAnsi" w:cstheme="majorBidi"/>
      <w:b/>
      <w:color w:val="002E69" w:themeColor="accent5"/>
    </w:rPr>
  </w:style>
  <w:style w:type="paragraph" w:styleId="Heading4">
    <w:name w:val="heading 4"/>
    <w:basedOn w:val="Normal"/>
    <w:next w:val="Normal"/>
    <w:link w:val="Heading4Char"/>
    <w:uiPriority w:val="9"/>
    <w:unhideWhenUsed/>
    <w:qFormat/>
    <w:rsid w:val="00F53357"/>
    <w:pPr>
      <w:keepNext/>
      <w:keepLines/>
      <w:spacing w:before="40" w:after="0"/>
      <w:outlineLvl w:val="3"/>
    </w:pPr>
    <w:rPr>
      <w:rFonts w:asciiTheme="majorHAnsi" w:eastAsiaTheme="majorEastAsia" w:hAnsiTheme="majorHAnsi" w:cstheme="majorBidi"/>
      <w:b/>
      <w:i/>
      <w:iCs/>
      <w:color w:val="002E69" w:themeColor="accent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rsid w:val="00F63F58"/>
    <w:rPr>
      <w:color w:val="000000" w:themeColor="text1"/>
      <w:sz w:val="20"/>
    </w:rPr>
  </w:style>
  <w:style w:type="character" w:customStyle="1" w:styleId="Heading1Char">
    <w:name w:val="Heading 1 Char"/>
    <w:basedOn w:val="DefaultParagraphFont"/>
    <w:link w:val="Heading1"/>
    <w:uiPriority w:val="9"/>
    <w:rsid w:val="00967F5A"/>
    <w:rPr>
      <w:rFonts w:asciiTheme="majorHAnsi" w:eastAsiaTheme="majorEastAsia" w:hAnsiTheme="majorHAnsi" w:cstheme="majorBidi"/>
      <w:b/>
      <w:color w:val="0056A9" w:themeColor="accent1"/>
      <w:sz w:val="28"/>
      <w:szCs w:val="32"/>
    </w:rPr>
  </w:style>
  <w:style w:type="character" w:customStyle="1" w:styleId="Heading2Char">
    <w:name w:val="Heading 2 Char"/>
    <w:basedOn w:val="DefaultParagraphFont"/>
    <w:link w:val="Heading2"/>
    <w:uiPriority w:val="9"/>
    <w:rsid w:val="009D6C69"/>
    <w:rPr>
      <w:rFonts w:asciiTheme="majorHAnsi" w:eastAsiaTheme="majorEastAsia" w:hAnsiTheme="majorHAnsi" w:cstheme="majorBidi"/>
      <w:b/>
      <w:color w:val="0056A9" w:themeColor="accent1"/>
      <w:sz w:val="32"/>
      <w:szCs w:val="26"/>
    </w:rPr>
  </w:style>
  <w:style w:type="paragraph" w:styleId="ListParagraph">
    <w:name w:val="List Paragraph"/>
    <w:basedOn w:val="Normal"/>
    <w:uiPriority w:val="34"/>
    <w:qFormat/>
    <w:rsid w:val="00437A34"/>
    <w:pPr>
      <w:spacing w:before="120"/>
      <w:ind w:left="720"/>
      <w:contextualSpacing/>
    </w:pPr>
  </w:style>
  <w:style w:type="paragraph" w:styleId="Header">
    <w:name w:val="header"/>
    <w:basedOn w:val="Normal"/>
    <w:link w:val="HeaderChar"/>
    <w:uiPriority w:val="99"/>
    <w:unhideWhenUsed/>
    <w:rsid w:val="001705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05BC"/>
    <w:rPr>
      <w:color w:val="000000" w:themeColor="text1"/>
      <w:sz w:val="20"/>
    </w:rPr>
  </w:style>
  <w:style w:type="paragraph" w:styleId="Footer">
    <w:name w:val="footer"/>
    <w:basedOn w:val="Normal"/>
    <w:link w:val="FooterChar"/>
    <w:uiPriority w:val="99"/>
    <w:unhideWhenUsed/>
    <w:rsid w:val="001705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05BC"/>
    <w:rPr>
      <w:color w:val="000000" w:themeColor="text1"/>
      <w:sz w:val="20"/>
    </w:rPr>
  </w:style>
  <w:style w:type="character" w:customStyle="1" w:styleId="Heading3Char">
    <w:name w:val="Heading 3 Char"/>
    <w:basedOn w:val="DefaultParagraphFont"/>
    <w:link w:val="Heading3"/>
    <w:uiPriority w:val="9"/>
    <w:rsid w:val="00F53357"/>
    <w:rPr>
      <w:rFonts w:asciiTheme="majorHAnsi" w:eastAsiaTheme="majorEastAsia" w:hAnsiTheme="majorHAnsi" w:cstheme="majorBidi"/>
      <w:b/>
      <w:color w:val="002E69" w:themeColor="accent5"/>
    </w:rPr>
  </w:style>
  <w:style w:type="character" w:customStyle="1" w:styleId="Heading4Char">
    <w:name w:val="Heading 4 Char"/>
    <w:basedOn w:val="DefaultParagraphFont"/>
    <w:link w:val="Heading4"/>
    <w:uiPriority w:val="9"/>
    <w:rsid w:val="00F53357"/>
    <w:rPr>
      <w:rFonts w:asciiTheme="majorHAnsi" w:eastAsiaTheme="majorEastAsia" w:hAnsiTheme="majorHAnsi" w:cstheme="majorBidi"/>
      <w:b/>
      <w:i/>
      <w:iCs/>
      <w:color w:val="002E69" w:themeColor="accent5"/>
    </w:rPr>
  </w:style>
  <w:style w:type="paragraph" w:styleId="ListBullet">
    <w:name w:val="List Bullet"/>
    <w:basedOn w:val="Normal"/>
    <w:uiPriority w:val="1"/>
    <w:qFormat/>
    <w:rsid w:val="00E50774"/>
    <w:pPr>
      <w:numPr>
        <w:numId w:val="1"/>
      </w:numPr>
      <w:contextualSpacing/>
    </w:pPr>
    <w:rPr>
      <w:rFonts w:ascii="Verdana" w:eastAsia="MS Mincho" w:hAnsi="Verdana" w:cs="Times New Roman"/>
      <w:color w:val="000000"/>
      <w:kern w:val="0"/>
      <w:szCs w:val="22"/>
      <w14:ligatures w14:val="none"/>
    </w:rPr>
  </w:style>
  <w:style w:type="paragraph" w:styleId="FootnoteText">
    <w:name w:val="footnote text"/>
    <w:basedOn w:val="Normal"/>
    <w:link w:val="FootnoteTextChar"/>
    <w:uiPriority w:val="99"/>
    <w:semiHidden/>
    <w:unhideWhenUsed/>
    <w:rsid w:val="005456F3"/>
    <w:pPr>
      <w:spacing w:after="0" w:line="240" w:lineRule="auto"/>
    </w:pPr>
    <w:rPr>
      <w:rFonts w:ascii="Arial" w:hAnsi="Arial"/>
      <w:color w:val="auto"/>
      <w:kern w:val="0"/>
      <w:sz w:val="20"/>
      <w:szCs w:val="20"/>
      <w14:ligatures w14:val="none"/>
    </w:rPr>
  </w:style>
  <w:style w:type="character" w:customStyle="1" w:styleId="FootnoteTextChar">
    <w:name w:val="Footnote Text Char"/>
    <w:basedOn w:val="DefaultParagraphFont"/>
    <w:link w:val="FootnoteText"/>
    <w:uiPriority w:val="99"/>
    <w:semiHidden/>
    <w:rsid w:val="005456F3"/>
    <w:rPr>
      <w:rFonts w:ascii="Arial" w:hAnsi="Arial"/>
      <w:kern w:val="0"/>
      <w:sz w:val="20"/>
      <w:szCs w:val="20"/>
      <w14:ligatures w14:val="none"/>
    </w:rPr>
  </w:style>
  <w:style w:type="character" w:styleId="FootnoteReference">
    <w:name w:val="footnote reference"/>
    <w:basedOn w:val="DefaultParagraphFont"/>
    <w:uiPriority w:val="99"/>
    <w:semiHidden/>
    <w:unhideWhenUsed/>
    <w:rsid w:val="005456F3"/>
    <w:rPr>
      <w:vertAlign w:val="superscript"/>
    </w:rPr>
  </w:style>
  <w:style w:type="character" w:styleId="Hyperlink">
    <w:name w:val="Hyperlink"/>
    <w:unhideWhenUsed/>
    <w:rsid w:val="005456F3"/>
    <w:rPr>
      <w:color w:val="0000FF"/>
      <w:u w:val="single"/>
    </w:rPr>
  </w:style>
  <w:style w:type="table" w:styleId="TableGrid">
    <w:name w:val="Table Grid"/>
    <w:basedOn w:val="TableNormal"/>
    <w:uiPriority w:val="39"/>
    <w:rsid w:val="003F3C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3-Accent1">
    <w:name w:val="List Table 3 Accent 1"/>
    <w:basedOn w:val="TableNormal"/>
    <w:uiPriority w:val="48"/>
    <w:rsid w:val="002D0309"/>
    <w:tblPr>
      <w:tblStyleRowBandSize w:val="1"/>
      <w:tblStyleColBandSize w:val="1"/>
      <w:tblBorders>
        <w:top w:val="single" w:sz="4" w:space="0" w:color="0056A9" w:themeColor="accent1"/>
        <w:left w:val="single" w:sz="4" w:space="0" w:color="0056A9" w:themeColor="accent1"/>
        <w:bottom w:val="single" w:sz="4" w:space="0" w:color="0056A9" w:themeColor="accent1"/>
        <w:right w:val="single" w:sz="4" w:space="0" w:color="0056A9" w:themeColor="accent1"/>
      </w:tblBorders>
    </w:tblPr>
    <w:tblStylePr w:type="firstRow">
      <w:rPr>
        <w:b/>
        <w:bCs/>
        <w:color w:val="FFFFFF" w:themeColor="background1"/>
      </w:rPr>
      <w:tblPr/>
      <w:tcPr>
        <w:shd w:val="clear" w:color="auto" w:fill="0056A9" w:themeFill="accent1"/>
      </w:tcPr>
    </w:tblStylePr>
    <w:tblStylePr w:type="lastRow">
      <w:rPr>
        <w:b/>
        <w:bCs/>
      </w:rPr>
      <w:tblPr/>
      <w:tcPr>
        <w:tcBorders>
          <w:top w:val="double" w:sz="4" w:space="0" w:color="0056A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56A9" w:themeColor="accent1"/>
          <w:right w:val="single" w:sz="4" w:space="0" w:color="0056A9" w:themeColor="accent1"/>
        </w:tcBorders>
      </w:tcPr>
    </w:tblStylePr>
    <w:tblStylePr w:type="band1Horz">
      <w:tblPr/>
      <w:tcPr>
        <w:tcBorders>
          <w:top w:val="single" w:sz="4" w:space="0" w:color="0056A9" w:themeColor="accent1"/>
          <w:bottom w:val="single" w:sz="4" w:space="0" w:color="0056A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6A9" w:themeColor="accent1"/>
          <w:left w:val="nil"/>
        </w:tcBorders>
      </w:tcPr>
    </w:tblStylePr>
    <w:tblStylePr w:type="swCell">
      <w:tblPr/>
      <w:tcPr>
        <w:tcBorders>
          <w:top w:val="double" w:sz="4" w:space="0" w:color="0056A9" w:themeColor="accent1"/>
          <w:right w:val="nil"/>
        </w:tcBorders>
      </w:tcPr>
    </w:tblStylePr>
  </w:style>
  <w:style w:type="paragraph" w:customStyle="1" w:styleId="CHTabletextleft">
    <w:name w:val="CH_Table text left"/>
    <w:basedOn w:val="Normal"/>
    <w:qFormat/>
    <w:rsid w:val="000078D3"/>
    <w:pPr>
      <w:keepNext/>
      <w:keepLines/>
      <w:autoSpaceDE w:val="0"/>
      <w:autoSpaceDN w:val="0"/>
      <w:adjustRightInd w:val="0"/>
      <w:spacing w:after="0" w:line="240" w:lineRule="auto"/>
    </w:pPr>
    <w:rPr>
      <w:rFonts w:ascii="Arial" w:hAnsi="Arial" w:cstheme="minorHAnsi"/>
      <w:bCs/>
      <w:color w:val="auto"/>
      <w:kern w:val="0"/>
      <w:sz w:val="20"/>
      <w:szCs w:val="22"/>
      <w14:ligatures w14:val="none"/>
    </w:rPr>
  </w:style>
  <w:style w:type="character" w:styleId="CommentReference">
    <w:name w:val="annotation reference"/>
    <w:basedOn w:val="DefaultParagraphFont"/>
    <w:uiPriority w:val="99"/>
    <w:semiHidden/>
    <w:unhideWhenUsed/>
    <w:rsid w:val="00D63FA5"/>
    <w:rPr>
      <w:sz w:val="16"/>
      <w:szCs w:val="16"/>
    </w:rPr>
  </w:style>
  <w:style w:type="paragraph" w:styleId="CommentText">
    <w:name w:val="annotation text"/>
    <w:basedOn w:val="Normal"/>
    <w:link w:val="CommentTextChar"/>
    <w:uiPriority w:val="99"/>
    <w:unhideWhenUsed/>
    <w:rsid w:val="00D63FA5"/>
    <w:pPr>
      <w:spacing w:line="240" w:lineRule="auto"/>
    </w:pPr>
    <w:rPr>
      <w:sz w:val="20"/>
      <w:szCs w:val="20"/>
    </w:rPr>
  </w:style>
  <w:style w:type="character" w:customStyle="1" w:styleId="CommentTextChar">
    <w:name w:val="Comment Text Char"/>
    <w:basedOn w:val="DefaultParagraphFont"/>
    <w:link w:val="CommentText"/>
    <w:uiPriority w:val="99"/>
    <w:rsid w:val="00D63FA5"/>
    <w:rPr>
      <w:color w:val="000000" w:themeColor="text1"/>
      <w:sz w:val="20"/>
      <w:szCs w:val="20"/>
    </w:rPr>
  </w:style>
  <w:style w:type="paragraph" w:styleId="CommentSubject">
    <w:name w:val="annotation subject"/>
    <w:basedOn w:val="CommentText"/>
    <w:next w:val="CommentText"/>
    <w:link w:val="CommentSubjectChar"/>
    <w:uiPriority w:val="99"/>
    <w:semiHidden/>
    <w:unhideWhenUsed/>
    <w:rsid w:val="00D63FA5"/>
    <w:rPr>
      <w:b/>
      <w:bCs/>
    </w:rPr>
  </w:style>
  <w:style w:type="character" w:customStyle="1" w:styleId="CommentSubjectChar">
    <w:name w:val="Comment Subject Char"/>
    <w:basedOn w:val="CommentTextChar"/>
    <w:link w:val="CommentSubject"/>
    <w:uiPriority w:val="99"/>
    <w:semiHidden/>
    <w:rsid w:val="00D63FA5"/>
    <w:rPr>
      <w:b/>
      <w:bCs/>
      <w:color w:val="000000" w:themeColor="text1"/>
      <w:sz w:val="20"/>
      <w:szCs w:val="20"/>
    </w:rPr>
  </w:style>
  <w:style w:type="paragraph" w:styleId="Caption">
    <w:name w:val="caption"/>
    <w:basedOn w:val="Normal"/>
    <w:next w:val="Normal"/>
    <w:uiPriority w:val="35"/>
    <w:unhideWhenUsed/>
    <w:qFormat/>
    <w:rsid w:val="00CB2EDF"/>
    <w:pPr>
      <w:spacing w:line="240" w:lineRule="auto"/>
    </w:pPr>
    <w:rPr>
      <w:i/>
      <w:iCs/>
      <w:color w:val="000000" w:themeColor="text2"/>
      <w:sz w:val="18"/>
      <w:szCs w:val="18"/>
    </w:rPr>
  </w:style>
  <w:style w:type="paragraph" w:customStyle="1" w:styleId="TableHeadingSingle">
    <w:name w:val="Table Heading (Single"/>
    <w:aliases w:val="No Space After)"/>
    <w:basedOn w:val="Normal"/>
    <w:rsid w:val="0004581E"/>
    <w:pPr>
      <w:framePr w:wrap="around" w:vAnchor="text" w:hAnchor="text" w:y="1"/>
      <w:spacing w:after="0" w:line="240" w:lineRule="auto"/>
      <w:suppressOverlap/>
    </w:pPr>
    <w:rPr>
      <w:rFonts w:asciiTheme="majorHAnsi" w:hAnsiTheme="majorHAnsi"/>
      <w:b/>
      <w:color w:val="FFFFFF" w:themeColor="background1"/>
      <w:szCs w:val="20"/>
    </w:rPr>
  </w:style>
  <w:style w:type="table" w:customStyle="1" w:styleId="ATFTxDOTTable">
    <w:name w:val="ATF TxDOT Table"/>
    <w:basedOn w:val="TableNormal"/>
    <w:uiPriority w:val="99"/>
    <w:rsid w:val="0004581E"/>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Pr>
    <w:tcPr>
      <w:vAlign w:val="center"/>
    </w:tcPr>
    <w:tblStylePr w:type="firstRow">
      <w:rPr>
        <w:b/>
        <w:color w:val="FFFFFF" w:themeColor="background1"/>
      </w:rPr>
      <w:tblPr/>
      <w:tcPr>
        <w:shd w:val="clear" w:color="auto" w:fill="0056A9" w:themeFill="accent1"/>
      </w:tcPr>
    </w:tblStylePr>
    <w:tblStylePr w:type="band1Horz">
      <w:tblPr/>
      <w:tcPr>
        <w:shd w:val="clear" w:color="auto" w:fill="FFFFFF" w:themeFill="background1"/>
      </w:tcPr>
    </w:tblStylePr>
    <w:tblStylePr w:type="band2Horz">
      <w:tblPr/>
      <w:tcPr>
        <w:shd w:val="clear" w:color="auto" w:fill="DADEE5"/>
      </w:tcPr>
    </w:tblStylePr>
  </w:style>
  <w:style w:type="paragraph" w:customStyle="1" w:styleId="TableNormalNoSpaceAfter">
    <w:name w:val="Table Normal (No Space After)"/>
    <w:basedOn w:val="Normal"/>
    <w:rsid w:val="0004581E"/>
    <w:pPr>
      <w:spacing w:after="0"/>
    </w:pPr>
    <w:rPr>
      <w:color w:val="auto"/>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txdot-brand-template-microsoft-theme">
  <a:themeElements>
    <a:clrScheme name="TxDOT Template Color Scheme">
      <a:dk1>
        <a:srgbClr val="000000"/>
      </a:dk1>
      <a:lt1>
        <a:srgbClr val="FFFFFF"/>
      </a:lt1>
      <a:dk2>
        <a:srgbClr val="000000"/>
      </a:dk2>
      <a:lt2>
        <a:srgbClr val="EBEBEB"/>
      </a:lt2>
      <a:accent1>
        <a:srgbClr val="0056A9"/>
      </a:accent1>
      <a:accent2>
        <a:srgbClr val="D90D0D"/>
      </a:accent2>
      <a:accent3>
        <a:srgbClr val="196533"/>
      </a:accent3>
      <a:accent4>
        <a:srgbClr val="5F0F40"/>
      </a:accent4>
      <a:accent5>
        <a:srgbClr val="002E69"/>
      </a:accent5>
      <a:accent6>
        <a:srgbClr val="333F48"/>
      </a:accent6>
      <a:hlink>
        <a:srgbClr val="0056A9"/>
      </a:hlink>
      <a:folHlink>
        <a:srgbClr val="5F0F40"/>
      </a:folHlink>
    </a:clrScheme>
    <a:fontScheme name="TxDOT Template fonts">
      <a:majorFont>
        <a:latin typeface="Verdana Bold"/>
        <a:ea typeface=""/>
        <a:cs typeface=""/>
      </a:majorFont>
      <a:minorFont>
        <a:latin typeface="Verdana"/>
        <a:ea typeface=""/>
        <a:cs typeface=""/>
      </a:minorFont>
    </a:fontScheme>
    <a:fmtScheme name="Office Them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txdot-brand-template-microsoft-theme" id="{C26E1BF5-F8BE-4F71-85B1-218D4EC69D9E}" vid="{E6DCCC63-DDF4-4C00-AD5C-6EBC44B9848C}"/>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7A273E4B2CEC442B741A59F4CE8D246" ma:contentTypeVersion="4" ma:contentTypeDescription="Create a new document." ma:contentTypeScope="" ma:versionID="326917fec7ca0f1eb4629dbcc535e03b">
  <xsd:schema xmlns:xsd="http://www.w3.org/2001/XMLSchema" xmlns:xs="http://www.w3.org/2001/XMLSchema" xmlns:p="http://schemas.microsoft.com/office/2006/metadata/properties" xmlns:ns2="7fef7c20-eb6f-4e1b-9e04-31bde27da1d8" targetNamespace="http://schemas.microsoft.com/office/2006/metadata/properties" ma:root="true" ma:fieldsID="d320b08fe7505aca5cb9f3842aefa13e" ns2:_="">
    <xsd:import namespace="7fef7c20-eb6f-4e1b-9e04-31bde27da1d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ef7c20-eb6f-4e1b-9e04-31bde27da1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BillingMetadata" ma:index="11"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2BF6F3C-5175-4ED5-ABB2-50FAFC4BD799}"/>
</file>

<file path=customXml/itemProps2.xml><?xml version="1.0" encoding="utf-8"?>
<ds:datastoreItem xmlns:ds="http://schemas.openxmlformats.org/officeDocument/2006/customXml" ds:itemID="{FCDE3115-644F-4C41-8C77-9ABF1A05B754}">
  <ds:schemaRefs>
    <ds:schemaRef ds:uri="http://schemas.microsoft.com/sharepoint/v3/contenttype/forms"/>
  </ds:schemaRefs>
</ds:datastoreItem>
</file>

<file path=customXml/itemProps3.xml><?xml version="1.0" encoding="utf-8"?>
<ds:datastoreItem xmlns:ds="http://schemas.openxmlformats.org/officeDocument/2006/customXml" ds:itemID="{354487C1-0562-40A6-9E6F-583F926DFDEC}">
  <ds:schemaRefs>
    <ds:schemaRef ds:uri="http://schemas.openxmlformats.org/officeDocument/2006/bibliography"/>
  </ds:schemaRefs>
</ds:datastoreItem>
</file>

<file path=customXml/itemProps4.xml><?xml version="1.0" encoding="utf-8"?>
<ds:datastoreItem xmlns:ds="http://schemas.openxmlformats.org/officeDocument/2006/customXml" ds:itemID="{2238030A-1151-48DB-8A23-26F7EDCC7F4A}">
  <ds:schemaRefs>
    <ds:schemaRef ds:uri="http://purl.org/dc/elements/1.1/"/>
    <ds:schemaRef ds:uri="http://schemas.microsoft.com/office/2006/metadata/properties"/>
    <ds:schemaRef ds:uri="7fef7c20-eb6f-4e1b-9e04-31bde27da1d8"/>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1038</TotalTime>
  <Pages>7</Pages>
  <Words>795</Words>
  <Characters>4536</Characters>
  <Application>Microsoft Office Word</Application>
  <DocSecurity>8</DocSecurity>
  <Lines>37</Lines>
  <Paragraphs>10</Paragraphs>
  <ScaleCrop>false</ScaleCrop>
  <HeadingPairs>
    <vt:vector size="2" baseType="variant">
      <vt:variant>
        <vt:lpstr>Title</vt:lpstr>
      </vt:variant>
      <vt:variant>
        <vt:i4>1</vt:i4>
      </vt:variant>
    </vt:vector>
  </HeadingPairs>
  <TitlesOfParts>
    <vt:vector size="1" baseType="lpstr">
      <vt:lpstr>Guidance: List of Projects that Do Not Require Review or Coordination for Archeological Compliance</vt:lpstr>
    </vt:vector>
  </TitlesOfParts>
  <Company/>
  <LinksUpToDate>false</LinksUpToDate>
  <CharactersWithSpaces>5321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Guidance: List of Projects that Do Not Require Review or Coordination for Archeological Compliance</dc:title>
  <dc:subject>Identifies the project types that do not require review or coordination for compliance with laws and regulations regarding archeological sites. The guidance comes from existing TxDOT agreements with regulatory agencies.</dc:subject>
  <dc:creator>TxDOT</dc:creator>
  <cp:keywords>410-02-gui; guidance; archeology; project list</cp:keywords>
  <dc:description>Word; Accessibility; Template</dc:description>
  <cp:lastModifiedBy>Elisa Garcia</cp:lastModifiedBy>
  <cp:revision>110</cp:revision>
  <dcterms:created xsi:type="dcterms:W3CDTF">2025-12-29T19:50:00Z</dcterms:created>
  <dcterms:modified xsi:type="dcterms:W3CDTF">2026-02-13T19:12:00Z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0x010100C7A273E4B2CEC442B741A59F4CE8D246</vt:lpwstr>
  </property>
  <property fmtid="{D5CDD505-2E9C-101B-9397-08002B2CF9AE}" pid="3" name="MediaServiceImageTags">
    <vt:lpwstr/>
  </property>
</Properties>
</file>