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4894E" w14:textId="77777777" w:rsidR="00020E5C" w:rsidRPr="00020E5C" w:rsidRDefault="00020E5C" w:rsidP="00020E5C">
      <w:pPr>
        <w:pStyle w:val="NormalSingleSpaceNoSpaceAfter"/>
      </w:pPr>
    </w:p>
    <w:p w14:paraId="21747278" w14:textId="77777777" w:rsidR="004D3590" w:rsidRDefault="000B67B1" w:rsidP="004D3590">
      <w:pPr>
        <w:pStyle w:val="CVRTxDOTLogoSpacing"/>
      </w:pPr>
      <w:r>
        <w:drawing>
          <wp:inline distT="0" distB="0" distL="0" distR="0" wp14:anchorId="610877BD" wp14:editId="1CE678CF">
            <wp:extent cx="1164253" cy="866575"/>
            <wp:effectExtent l="0" t="0" r="0" b="0"/>
            <wp:docPr id="1385068735"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068735" name="Graphic 1" descr="Texas Department of Transportation logo"/>
                    <pic:cNvPicPr/>
                  </pic:nvPicPr>
                  <pic:blipFill>
                    <a:blip r:embed="rId11">
                      <a:extLst>
                        <a:ext uri="{96DAC541-7B7A-43D3-8B79-37D633B846F1}">
                          <asvg:svgBlip xmlns:asvg="http://schemas.microsoft.com/office/drawing/2016/SVG/main" r:embed="rId12"/>
                        </a:ext>
                      </a:extLst>
                    </a:blip>
                    <a:stretch>
                      <a:fillRect/>
                    </a:stretch>
                  </pic:blipFill>
                  <pic:spPr>
                    <a:xfrm>
                      <a:off x="0" y="0"/>
                      <a:ext cx="1164253" cy="866575"/>
                    </a:xfrm>
                    <a:prstGeom prst="rect">
                      <a:avLst/>
                    </a:prstGeom>
                  </pic:spPr>
                </pic:pic>
              </a:graphicData>
            </a:graphic>
          </wp:inline>
        </w:drawing>
      </w:r>
    </w:p>
    <w:p w14:paraId="0B582643" w14:textId="4A347066" w:rsidR="004D3590" w:rsidRPr="009404DE" w:rsidRDefault="00537FDD" w:rsidP="004D3590">
      <w:pPr>
        <w:pStyle w:val="Heading1"/>
        <w:ind w:left="1260" w:right="1260"/>
      </w:pPr>
      <w:r>
        <w:t>Instructions: Completing Project Coordination Request for Historical Studies</w:t>
      </w:r>
    </w:p>
    <w:p w14:paraId="4FC08273" w14:textId="32B0FB17" w:rsidR="00FE5D65" w:rsidRDefault="004D3590" w:rsidP="001C12E5">
      <w:pPr>
        <w:pStyle w:val="CoverPageNormal"/>
        <w:sectPr w:rsidR="00FE5D65" w:rsidSect="003B6CAE">
          <w:footerReference w:type="default" r:id="rId13"/>
          <w:footerReference w:type="first" r:id="rId14"/>
          <w:pgSz w:w="12240" w:h="15840"/>
          <w:pgMar w:top="720" w:right="720" w:bottom="450" w:left="720" w:header="720" w:footer="144" w:gutter="0"/>
          <w:cols w:space="720"/>
          <w:docGrid w:linePitch="360"/>
        </w:sectPr>
      </w:pPr>
      <w:bookmarkStart w:id="0" w:name="_Toc217895684"/>
      <w:r w:rsidRPr="00EA7288">
        <mc:AlternateContent>
          <mc:Choice Requires="wps">
            <w:drawing>
              <wp:anchor distT="0" distB="0" distL="114300" distR="114300" simplePos="0" relativeHeight="251661312" behindDoc="1" locked="1" layoutInCell="1" allowOverlap="1" wp14:anchorId="50B56D4C" wp14:editId="5B2EDD1E">
                <wp:simplePos x="0" y="0"/>
                <wp:positionH relativeFrom="margin">
                  <wp:align>right</wp:align>
                </wp:positionH>
                <wp:positionV relativeFrom="page">
                  <wp:posOffset>463550</wp:posOffset>
                </wp:positionV>
                <wp:extent cx="6858000" cy="9138285"/>
                <wp:effectExtent l="0" t="0" r="0" b="5715"/>
                <wp:wrapNone/>
                <wp:docPr id="729570528" name="Rectangle 7295705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58000" cy="9138285"/>
                        </a:xfrm>
                        <a:prstGeom prst="rect">
                          <a:avLst/>
                        </a:prstGeom>
                        <a:solidFill>
                          <a:srgbClr val="0056A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CFFC81" id="Rectangle 729570528" o:spid="_x0000_s1026" alt="&quot;&quot;" style="position:absolute;margin-left:488.8pt;margin-top:36.5pt;width:540pt;height:719.5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" fillcolor="#0056a9" stroked="f" strokeweight="1.5pt">
                <w10:wrap anchorx="margin" anchory="page"/>
                <w10:anchorlock/>
              </v:rect>
            </w:pict>
          </mc:Fallback>
        </mc:AlternateContent>
      </w:r>
      <w:bookmarkEnd w:id="0"/>
    </w:p>
    <w:p w14:paraId="1E553CE4" w14:textId="48F8655A" w:rsidR="00537FDD" w:rsidRPr="00537FDD" w:rsidRDefault="00537FDD" w:rsidP="00537FDD">
      <w:bookmarkStart w:id="1" w:name="_Toc217895685"/>
      <w:r w:rsidRPr="00537FDD">
        <w:lastRenderedPageBreak/>
        <w:t xml:space="preserve">The Historical Studies Project Coordination Request (PCR) gives information to the specialists on the Environmental Affairs Division (ENV) Cultural Resources Management Section’s Historical Studies team (ENV-HIST). </w:t>
      </w:r>
      <w:r w:rsidR="00336334">
        <w:t>Environmental Compliance Oversight System (</w:t>
      </w:r>
      <w:r w:rsidRPr="00537FDD">
        <w:t>ECOS</w:t>
      </w:r>
      <w:r w:rsidR="00336334">
        <w:t>)</w:t>
      </w:r>
      <w:r w:rsidRPr="00537FDD">
        <w:t xml:space="preserve"> creates a PCR activity based on details entered into the Work Plan Development (WPD) Tool. T</w:t>
      </w:r>
      <w:r w:rsidR="00336334">
        <w:t>exas Department of Transportation (T</w:t>
      </w:r>
      <w:r w:rsidRPr="00537FDD">
        <w:t>xDOT</w:t>
      </w:r>
      <w:r w:rsidR="00336334">
        <w:t>)</w:t>
      </w:r>
      <w:r w:rsidRPr="00537FDD">
        <w:t xml:space="preserve"> district staff (district) will not need a PCR for projects that do not require screening by ENV-HIST.</w:t>
      </w:r>
      <w:r w:rsidRPr="00537FDD">
        <w:rPr>
          <w:vertAlign w:val="superscript"/>
        </w:rPr>
        <w:footnoteReference w:id="1"/>
      </w:r>
    </w:p>
    <w:p w14:paraId="470DC61B" w14:textId="77777777" w:rsidR="00537FDD" w:rsidRPr="00537FDD" w:rsidRDefault="00537FDD" w:rsidP="00537FDD">
      <w:r w:rsidRPr="00537FDD">
        <w:t>Additional info to have on hand when preparing a PCR:</w:t>
      </w:r>
    </w:p>
    <w:p w14:paraId="7675CB07" w14:textId="2AEFC19F" w:rsidR="00537FDD" w:rsidRPr="00537FDD" w:rsidRDefault="00537FDD" w:rsidP="00537FDD">
      <w:pPr>
        <w:pStyle w:val="ListBullet"/>
      </w:pPr>
      <w:r w:rsidRPr="00537FDD">
        <w:rPr>
          <w:i/>
          <w:iCs/>
        </w:rPr>
        <w:t>Environmental Guide</w:t>
      </w:r>
      <w:r w:rsidR="00137F04">
        <w:rPr>
          <w:i/>
          <w:iCs/>
        </w:rPr>
        <w:t>:</w:t>
      </w:r>
      <w:r w:rsidRPr="00537FDD">
        <w:rPr>
          <w:i/>
          <w:iCs/>
        </w:rPr>
        <w:t xml:space="preserve"> Volumes 1 and 2</w:t>
      </w:r>
      <w:r w:rsidRPr="00537FDD">
        <w:t>, found on</w:t>
      </w:r>
      <w:r>
        <w:t xml:space="preserve"> the</w:t>
      </w:r>
      <w:r w:rsidRPr="00537FDD">
        <w:t xml:space="preserve"> </w:t>
      </w:r>
      <w:hyperlink r:id="rId15" w:history="1">
        <w:r w:rsidRPr="00537FDD">
          <w:rPr>
            <w:rStyle w:val="Hyperlink"/>
            <w:rFonts w:cstheme="minorBidi"/>
          </w:rPr>
          <w:t xml:space="preserve">Environmental </w:t>
        </w:r>
        <w:r w:rsidR="00336334">
          <w:rPr>
            <w:rStyle w:val="Hyperlink"/>
            <w:rFonts w:cstheme="minorBidi"/>
          </w:rPr>
          <w:t xml:space="preserve">Compliance </w:t>
        </w:r>
        <w:r w:rsidRPr="00537FDD">
          <w:rPr>
            <w:rStyle w:val="Hyperlink"/>
            <w:rFonts w:cstheme="minorBidi"/>
          </w:rPr>
          <w:t>Toolkits</w:t>
        </w:r>
      </w:hyperlink>
    </w:p>
    <w:p w14:paraId="1FFAC7DA" w14:textId="77777777" w:rsidR="00537FDD" w:rsidRPr="00537FDD" w:rsidRDefault="00537FDD" w:rsidP="00537FDD">
      <w:pPr>
        <w:pStyle w:val="ListBullet"/>
      </w:pPr>
      <w:r w:rsidRPr="00537FDD">
        <w:rPr>
          <w:i/>
          <w:iCs/>
        </w:rPr>
        <w:t>Guidance: Historical Studies Review Procedures</w:t>
      </w:r>
      <w:r w:rsidRPr="00537FDD">
        <w:t xml:space="preserve"> found in the </w:t>
      </w:r>
      <w:hyperlink r:id="rId16" w:history="1">
        <w:r w:rsidRPr="00537FDD">
          <w:rPr>
            <w:rStyle w:val="Hyperlink"/>
            <w:rFonts w:cstheme="minorBidi"/>
          </w:rPr>
          <w:t>Historic Resources Toolkit</w:t>
        </w:r>
      </w:hyperlink>
    </w:p>
    <w:p w14:paraId="72D1B6DB" w14:textId="10185FAC" w:rsidR="00537FDD" w:rsidRPr="00537FDD" w:rsidRDefault="00336334" w:rsidP="00537FDD">
      <w:pPr>
        <w:pStyle w:val="ListBullet"/>
      </w:pPr>
      <w:r>
        <w:rPr>
          <w:i/>
          <w:iCs/>
        </w:rPr>
        <w:t xml:space="preserve">Guidance: </w:t>
      </w:r>
      <w:r w:rsidR="00537FDD" w:rsidRPr="00537FDD">
        <w:rPr>
          <w:i/>
          <w:iCs/>
        </w:rPr>
        <w:t>List of Projects that Do Not Require Review or Coordination for Non-Archeological Historic</w:t>
      </w:r>
      <w:r w:rsidR="00537FDD" w:rsidRPr="00537FDD">
        <w:t xml:space="preserve"> found in the </w:t>
      </w:r>
      <w:hyperlink r:id="rId17" w:history="1">
        <w:r w:rsidR="00537FDD" w:rsidRPr="00537FDD">
          <w:rPr>
            <w:rStyle w:val="Hyperlink"/>
            <w:rFonts w:cstheme="minorBidi"/>
          </w:rPr>
          <w:t>Historic Resources Toolkit</w:t>
        </w:r>
      </w:hyperlink>
    </w:p>
    <w:bookmarkEnd w:id="1"/>
    <w:p w14:paraId="7FAE4006" w14:textId="2440A165" w:rsidR="003D0A5B" w:rsidRDefault="00B05C42" w:rsidP="00295654">
      <w:pPr>
        <w:pStyle w:val="Heading2"/>
      </w:pPr>
      <w:r>
        <w:t xml:space="preserve">1.0 </w:t>
      </w:r>
      <w:r w:rsidR="00537FDD">
        <w:t>Instructions</w:t>
      </w:r>
    </w:p>
    <w:p w14:paraId="094A0BD0" w14:textId="5F50284E" w:rsidR="00845257" w:rsidRPr="00845257" w:rsidRDefault="00845257" w:rsidP="00845257">
      <w:bookmarkStart w:id="2" w:name="_Toc217895686"/>
      <w:r w:rsidRPr="00845257">
        <w:rPr>
          <w:b/>
          <w:bCs/>
        </w:rPr>
        <w:t>WPD Complete and Accurate</w:t>
      </w:r>
      <w:r w:rsidRPr="00845257">
        <w:t>: Prior to submitting a PCR, the District must ensure that all WPD information in ECOS is accurate. The PCR or supporting attachments must include a screenshot of the completed WPD</w:t>
      </w:r>
      <w:r w:rsidR="002726B4">
        <w:t xml:space="preserve"> I</w:t>
      </w:r>
      <w:r w:rsidR="00415305">
        <w:t xml:space="preserve"> (1)</w:t>
      </w:r>
      <w:r w:rsidRPr="00845257">
        <w:t xml:space="preserve">, including </w:t>
      </w:r>
      <w:r w:rsidR="00967718">
        <w:t xml:space="preserve">TxDOTCONNECT </w:t>
      </w:r>
      <w:r w:rsidRPr="00845257">
        <w:t xml:space="preserve">funding details and all content from all fields of the ENV clearance project description. </w:t>
      </w:r>
    </w:p>
    <w:p w14:paraId="78B3D51E" w14:textId="26C8FBA3" w:rsidR="00845257" w:rsidRPr="00845257" w:rsidRDefault="00845257" w:rsidP="00845257">
      <w:r w:rsidRPr="00845257">
        <w:rPr>
          <w:b/>
          <w:bCs/>
        </w:rPr>
        <w:lastRenderedPageBreak/>
        <w:t>Main C</w:t>
      </w:r>
      <w:r w:rsidR="0070622C">
        <w:rPr>
          <w:b/>
          <w:bCs/>
        </w:rPr>
        <w:t>ontrol-</w:t>
      </w:r>
      <w:r w:rsidRPr="00845257">
        <w:rPr>
          <w:b/>
          <w:bCs/>
        </w:rPr>
        <w:t>S</w:t>
      </w:r>
      <w:r w:rsidR="0070622C">
        <w:rPr>
          <w:b/>
          <w:bCs/>
        </w:rPr>
        <w:t>ection-</w:t>
      </w:r>
      <w:r w:rsidRPr="00845257">
        <w:rPr>
          <w:b/>
          <w:bCs/>
        </w:rPr>
        <w:t>J</w:t>
      </w:r>
      <w:r w:rsidR="0070622C">
        <w:rPr>
          <w:b/>
          <w:bCs/>
        </w:rPr>
        <w:t>ob (CSJ)</w:t>
      </w:r>
      <w:r w:rsidRPr="00845257">
        <w:rPr>
          <w:b/>
          <w:bCs/>
        </w:rPr>
        <w:t>:</w:t>
      </w:r>
      <w:r w:rsidRPr="00845257">
        <w:t xml:space="preserve"> Provide an active CSJ number against which environmental work can be charged.</w:t>
      </w:r>
    </w:p>
    <w:p w14:paraId="2603E6B2" w14:textId="77777777" w:rsidR="00845257" w:rsidRPr="00845257" w:rsidRDefault="00845257" w:rsidP="00845257">
      <w:r w:rsidRPr="00845257">
        <w:rPr>
          <w:b/>
          <w:bCs/>
        </w:rPr>
        <w:t>Funding &amp; Activities:</w:t>
      </w:r>
      <w:r w:rsidRPr="00845257">
        <w:t xml:space="preserve"> This question determines PCR information needed.</w:t>
      </w:r>
      <w:r w:rsidRPr="00845257">
        <w:rPr>
          <w:vertAlign w:val="superscript"/>
        </w:rPr>
        <w:footnoteReference w:id="2"/>
      </w:r>
      <w:r w:rsidRPr="00845257">
        <w:t xml:space="preserve">  </w:t>
      </w:r>
    </w:p>
    <w:p w14:paraId="7EB60BCF" w14:textId="77777777" w:rsidR="00845257" w:rsidRPr="00845257" w:rsidRDefault="00845257" w:rsidP="00845257">
      <w:pPr>
        <w:rPr>
          <w:b/>
          <w:bCs/>
        </w:rPr>
      </w:pPr>
      <w:r w:rsidRPr="00845257">
        <w:rPr>
          <w:b/>
          <w:bCs/>
        </w:rPr>
        <w:t>YES: On the Funding &amp; Activities question, answer YES if any of the following statements are true about your project:</w:t>
      </w:r>
    </w:p>
    <w:p w14:paraId="28EFF98A" w14:textId="3A347521" w:rsidR="00845257" w:rsidRPr="00163EC9" w:rsidRDefault="00011413" w:rsidP="00163EC9">
      <w:pPr>
        <w:pStyle w:val="ListNumber"/>
      </w:pPr>
      <w:r>
        <w:t xml:space="preserve">Project has </w:t>
      </w:r>
      <w:r w:rsidR="00845257" w:rsidRPr="00163EC9">
        <w:t>F</w:t>
      </w:r>
      <w:r w:rsidR="0070622C">
        <w:t xml:space="preserve">ederal </w:t>
      </w:r>
      <w:r w:rsidR="00845257" w:rsidRPr="00163EC9">
        <w:t>H</w:t>
      </w:r>
      <w:r w:rsidR="0070622C">
        <w:t>ighway Administration (FH</w:t>
      </w:r>
      <w:r w:rsidR="00845257" w:rsidRPr="00163EC9">
        <w:t>WA</w:t>
      </w:r>
      <w:r w:rsidR="0070622C">
        <w:t>)</w:t>
      </w:r>
      <w:r w:rsidR="00845257" w:rsidRPr="00163EC9">
        <w:t xml:space="preserve"> funding and includes only activities listed on the FHWA P</w:t>
      </w:r>
      <w:r w:rsidR="0033295A">
        <w:t>rogrammatic Agreement (P</w:t>
      </w:r>
      <w:r w:rsidR="00845257" w:rsidRPr="00163EC9">
        <w:t>A</w:t>
      </w:r>
      <w:r w:rsidR="0033295A">
        <w:t>)</w:t>
      </w:r>
      <w:r w:rsidR="00845257" w:rsidRPr="00163EC9">
        <w:t xml:space="preserve"> App</w:t>
      </w:r>
      <w:r w:rsidR="007858D5">
        <w:t>endix</w:t>
      </w:r>
      <w:r w:rsidR="00845257" w:rsidRPr="00163EC9">
        <w:t xml:space="preserve"> 4 (</w:t>
      </w:r>
      <w:r w:rsidR="007858D5">
        <w:t xml:space="preserve">see </w:t>
      </w:r>
      <w:r w:rsidR="00C27496" w:rsidRPr="00EA2D12">
        <w:rPr>
          <w:color w:val="0056A9"/>
          <w:u w:val="single"/>
        </w:rPr>
        <w:fldChar w:fldCharType="begin"/>
      </w:r>
      <w:r w:rsidR="00C27496" w:rsidRPr="00EA2D12">
        <w:rPr>
          <w:color w:val="0056A9"/>
          <w:u w:val="single"/>
        </w:rPr>
        <w:instrText xml:space="preserve"> REF _Ref224128878 \h </w:instrText>
      </w:r>
      <w:r w:rsidR="00EA2D12" w:rsidRPr="00EA2D12">
        <w:rPr>
          <w:color w:val="0056A9"/>
          <w:u w:val="single"/>
        </w:rPr>
        <w:instrText xml:space="preserve"> \* MERGEFORMAT </w:instrText>
      </w:r>
      <w:r w:rsidR="00C27496" w:rsidRPr="00EA2D12">
        <w:rPr>
          <w:color w:val="0056A9"/>
          <w:u w:val="single"/>
        </w:rPr>
      </w:r>
      <w:r w:rsidR="00C27496" w:rsidRPr="00EA2D12">
        <w:rPr>
          <w:color w:val="0056A9"/>
          <w:u w:val="single"/>
        </w:rPr>
        <w:fldChar w:fldCharType="separate"/>
      </w:r>
      <w:r w:rsidR="00C27496" w:rsidRPr="00EA2D12">
        <w:rPr>
          <w:color w:val="0056A9"/>
          <w:u w:val="single"/>
        </w:rPr>
        <w:t>Appendix B</w:t>
      </w:r>
      <w:r w:rsidR="00C27496" w:rsidRPr="00EA2D12">
        <w:rPr>
          <w:color w:val="0056A9"/>
          <w:u w:val="single"/>
        </w:rPr>
        <w:fldChar w:fldCharType="end"/>
      </w:r>
      <w:r w:rsidR="00EA2D12">
        <w:t xml:space="preserve"> for these activity types</w:t>
      </w:r>
      <w:r w:rsidR="00845257" w:rsidRPr="00163EC9">
        <w:t xml:space="preserve">). </w:t>
      </w:r>
    </w:p>
    <w:p w14:paraId="1944E7FF" w14:textId="005094A0" w:rsidR="00845257" w:rsidRPr="00163EC9" w:rsidRDefault="00EA2D12" w:rsidP="00163EC9">
      <w:pPr>
        <w:pStyle w:val="ListNumber"/>
      </w:pPr>
      <w:r>
        <w:t xml:space="preserve">Project has </w:t>
      </w:r>
      <w:r w:rsidR="00845257" w:rsidRPr="00163EC9">
        <w:t>state and</w:t>
      </w:r>
      <w:r w:rsidR="00805789" w:rsidRPr="00163EC9">
        <w:t xml:space="preserve"> </w:t>
      </w:r>
      <w:r w:rsidR="00845257" w:rsidRPr="00163EC9">
        <w:t xml:space="preserve">or local funding (no FHWA funding), and all project activities appear </w:t>
      </w:r>
      <w:r w:rsidR="00904D73">
        <w:t xml:space="preserve">in the list included in </w:t>
      </w:r>
      <w:r w:rsidR="00904D73" w:rsidRPr="00904D73">
        <w:rPr>
          <w:color w:val="0056A9"/>
          <w:u w:val="single"/>
        </w:rPr>
        <w:fldChar w:fldCharType="begin"/>
      </w:r>
      <w:r w:rsidR="00904D73" w:rsidRPr="00904D73">
        <w:rPr>
          <w:color w:val="0056A9"/>
          <w:u w:val="single"/>
        </w:rPr>
        <w:instrText xml:space="preserve"> REF _Ref224128968 \h </w:instrText>
      </w:r>
      <w:r w:rsidR="00904D73" w:rsidRPr="00904D73">
        <w:rPr>
          <w:color w:val="0056A9"/>
          <w:u w:val="single"/>
        </w:rPr>
      </w:r>
      <w:r w:rsidR="00904D73" w:rsidRPr="00904D73">
        <w:rPr>
          <w:color w:val="0056A9"/>
          <w:u w:val="single"/>
        </w:rPr>
        <w:fldChar w:fldCharType="separate"/>
      </w:r>
      <w:r w:rsidR="00904D73" w:rsidRPr="00904D73">
        <w:rPr>
          <w:color w:val="0056A9"/>
          <w:u w:val="single"/>
        </w:rPr>
        <w:t>Appendix C</w:t>
      </w:r>
      <w:r w:rsidR="00904D73" w:rsidRPr="00904D73">
        <w:rPr>
          <w:color w:val="0056A9"/>
          <w:u w:val="single"/>
        </w:rPr>
        <w:fldChar w:fldCharType="end"/>
      </w:r>
      <w:r w:rsidR="00904D73">
        <w:t>.</w:t>
      </w:r>
    </w:p>
    <w:p w14:paraId="0384D258" w14:textId="66781FF7" w:rsidR="00845257" w:rsidRPr="00805789" w:rsidRDefault="00845257" w:rsidP="00845257">
      <w:pPr>
        <w:rPr>
          <w:b/>
          <w:bCs/>
        </w:rPr>
      </w:pPr>
      <w:r w:rsidRPr="00805789">
        <w:rPr>
          <w:b/>
          <w:bCs/>
        </w:rPr>
        <w:t xml:space="preserve">When you answer YES, the form opens the </w:t>
      </w:r>
      <w:r w:rsidR="003F2216" w:rsidRPr="003F2216">
        <w:rPr>
          <w:b/>
          <w:bCs/>
          <w:color w:val="0056A9"/>
          <w:u w:val="single"/>
        </w:rPr>
        <w:fldChar w:fldCharType="begin"/>
      </w:r>
      <w:r w:rsidR="003F2216" w:rsidRPr="003F2216">
        <w:rPr>
          <w:b/>
          <w:bCs/>
          <w:color w:val="0056A9"/>
          <w:u w:val="single"/>
        </w:rPr>
        <w:instrText xml:space="preserve"> REF _Ref224129021 \h  \* MERGEFORMAT </w:instrText>
      </w:r>
      <w:r w:rsidR="003F2216" w:rsidRPr="003F2216">
        <w:rPr>
          <w:b/>
          <w:bCs/>
          <w:color w:val="0056A9"/>
          <w:u w:val="single"/>
        </w:rPr>
      </w:r>
      <w:r w:rsidR="003F2216" w:rsidRPr="003F2216">
        <w:rPr>
          <w:b/>
          <w:bCs/>
          <w:color w:val="0056A9"/>
          <w:u w:val="single"/>
        </w:rPr>
        <w:fldChar w:fldCharType="separate"/>
      </w:r>
      <w:r w:rsidR="003F2216" w:rsidRPr="003F2216">
        <w:rPr>
          <w:b/>
          <w:bCs/>
          <w:color w:val="0056A9"/>
          <w:u w:val="single"/>
        </w:rPr>
        <w:t>Modified PCR questions</w:t>
      </w:r>
      <w:r w:rsidR="003F2216" w:rsidRPr="003F2216">
        <w:rPr>
          <w:b/>
          <w:bCs/>
          <w:color w:val="0056A9"/>
          <w:u w:val="single"/>
        </w:rPr>
        <w:fldChar w:fldCharType="end"/>
      </w:r>
      <w:r w:rsidRPr="00805789">
        <w:rPr>
          <w:b/>
          <w:bCs/>
        </w:rPr>
        <w:t>.</w:t>
      </w:r>
    </w:p>
    <w:p w14:paraId="19862FFF" w14:textId="77777777" w:rsidR="00845257" w:rsidRPr="00805789" w:rsidRDefault="00845257" w:rsidP="00845257">
      <w:pPr>
        <w:rPr>
          <w:b/>
          <w:bCs/>
        </w:rPr>
      </w:pPr>
      <w:r w:rsidRPr="00805789">
        <w:rPr>
          <w:b/>
          <w:bCs/>
        </w:rPr>
        <w:t>NO: On the Funding &amp; Activities question, answer NO if any of the following statements are true about your project:</w:t>
      </w:r>
    </w:p>
    <w:p w14:paraId="4BEBFBB0" w14:textId="70BE9F01" w:rsidR="00845257" w:rsidRPr="00845257" w:rsidRDefault="003F2216" w:rsidP="004C6B3E">
      <w:pPr>
        <w:pStyle w:val="ListNumber"/>
        <w:numPr>
          <w:ilvl w:val="0"/>
          <w:numId w:val="25"/>
        </w:numPr>
      </w:pPr>
      <w:r>
        <w:t>Project ha</w:t>
      </w:r>
      <w:r w:rsidR="00845257" w:rsidRPr="00845257">
        <w:t xml:space="preserve">s FHWA funding and has project activities and components that are not included on the </w:t>
      </w:r>
      <w:r w:rsidR="00845257" w:rsidRPr="005E33F2">
        <w:t>FHWA PA App</w:t>
      </w:r>
      <w:r w:rsidR="005E33F2" w:rsidRPr="005E33F2">
        <w:t>endix</w:t>
      </w:r>
      <w:r w:rsidR="00845257" w:rsidRPr="005E33F2">
        <w:t xml:space="preserve"> 3 or App</w:t>
      </w:r>
      <w:r w:rsidR="005E33F2" w:rsidRPr="005E33F2">
        <w:t>endix</w:t>
      </w:r>
      <w:r w:rsidR="00845257" w:rsidRPr="005E33F2">
        <w:t xml:space="preserve"> 4</w:t>
      </w:r>
      <w:r w:rsidR="00845257" w:rsidRPr="00845257">
        <w:t xml:space="preserve"> activity lists (</w:t>
      </w:r>
      <w:r w:rsidR="005E33F2">
        <w:t xml:space="preserve">see </w:t>
      </w:r>
      <w:r w:rsidR="003F34E8">
        <w:fldChar w:fldCharType="begin"/>
      </w:r>
      <w:r w:rsidR="003F34E8">
        <w:instrText xml:space="preserve"> REF _Ref224128878 \h </w:instrText>
      </w:r>
      <w:r w:rsidR="003F34E8">
        <w:fldChar w:fldCharType="separate"/>
      </w:r>
      <w:r w:rsidR="003F34E8" w:rsidRPr="003F34E8">
        <w:rPr>
          <w:color w:val="0056A9" w:themeColor="accent1"/>
          <w:u w:val="single"/>
        </w:rPr>
        <w:t>Appendix B</w:t>
      </w:r>
      <w:r w:rsidR="003F34E8">
        <w:fldChar w:fldCharType="end"/>
      </w:r>
      <w:r w:rsidR="00845257" w:rsidRPr="00845257">
        <w:t xml:space="preserve"> </w:t>
      </w:r>
      <w:r w:rsidR="005E33F2">
        <w:t>for these lists</w:t>
      </w:r>
      <w:r w:rsidR="00845257" w:rsidRPr="00845257">
        <w:t xml:space="preserve">). </w:t>
      </w:r>
    </w:p>
    <w:p w14:paraId="372375AA" w14:textId="3736C7E0" w:rsidR="00845257" w:rsidRDefault="003107C2" w:rsidP="00163EC9">
      <w:pPr>
        <w:pStyle w:val="ListNumber"/>
      </w:pPr>
      <w:r>
        <w:t>Project h</w:t>
      </w:r>
      <w:r w:rsidR="00845257" w:rsidRPr="00845257">
        <w:t>as federal funds other than FHWA (</w:t>
      </w:r>
      <w:r w:rsidR="00B05C42">
        <w:t>for example</w:t>
      </w:r>
      <w:r w:rsidR="00845257" w:rsidRPr="00845257">
        <w:t>, F</w:t>
      </w:r>
      <w:r w:rsidR="004A5808">
        <w:t xml:space="preserve">ederal </w:t>
      </w:r>
      <w:r w:rsidR="00845257" w:rsidRPr="00845257">
        <w:t>T</w:t>
      </w:r>
      <w:r w:rsidR="00342E2C">
        <w:t xml:space="preserve">ransit </w:t>
      </w:r>
      <w:r w:rsidR="00845257" w:rsidRPr="00845257">
        <w:t>A</w:t>
      </w:r>
      <w:r w:rsidR="00342E2C">
        <w:t>dministration (FTA)</w:t>
      </w:r>
      <w:r w:rsidR="00845257" w:rsidRPr="00845257">
        <w:t>, F</w:t>
      </w:r>
      <w:r w:rsidR="00342E2C">
        <w:t xml:space="preserve">ederal </w:t>
      </w:r>
      <w:r w:rsidR="00845257" w:rsidRPr="00845257">
        <w:t>R</w:t>
      </w:r>
      <w:r w:rsidR="00342E2C">
        <w:t>ail Administration (FR</w:t>
      </w:r>
      <w:r w:rsidR="00845257" w:rsidRPr="00845257">
        <w:t>A</w:t>
      </w:r>
      <w:r w:rsidR="00342E2C">
        <w:t>)</w:t>
      </w:r>
      <w:r w:rsidR="00845257" w:rsidRPr="00845257">
        <w:t>, F</w:t>
      </w:r>
      <w:r w:rsidR="00342E2C">
        <w:t xml:space="preserve">ederal </w:t>
      </w:r>
      <w:r w:rsidR="00845257" w:rsidRPr="00845257">
        <w:t>E</w:t>
      </w:r>
      <w:r w:rsidR="00342E2C">
        <w:t xml:space="preserve">mergency </w:t>
      </w:r>
      <w:r w:rsidR="00845257" w:rsidRPr="00845257">
        <w:t>M</w:t>
      </w:r>
      <w:r w:rsidR="00342E2C">
        <w:t xml:space="preserve">anagement </w:t>
      </w:r>
      <w:r w:rsidR="00845257" w:rsidRPr="00845257">
        <w:t>A</w:t>
      </w:r>
      <w:r w:rsidR="003C382D">
        <w:t>gency</w:t>
      </w:r>
      <w:r w:rsidR="00342E2C">
        <w:t xml:space="preserve"> (FEMA)</w:t>
      </w:r>
      <w:r w:rsidR="00845257" w:rsidRPr="00845257">
        <w:t xml:space="preserve">, </w:t>
      </w:r>
      <w:r w:rsidR="0056759B">
        <w:t>etcetera</w:t>
      </w:r>
      <w:r w:rsidR="00845257" w:rsidRPr="00845257">
        <w:t>)</w:t>
      </w:r>
      <w:bookmarkEnd w:id="2"/>
      <w:r w:rsidR="00FD1178">
        <w:t>.</w:t>
      </w:r>
    </w:p>
    <w:p w14:paraId="79C80F2B" w14:textId="3E7CA5BF" w:rsidR="00DF2039" w:rsidRDefault="004A6198" w:rsidP="00163EC9">
      <w:pPr>
        <w:pStyle w:val="ListNumber"/>
      </w:pPr>
      <w:r>
        <w:t>Project h</w:t>
      </w:r>
      <w:r w:rsidR="00DF2039">
        <w:t xml:space="preserve">as state or local funding, with no FHWA funding, and needs federal approval from agencies such as </w:t>
      </w:r>
      <w:r w:rsidR="000D6569">
        <w:t xml:space="preserve">the </w:t>
      </w:r>
      <w:r>
        <w:t xml:space="preserve">United States Army </w:t>
      </w:r>
      <w:r w:rsidR="00466C64" w:rsidRPr="00EA4370">
        <w:t xml:space="preserve">Corps of Engineers (USACE), </w:t>
      </w:r>
      <w:r>
        <w:t xml:space="preserve">United States </w:t>
      </w:r>
      <w:r w:rsidR="00466C64" w:rsidRPr="00EA4370">
        <w:t xml:space="preserve">Coast Guard (USCG), International Boundary </w:t>
      </w:r>
      <w:r w:rsidR="00466C64">
        <w:t>and</w:t>
      </w:r>
      <w:r w:rsidR="00466C64" w:rsidRPr="00EA4370">
        <w:t xml:space="preserve"> Water Commission (IBWC),</w:t>
      </w:r>
      <w:r w:rsidR="00DF2039">
        <w:t xml:space="preserve"> </w:t>
      </w:r>
      <w:r w:rsidR="0056759B">
        <w:t>etcetera</w:t>
      </w:r>
      <w:r w:rsidR="00FD1178">
        <w:t>.)</w:t>
      </w:r>
    </w:p>
    <w:p w14:paraId="7828F446" w14:textId="6E967900" w:rsidR="009648FF" w:rsidRDefault="009648FF" w:rsidP="009648FF">
      <w:pPr>
        <w:rPr>
          <w:b/>
          <w:bCs/>
        </w:rPr>
      </w:pPr>
      <w:r w:rsidRPr="009648FF">
        <w:rPr>
          <w:b/>
          <w:bCs/>
        </w:rPr>
        <w:lastRenderedPageBreak/>
        <w:t xml:space="preserve">When you answer NO, the form opens the </w:t>
      </w:r>
      <w:r w:rsidR="008C7137" w:rsidRPr="008C7137">
        <w:rPr>
          <w:b/>
          <w:bCs/>
          <w:color w:val="0056A9"/>
          <w:u w:val="single"/>
        </w:rPr>
        <w:fldChar w:fldCharType="begin"/>
      </w:r>
      <w:r w:rsidR="008C7137" w:rsidRPr="008C7137">
        <w:rPr>
          <w:b/>
          <w:bCs/>
          <w:color w:val="0056A9"/>
          <w:u w:val="single"/>
        </w:rPr>
        <w:instrText xml:space="preserve"> REF _Ref224133427 \h  \* MERGEFORMAT </w:instrText>
      </w:r>
      <w:r w:rsidR="008C7137" w:rsidRPr="008C7137">
        <w:rPr>
          <w:b/>
          <w:bCs/>
          <w:color w:val="0056A9"/>
          <w:u w:val="single"/>
        </w:rPr>
      </w:r>
      <w:r w:rsidR="008C7137" w:rsidRPr="008C7137">
        <w:rPr>
          <w:b/>
          <w:bCs/>
          <w:color w:val="0056A9"/>
          <w:u w:val="single"/>
        </w:rPr>
        <w:fldChar w:fldCharType="separate"/>
      </w:r>
      <w:r w:rsidR="008C7137" w:rsidRPr="008C7137">
        <w:rPr>
          <w:b/>
          <w:bCs/>
          <w:color w:val="0056A9"/>
          <w:u w:val="single"/>
        </w:rPr>
        <w:t>Full PCR questions</w:t>
      </w:r>
      <w:r w:rsidR="008C7137" w:rsidRPr="008C7137">
        <w:rPr>
          <w:b/>
          <w:bCs/>
          <w:color w:val="0056A9"/>
          <w:u w:val="single"/>
        </w:rPr>
        <w:fldChar w:fldCharType="end"/>
      </w:r>
      <w:r w:rsidRPr="009648FF">
        <w:rPr>
          <w:b/>
          <w:bCs/>
        </w:rPr>
        <w:t>.</w:t>
      </w:r>
    </w:p>
    <w:p w14:paraId="66256249" w14:textId="655D9AE0" w:rsidR="009648FF" w:rsidRDefault="00303364" w:rsidP="009648FF">
      <w:pPr>
        <w:pStyle w:val="Heading3"/>
      </w:pPr>
      <w:bookmarkStart w:id="3" w:name="_Ref224129021"/>
      <w:r>
        <w:t>1.1 Modified PCR questions</w:t>
      </w:r>
      <w:bookmarkEnd w:id="3"/>
    </w:p>
    <w:p w14:paraId="7AC981B0" w14:textId="055D515E" w:rsidR="00303364" w:rsidRDefault="003929EC" w:rsidP="00303364">
      <w:r w:rsidRPr="003929EC">
        <w:t>When you answer YES to the Funding &amp; Activities question, the form opens “Modified PCR…” questions (M</w:t>
      </w:r>
      <w:r w:rsidR="003D7D46">
        <w:t xml:space="preserve"> number</w:t>
      </w:r>
      <w:r w:rsidRPr="003929EC">
        <w:t>s):</w:t>
      </w:r>
    </w:p>
    <w:p w14:paraId="5F5292BF" w14:textId="48999B6B" w:rsidR="003929EC" w:rsidRDefault="00E77ECA" w:rsidP="00CB6507">
      <w:r>
        <w:t>M.1.</w:t>
      </w:r>
      <w:r w:rsidR="00997CA4">
        <w:tab/>
      </w:r>
      <w:r w:rsidR="00AF01B3">
        <w:t>Check this box after reviewing the appropriate maps that indicate the presence of known historic properties.</w:t>
      </w:r>
      <w:r w:rsidR="00AF01B3" w:rsidRPr="00363254">
        <w:rPr>
          <w:vertAlign w:val="superscript"/>
        </w:rPr>
        <w:footnoteReference w:id="3"/>
      </w:r>
      <w:r w:rsidR="00AF01B3">
        <w:t xml:space="preserve"> The Area of Potential Effect (APE) </w:t>
      </w:r>
      <w:r w:rsidR="00422608">
        <w:t>f</w:t>
      </w:r>
      <w:r w:rsidR="00AF01B3">
        <w:t xml:space="preserve">or these types of projects is typically the existing right-of-way and any abutting parcels </w:t>
      </w:r>
      <w:r w:rsidR="00223AC7">
        <w:t>(</w:t>
      </w:r>
      <w:r w:rsidR="00AF01B3">
        <w:t xml:space="preserve">review APE definitions in </w:t>
      </w:r>
      <w:r w:rsidR="003F34E8" w:rsidRPr="003F34E8">
        <w:rPr>
          <w:color w:val="0056A9" w:themeColor="accent1"/>
          <w:u w:val="single"/>
        </w:rPr>
        <w:fldChar w:fldCharType="begin"/>
      </w:r>
      <w:r w:rsidR="003F34E8" w:rsidRPr="003F34E8">
        <w:rPr>
          <w:color w:val="0056A9" w:themeColor="accent1"/>
          <w:u w:val="single"/>
        </w:rPr>
        <w:instrText xml:space="preserve"> REF _Ref224211856 \h </w:instrText>
      </w:r>
      <w:r w:rsidR="003F34E8" w:rsidRPr="003F34E8">
        <w:rPr>
          <w:color w:val="0056A9" w:themeColor="accent1"/>
          <w:u w:val="single"/>
        </w:rPr>
      </w:r>
      <w:r w:rsidR="003F34E8" w:rsidRPr="003F34E8">
        <w:rPr>
          <w:color w:val="0056A9" w:themeColor="accent1"/>
          <w:u w:val="single"/>
        </w:rPr>
        <w:fldChar w:fldCharType="separate"/>
      </w:r>
      <w:r w:rsidR="003F34E8" w:rsidRPr="003F34E8">
        <w:rPr>
          <w:color w:val="0056A9" w:themeColor="accent1"/>
          <w:u w:val="single"/>
        </w:rPr>
        <w:t>Appendix A</w:t>
      </w:r>
      <w:r w:rsidR="003F34E8" w:rsidRPr="003F34E8">
        <w:rPr>
          <w:color w:val="0056A9" w:themeColor="accent1"/>
          <w:u w:val="single"/>
        </w:rPr>
        <w:fldChar w:fldCharType="end"/>
      </w:r>
      <w:r w:rsidR="00AF01B3">
        <w:t xml:space="preserve"> of this document</w:t>
      </w:r>
      <w:r w:rsidR="00223AC7">
        <w:t>)</w:t>
      </w:r>
      <w:r w:rsidR="00AF01B3">
        <w:t>. Check the box if no known historic properties are present in the APE. Note:</w:t>
      </w:r>
    </w:p>
    <w:p w14:paraId="7F669CC3" w14:textId="77777777" w:rsidR="001D7990" w:rsidRPr="001D7990" w:rsidRDefault="001D7990" w:rsidP="00163EC9">
      <w:pPr>
        <w:pStyle w:val="ListNumber"/>
        <w:numPr>
          <w:ilvl w:val="0"/>
          <w:numId w:val="8"/>
        </w:numPr>
      </w:pPr>
      <w:r w:rsidRPr="001D7990">
        <w:t>Most metal historical markers are not considered to be historic properties, but some indicate a designated historic property, such as a Recorded Texas Historic Landmark (RTHL) or a city landmark.</w:t>
      </w:r>
    </w:p>
    <w:p w14:paraId="1E98E353" w14:textId="77777777" w:rsidR="001D7990" w:rsidRPr="001D7990" w:rsidRDefault="001D7990" w:rsidP="00163EC9">
      <w:pPr>
        <w:pStyle w:val="ListNumber"/>
        <w:numPr>
          <w:ilvl w:val="0"/>
          <w:numId w:val="8"/>
        </w:numPr>
      </w:pPr>
      <w:r w:rsidRPr="001D7990">
        <w:t xml:space="preserve">Most granite markers, such as those from the Texas Centennial, are considered to be historic properties. </w:t>
      </w:r>
    </w:p>
    <w:p w14:paraId="6A55972E" w14:textId="6B61B6E9" w:rsidR="001D7990" w:rsidRPr="001D7990" w:rsidRDefault="001D7990" w:rsidP="00163EC9">
      <w:pPr>
        <w:pStyle w:val="ListNumber"/>
        <w:numPr>
          <w:ilvl w:val="0"/>
          <w:numId w:val="8"/>
        </w:numPr>
      </w:pPr>
      <w:r w:rsidRPr="001D7990">
        <w:t xml:space="preserve">Regardless of marker type, TxDOT may need to seek approval from the Texas Historical Commission (THC) on plans to store, relocate, or protect any </w:t>
      </w:r>
      <w:r w:rsidR="00646A24">
        <w:t xml:space="preserve">markers </w:t>
      </w:r>
      <w:r w:rsidRPr="001D7990">
        <w:t xml:space="preserve">that could be affected by </w:t>
      </w:r>
      <w:r w:rsidR="00646A24">
        <w:t xml:space="preserve">the </w:t>
      </w:r>
      <w:r w:rsidRPr="001D7990">
        <w:t xml:space="preserve">project. </w:t>
      </w:r>
    </w:p>
    <w:p w14:paraId="7095AA1B" w14:textId="02B74A25" w:rsidR="001D7990" w:rsidRPr="001D7990" w:rsidRDefault="001D7990" w:rsidP="001D7990">
      <w:r w:rsidRPr="001D7990">
        <w:t>M.2.</w:t>
      </w:r>
      <w:r w:rsidRPr="001D7990">
        <w:tab/>
        <w:t xml:space="preserve">Review the </w:t>
      </w:r>
      <w:r w:rsidRPr="00C616CD">
        <w:rPr>
          <w:i/>
          <w:iCs/>
        </w:rPr>
        <w:t>Guidance</w:t>
      </w:r>
      <w:r w:rsidR="00C616CD" w:rsidRPr="00C616CD">
        <w:rPr>
          <w:i/>
          <w:iCs/>
        </w:rPr>
        <w:t>: Historical Studies Review Procedures</w:t>
      </w:r>
      <w:r w:rsidRPr="001D7990">
        <w:t xml:space="preserve"> to determine if the project requires County Historical Commission consultation and select YES or NO</w:t>
      </w:r>
      <w:r w:rsidR="00C616CD">
        <w:t>.</w:t>
      </w:r>
      <w:r w:rsidRPr="001D7990">
        <w:t xml:space="preserve"> Ensure that any appropriate coordination is in ECOS. </w:t>
      </w:r>
    </w:p>
    <w:p w14:paraId="38ABCB50" w14:textId="19235CCD" w:rsidR="001D7990" w:rsidRDefault="001D7990" w:rsidP="001D7990">
      <w:r w:rsidRPr="001D7990">
        <w:t>M.3.</w:t>
      </w:r>
      <w:r w:rsidRPr="001D7990">
        <w:tab/>
        <w:t xml:space="preserve">Upload the appropriate supporting documentation to ECOS for review, following the file name conventions listed in the </w:t>
      </w:r>
      <w:r w:rsidRPr="00373CAD">
        <w:rPr>
          <w:i/>
          <w:iCs/>
        </w:rPr>
        <w:t>Environmental Guide</w:t>
      </w:r>
      <w:r w:rsidR="00373CAD" w:rsidRPr="00373CAD">
        <w:rPr>
          <w:i/>
          <w:iCs/>
        </w:rPr>
        <w:t>:</w:t>
      </w:r>
      <w:r w:rsidRPr="00373CAD">
        <w:rPr>
          <w:i/>
          <w:iCs/>
        </w:rPr>
        <w:t xml:space="preserve"> Volume 2.</w:t>
      </w:r>
      <w:r w:rsidRPr="001D7990">
        <w:t xml:space="preserve"> </w:t>
      </w:r>
      <w:r w:rsidRPr="001D7990">
        <w:rPr>
          <w:b/>
          <w:bCs/>
        </w:rPr>
        <w:t xml:space="preserve">Note that ENV-HIST does not require screen captures of </w:t>
      </w:r>
      <w:r w:rsidRPr="001D7990">
        <w:rPr>
          <w:b/>
          <w:bCs/>
        </w:rPr>
        <w:lastRenderedPageBreak/>
        <w:t>the maps in question M.1</w:t>
      </w:r>
      <w:r w:rsidRPr="001D7990">
        <w:t>, just verification that the preparer(s) of the PCR reviewed them. Add the file names to the PCR form as appropriate for each piece of documentation.</w:t>
      </w:r>
    </w:p>
    <w:p w14:paraId="374E960F" w14:textId="38A5F294" w:rsidR="00AA432B" w:rsidRDefault="00AA432B" w:rsidP="00AA432B">
      <w:pPr>
        <w:pStyle w:val="Heading3"/>
      </w:pPr>
      <w:bookmarkStart w:id="4" w:name="_Ref224133427"/>
      <w:r>
        <w:t>1.2 Full PCR questions</w:t>
      </w:r>
      <w:bookmarkEnd w:id="4"/>
    </w:p>
    <w:p w14:paraId="438079D0" w14:textId="389FFE17" w:rsidR="00944FD2" w:rsidRPr="00944FD2" w:rsidRDefault="00944FD2" w:rsidP="00944FD2">
      <w:r w:rsidRPr="00944FD2">
        <w:t>When you answer NO to the Funding &amp; Activities question, the form will open “Full PCR…” questions (F</w:t>
      </w:r>
      <w:r w:rsidR="00592330">
        <w:t xml:space="preserve"> number</w:t>
      </w:r>
      <w:r w:rsidRPr="00944FD2">
        <w:t>s):</w:t>
      </w:r>
    </w:p>
    <w:p w14:paraId="32CDF48F" w14:textId="5EF38856" w:rsidR="00944FD2" w:rsidRPr="00944FD2" w:rsidRDefault="00944FD2" w:rsidP="00944FD2">
      <w:r w:rsidRPr="00944FD2">
        <w:t>F.1.</w:t>
      </w:r>
      <w:r w:rsidRPr="00944FD2">
        <w:tab/>
      </w:r>
      <w:r w:rsidRPr="00944FD2">
        <w:rPr>
          <w:b/>
          <w:bCs/>
        </w:rPr>
        <w:t>Targeted ENV clearance date:</w:t>
      </w:r>
      <w:r w:rsidRPr="00944FD2">
        <w:t xml:space="preserve"> When does the district want to have all environmental documents completed? This date assists ENV-HIST in prioritizing project review</w:t>
      </w:r>
      <w:r w:rsidR="004148BA">
        <w:t>s</w:t>
      </w:r>
      <w:r w:rsidRPr="00944FD2">
        <w:t>. This date should be more than three months after the submittal date of the PCR.</w:t>
      </w:r>
    </w:p>
    <w:p w14:paraId="222BDD2E" w14:textId="77777777" w:rsidR="00944FD2" w:rsidRPr="00944FD2" w:rsidRDefault="00944FD2" w:rsidP="00944FD2">
      <w:r w:rsidRPr="00944FD2">
        <w:t>F.2.</w:t>
      </w:r>
      <w:r w:rsidRPr="00944FD2">
        <w:tab/>
      </w:r>
      <w:r w:rsidRPr="00944FD2">
        <w:rPr>
          <w:b/>
          <w:bCs/>
        </w:rPr>
        <w:t>Anticipated letting date:</w:t>
      </w:r>
      <w:r w:rsidRPr="00944FD2">
        <w:t xml:space="preserve"> When is projected let date? This date is important because it helps determine how old properties must be to be considered “historic age,” which is any that will be 45 years or older at the time of let. If a project misses the anticipated letting date by more than 5 years, districts must re-coordinate the project finding with ENV-HIST.</w:t>
      </w:r>
    </w:p>
    <w:p w14:paraId="07D0EF47" w14:textId="77777777" w:rsidR="00944FD2" w:rsidRDefault="00944FD2" w:rsidP="00944FD2">
      <w:r w:rsidRPr="00944FD2">
        <w:t>F.3.</w:t>
      </w:r>
      <w:r w:rsidRPr="00944FD2">
        <w:tab/>
      </w:r>
      <w:r w:rsidRPr="00944FD2">
        <w:rPr>
          <w:b/>
          <w:bCs/>
        </w:rPr>
        <w:t>“Historic-age” date (let date minus 45 years):</w:t>
      </w:r>
      <w:r w:rsidRPr="00944FD2">
        <w:t xml:space="preserve"> Automatically populated based on letting date.</w:t>
      </w:r>
    </w:p>
    <w:p w14:paraId="61937CEB" w14:textId="51D2BA0A" w:rsidR="00997CA4" w:rsidRDefault="00997CA4" w:rsidP="00944FD2">
      <w:r w:rsidRPr="00410682">
        <w:t>F.4.</w:t>
      </w:r>
      <w:r>
        <w:rPr>
          <w:i/>
          <w:iCs/>
        </w:rPr>
        <w:t xml:space="preserve"> </w:t>
      </w:r>
      <w:r>
        <w:rPr>
          <w:i/>
          <w:iCs/>
        </w:rPr>
        <w:tab/>
      </w:r>
      <w:r w:rsidRPr="00997CA4">
        <w:rPr>
          <w:b/>
          <w:bCs/>
        </w:rPr>
        <w:t>Federal Permits:</w:t>
      </w:r>
      <w:r w:rsidRPr="00997CA4">
        <w:t xml:space="preserve"> If the project will need any type of federal permit for work, select YES in this drop-down box. This question is important because it indicates to ENV-HIST which federal and state laws and agreements apply to the project. For example, a project may have solely state funds and agreements apply to the project. As another example, the project may have solely state funds but need an USACE permit, and the USACE may review it or require additional information for their compliance with Section 106 regulations.</w:t>
      </w:r>
    </w:p>
    <w:p w14:paraId="05E64C3F" w14:textId="77777777" w:rsidR="00AF6041" w:rsidRPr="00AF6041" w:rsidRDefault="00AF6041" w:rsidP="00163EC9">
      <w:pPr>
        <w:pStyle w:val="ListNumber"/>
        <w:numPr>
          <w:ilvl w:val="0"/>
          <w:numId w:val="10"/>
        </w:numPr>
      </w:pPr>
      <w:r w:rsidRPr="00AF6041">
        <w:t xml:space="preserve">Describe the needed federal permit in the box provided. This could include indicating which Nationwide Permit will cover the project for </w:t>
      </w:r>
      <w:r w:rsidRPr="00AF6041">
        <w:lastRenderedPageBreak/>
        <w:t>the USACE, indicate if an easement is necessary to do work along the international border, or indicate if a USCG permit is needed to demolish a bridge.</w:t>
      </w:r>
    </w:p>
    <w:p w14:paraId="6F07B08D" w14:textId="77777777" w:rsidR="00AF6041" w:rsidRDefault="00AF6041" w:rsidP="00163EC9">
      <w:pPr>
        <w:pStyle w:val="ListNumber"/>
        <w:numPr>
          <w:ilvl w:val="0"/>
          <w:numId w:val="10"/>
        </w:numPr>
      </w:pPr>
      <w:r w:rsidRPr="00AF6041">
        <w:t>If the project will not have any additional federal permitting, select NO in the drop-down box.</w:t>
      </w:r>
    </w:p>
    <w:p w14:paraId="292AD0CF" w14:textId="50DD878B" w:rsidR="002336B4" w:rsidRDefault="002336B4" w:rsidP="002336B4">
      <w:r w:rsidRPr="002336B4">
        <w:t>F.5.</w:t>
      </w:r>
      <w:r w:rsidRPr="002336B4">
        <w:tab/>
      </w:r>
      <w:r w:rsidRPr="008209C3">
        <w:rPr>
          <w:b/>
          <w:bCs/>
        </w:rPr>
        <w:t xml:space="preserve">New </w:t>
      </w:r>
      <w:r w:rsidR="00767861">
        <w:rPr>
          <w:b/>
          <w:bCs/>
        </w:rPr>
        <w:t>right-of-way</w:t>
      </w:r>
      <w:r w:rsidRPr="008209C3">
        <w:rPr>
          <w:b/>
          <w:bCs/>
        </w:rPr>
        <w:t xml:space="preserve"> or Easements:</w:t>
      </w:r>
      <w:r>
        <w:t xml:space="preserve"> If the project needs any type of new </w:t>
      </w:r>
      <w:r w:rsidR="00767861">
        <w:t>right-of-way</w:t>
      </w:r>
      <w:r>
        <w:t xml:space="preserve"> or temporary or permanent easements</w:t>
      </w:r>
      <w:r w:rsidR="00F01EC3">
        <w:rPr>
          <w:rStyle w:val="FootnoteReference"/>
        </w:rPr>
        <w:footnoteReference w:id="4"/>
      </w:r>
      <w:r>
        <w:t>, select YES in this drop-down box. This question is important because it determines the APE for the project. It can also indicate a potential need to comply with the Department of Transportation (DOT) Section 4(f) regulations governing historic sites.</w:t>
      </w:r>
    </w:p>
    <w:p w14:paraId="6A995064" w14:textId="73C25FFE" w:rsidR="002336B4" w:rsidRDefault="002336B4" w:rsidP="00163EC9">
      <w:pPr>
        <w:pStyle w:val="ListNumber"/>
        <w:numPr>
          <w:ilvl w:val="0"/>
          <w:numId w:val="11"/>
        </w:numPr>
      </w:pPr>
      <w:r>
        <w:t xml:space="preserve">Complete the table with the appropriate parcel IDs (if known) and amounts of new </w:t>
      </w:r>
      <w:r w:rsidR="00767861">
        <w:t>right-of-way</w:t>
      </w:r>
      <w:r>
        <w:t xml:space="preserve">, temporary easements, and permanent easements. You can also attach a table to the PCR and indicate “see attached table” in the Parcel ID column; make sure the attached table breaks down the parcels with needed </w:t>
      </w:r>
      <w:r w:rsidR="00004553">
        <w:t>right-of-way</w:t>
      </w:r>
      <w:r>
        <w:t xml:space="preserve"> and easements.</w:t>
      </w:r>
    </w:p>
    <w:p w14:paraId="3DFAB78F" w14:textId="6A33E4C1" w:rsidR="00AF6041" w:rsidRDefault="002336B4" w:rsidP="00163EC9">
      <w:pPr>
        <w:pStyle w:val="ListNumber"/>
        <w:numPr>
          <w:ilvl w:val="0"/>
          <w:numId w:val="11"/>
        </w:numPr>
      </w:pPr>
      <w:r>
        <w:t xml:space="preserve">If the project does not need any type of new </w:t>
      </w:r>
      <w:r w:rsidR="00767861">
        <w:t>right-of-way</w:t>
      </w:r>
      <w:r>
        <w:t xml:space="preserve"> or temporary or permanent easements, select NO. If this changes, ENV-HIST needs to review the project again.</w:t>
      </w:r>
    </w:p>
    <w:p w14:paraId="18D0D983" w14:textId="77777777" w:rsidR="008209C3" w:rsidRDefault="008209C3" w:rsidP="008209C3">
      <w:r>
        <w:t>F.6.</w:t>
      </w:r>
      <w:r>
        <w:tab/>
      </w:r>
      <w:r w:rsidRPr="008209C3">
        <w:rPr>
          <w:b/>
          <w:bCs/>
        </w:rPr>
        <w:t>Maps:</w:t>
      </w:r>
      <w:r>
        <w:t xml:space="preserve"> Upload all appropriate background research maps used for this project either within the PCR or as a separate attachment. </w:t>
      </w:r>
    </w:p>
    <w:p w14:paraId="1F35281F" w14:textId="5A2B21D9" w:rsidR="008209C3" w:rsidRDefault="008209C3" w:rsidP="00163EC9">
      <w:pPr>
        <w:pStyle w:val="ListNumber"/>
        <w:numPr>
          <w:ilvl w:val="0"/>
          <w:numId w:val="12"/>
        </w:numPr>
      </w:pPr>
      <w:r>
        <w:t xml:space="preserve">New </w:t>
      </w:r>
      <w:r w:rsidR="00004553">
        <w:t>right-of-way</w:t>
      </w:r>
      <w:r>
        <w:t xml:space="preserve"> or easement locations help establish </w:t>
      </w:r>
      <w:r w:rsidR="00251200">
        <w:t xml:space="preserve">the </w:t>
      </w:r>
      <w:r>
        <w:t xml:space="preserve">project APE. Indicating these on aerial photos can help ENV-HIST understand the age of buildings on parcels with new </w:t>
      </w:r>
      <w:r w:rsidR="00004553">
        <w:t>right-of-way</w:t>
      </w:r>
      <w:r>
        <w:t xml:space="preserve"> or easements and whether TxDOT will need a historic resources survey.</w:t>
      </w:r>
    </w:p>
    <w:p w14:paraId="5550E336" w14:textId="7E0D1371" w:rsidR="008209C3" w:rsidRDefault="008209C3" w:rsidP="00163EC9">
      <w:pPr>
        <w:pStyle w:val="ListNumber"/>
        <w:numPr>
          <w:ilvl w:val="0"/>
          <w:numId w:val="12"/>
        </w:numPr>
      </w:pPr>
      <w:r>
        <w:lastRenderedPageBreak/>
        <w:t xml:space="preserve">Parcel boundary maps help ENV-HIST understand the extent of a potential historic property. It may be difficult to acquire parcel boundary maps at the PCR stage. If so, contact your assigned ENV-HIST contact to see if maps are necessary at this stage of project review. </w:t>
      </w:r>
    </w:p>
    <w:p w14:paraId="71E46B9B" w14:textId="659DF51E" w:rsidR="002336B4" w:rsidRDefault="007F747D" w:rsidP="00163EC9">
      <w:pPr>
        <w:pStyle w:val="ListNumber"/>
        <w:numPr>
          <w:ilvl w:val="0"/>
          <w:numId w:val="12"/>
        </w:numPr>
      </w:pPr>
      <w:r>
        <w:t xml:space="preserve">THC </w:t>
      </w:r>
      <w:r w:rsidR="008209C3">
        <w:t xml:space="preserve">Historic Sites Atlas and TxDOT Historic Resources Aggregator maps: The </w:t>
      </w:r>
      <w:hyperlink r:id="rId18" w:history="1">
        <w:r w:rsidR="008209C3" w:rsidRPr="00DF77FD">
          <w:rPr>
            <w:rStyle w:val="Hyperlink"/>
          </w:rPr>
          <w:t>Historic Resources Toolkit</w:t>
        </w:r>
      </w:hyperlink>
      <w:r w:rsidR="008209C3">
        <w:t xml:space="preserve"> has links to </w:t>
      </w:r>
      <w:r w:rsidR="00DF77FD">
        <w:t>these</w:t>
      </w:r>
      <w:r w:rsidR="008209C3">
        <w:t xml:space="preserve"> historic property maps. </w:t>
      </w:r>
      <w:r w:rsidR="008209C3" w:rsidRPr="00DF77FD">
        <w:rPr>
          <w:b/>
          <w:bCs/>
        </w:rPr>
        <w:t>ENV-HIST does not require screenshots of these maps.</w:t>
      </w:r>
    </w:p>
    <w:p w14:paraId="231576AD" w14:textId="4AF70B49" w:rsidR="00C867DC" w:rsidRDefault="00C867DC" w:rsidP="00C867DC">
      <w:r>
        <w:t>F.7.</w:t>
      </w:r>
      <w:r>
        <w:tab/>
      </w:r>
      <w:r w:rsidRPr="00C867DC">
        <w:rPr>
          <w:b/>
          <w:bCs/>
        </w:rPr>
        <w:t>Photographs:</w:t>
      </w:r>
      <w:r>
        <w:t xml:space="preserve"> Clear project photographs </w:t>
      </w:r>
      <w:r w:rsidR="00DF77FD">
        <w:t>allow ENV-HIST to</w:t>
      </w:r>
      <w:r w:rsidR="003A149F">
        <w:t xml:space="preserve"> get a sense of the project area,</w:t>
      </w:r>
      <w:r>
        <w:t xml:space="preserve"> with the most important being images of:</w:t>
      </w:r>
    </w:p>
    <w:p w14:paraId="09767F73" w14:textId="76E3FDA7" w:rsidR="00C867DC" w:rsidRDefault="00C867DC" w:rsidP="00163EC9">
      <w:pPr>
        <w:pStyle w:val="ListNumber"/>
        <w:numPr>
          <w:ilvl w:val="0"/>
          <w:numId w:val="13"/>
        </w:numPr>
      </w:pPr>
      <w:r>
        <w:t>Known historic properties identified in background research,</w:t>
      </w:r>
    </w:p>
    <w:p w14:paraId="220425E3" w14:textId="523527C8" w:rsidR="00C867DC" w:rsidRDefault="00C867DC" w:rsidP="00163EC9">
      <w:pPr>
        <w:pStyle w:val="ListNumber"/>
        <w:numPr>
          <w:ilvl w:val="0"/>
          <w:numId w:val="13"/>
        </w:numPr>
      </w:pPr>
      <w:r>
        <w:t>Buildings that are likely to be at least 45 years old at time of project letting (“historic age”),</w:t>
      </w:r>
    </w:p>
    <w:p w14:paraId="142E3768" w14:textId="689BA81D" w:rsidR="00C867DC" w:rsidRDefault="00C867DC" w:rsidP="00163EC9">
      <w:pPr>
        <w:pStyle w:val="ListNumber"/>
        <w:numPr>
          <w:ilvl w:val="0"/>
          <w:numId w:val="13"/>
        </w:numPr>
      </w:pPr>
      <w:r>
        <w:t xml:space="preserve">Properties where TxDOT will acquire new </w:t>
      </w:r>
      <w:r w:rsidR="00004553">
        <w:t>right-of-way</w:t>
      </w:r>
      <w:r>
        <w:t xml:space="preserve"> or easements, and</w:t>
      </w:r>
    </w:p>
    <w:p w14:paraId="4C103E43" w14:textId="54399080" w:rsidR="00C867DC" w:rsidRDefault="00C867DC" w:rsidP="00163EC9">
      <w:pPr>
        <w:pStyle w:val="ListNumber"/>
        <w:numPr>
          <w:ilvl w:val="0"/>
          <w:numId w:val="13"/>
        </w:numPr>
      </w:pPr>
      <w:r>
        <w:t>General setting and overall project study area photographs.</w:t>
      </w:r>
    </w:p>
    <w:p w14:paraId="4E8AA4CD" w14:textId="263173FF" w:rsidR="00410682" w:rsidRDefault="00C867DC" w:rsidP="00C867DC">
      <w:pPr>
        <w:rPr>
          <w:b/>
          <w:bCs/>
        </w:rPr>
      </w:pPr>
      <w:r w:rsidRPr="00A464BC">
        <w:rPr>
          <w:b/>
          <w:bCs/>
        </w:rPr>
        <w:t>Note:</w:t>
      </w:r>
      <w:r>
        <w:t xml:space="preserve"> </w:t>
      </w:r>
      <w:r w:rsidRPr="00C867DC">
        <w:rPr>
          <w:b/>
          <w:bCs/>
        </w:rPr>
        <w:t>Photographs do not need to be taken by professional historians and can be taken by district environmental staff or engineering staff, as appropriate.</w:t>
      </w:r>
    </w:p>
    <w:p w14:paraId="03CD1A90" w14:textId="7E99858C" w:rsidR="008A7F11" w:rsidRDefault="008A7F11" w:rsidP="008A7F11">
      <w:r>
        <w:t>F.8.</w:t>
      </w:r>
      <w:r>
        <w:tab/>
      </w:r>
      <w:r w:rsidRPr="008A7F11">
        <w:rPr>
          <w:b/>
          <w:bCs/>
        </w:rPr>
        <w:t>Preliminary plans:</w:t>
      </w:r>
      <w:r>
        <w:t xml:space="preserve"> Schematics are not required at the PCR level typically, but proposed plans help ENV-HIST understand the project</w:t>
      </w:r>
      <w:r w:rsidR="008C7B49">
        <w:t xml:space="preserve">, </w:t>
      </w:r>
      <w:r>
        <w:t xml:space="preserve">determine </w:t>
      </w:r>
      <w:r w:rsidR="00D872B7">
        <w:t xml:space="preserve">the </w:t>
      </w:r>
      <w:r>
        <w:t>APE</w:t>
      </w:r>
      <w:r w:rsidR="008C7B49">
        <w:t>,</w:t>
      </w:r>
      <w:r>
        <w:t xml:space="preserve"> and </w:t>
      </w:r>
      <w:r w:rsidR="008C7B49">
        <w:t>assess</w:t>
      </w:r>
      <w:r w:rsidR="00D872B7">
        <w:t xml:space="preserve"> </w:t>
      </w:r>
      <w:r>
        <w:t>potential effects to historic properties. If there are project schematics, do not attach them to the PCR</w:t>
      </w:r>
      <w:r w:rsidR="00D872B7">
        <w:t>. Instead</w:t>
      </w:r>
      <w:r>
        <w:t xml:space="preserve">, </w:t>
      </w:r>
      <w:r w:rsidR="00EC49B3">
        <w:t xml:space="preserve">upload </w:t>
      </w:r>
      <w:r>
        <w:t xml:space="preserve">them </w:t>
      </w:r>
      <w:r w:rsidR="00EC49B3">
        <w:t>to</w:t>
      </w:r>
      <w:r>
        <w:t xml:space="preserve"> the general project files in ECOS and refer to </w:t>
      </w:r>
      <w:r w:rsidR="00EC49B3">
        <w:t>them in the PCR.</w:t>
      </w:r>
      <w:r>
        <w:t xml:space="preserve"> </w:t>
      </w:r>
    </w:p>
    <w:p w14:paraId="6E80AA33" w14:textId="704081C2" w:rsidR="008A7F11" w:rsidRDefault="008A7F11" w:rsidP="008A7F11">
      <w:r>
        <w:t>F.9.</w:t>
      </w:r>
      <w:r>
        <w:tab/>
      </w:r>
      <w:r w:rsidRPr="008A7F11">
        <w:rPr>
          <w:b/>
          <w:bCs/>
        </w:rPr>
        <w:t>Historic-age bridges:</w:t>
      </w:r>
      <w:r>
        <w:t xml:space="preserve"> </w:t>
      </w:r>
      <w:r w:rsidR="00C84F21" w:rsidRPr="00C84F21">
        <w:t xml:space="preserve">Not all historic-age bridges are historically significant, and many are not subject to historic preservation regulations </w:t>
      </w:r>
      <w:r w:rsidR="00C84F21" w:rsidRPr="00C84F21">
        <w:lastRenderedPageBreak/>
        <w:t>(such as bridges on the interstate system). List any historic-age bridges in the project area in this table, regardless of whether the project includes work on them. This table helps the ENV-HIST identify any potential historic properties.</w:t>
      </w:r>
    </w:p>
    <w:p w14:paraId="590E66F4" w14:textId="723ECB76" w:rsidR="008A7F11" w:rsidRDefault="008A7F11" w:rsidP="008A7F11">
      <w:r>
        <w:t>F.9.1.</w:t>
      </w:r>
      <w:r>
        <w:tab/>
      </w:r>
      <w:r w:rsidRPr="008A7F11">
        <w:rPr>
          <w:b/>
          <w:bCs/>
        </w:rPr>
        <w:t>County Historical Commission (CHC) consultation:</w:t>
      </w:r>
      <w:r>
        <w:t xml:space="preserve"> </w:t>
      </w:r>
      <w:r w:rsidR="00872D84" w:rsidRPr="00872D84">
        <w:t xml:space="preserve">Certain bridge projects require coordination with County Historical Commissions, as determined by the tool to determine the level of review for bridge projects (see </w:t>
      </w:r>
      <w:r w:rsidR="00813D08">
        <w:rPr>
          <w:color w:val="0056A9"/>
          <w:u w:val="single"/>
        </w:rPr>
        <w:fldChar w:fldCharType="begin"/>
      </w:r>
      <w:r w:rsidR="00813D08">
        <w:instrText xml:space="preserve"> REF _Ref224192054 \h </w:instrText>
      </w:r>
      <w:r w:rsidR="00813D08">
        <w:rPr>
          <w:color w:val="0056A9"/>
          <w:u w:val="single"/>
        </w:rPr>
      </w:r>
      <w:r w:rsidR="00813D08">
        <w:rPr>
          <w:color w:val="0056A9"/>
          <w:u w:val="single"/>
        </w:rPr>
        <w:fldChar w:fldCharType="separate"/>
      </w:r>
      <w:r w:rsidR="00813D08" w:rsidRPr="00813D08">
        <w:rPr>
          <w:color w:val="0056A9" w:themeColor="accent1"/>
          <w:u w:val="single"/>
        </w:rPr>
        <w:t>Appendix D</w:t>
      </w:r>
      <w:r w:rsidR="00813D08">
        <w:rPr>
          <w:color w:val="0056A9"/>
          <w:u w:val="single"/>
        </w:rPr>
        <w:fldChar w:fldCharType="end"/>
      </w:r>
      <w:r w:rsidR="00872D84" w:rsidRPr="00872D84">
        <w:t>). Select YES if the project is a bridge project that requires this coordination. Ensure that any appropriate coordination is in ECOS. Otherwise, select NO.</w:t>
      </w:r>
    </w:p>
    <w:p w14:paraId="1890855F" w14:textId="172B709C" w:rsidR="008A7F11" w:rsidRDefault="008A7F11" w:rsidP="008A7F11">
      <w:r>
        <w:t>F.10</w:t>
      </w:r>
      <w:r w:rsidR="00501BB9">
        <w:t>.</w:t>
      </w:r>
      <w:r>
        <w:tab/>
      </w:r>
      <w:r w:rsidRPr="008A7F11">
        <w:rPr>
          <w:b/>
          <w:bCs/>
        </w:rPr>
        <w:t>Rock masonry features:</w:t>
      </w:r>
      <w:r>
        <w:t xml:space="preserve"> </w:t>
      </w:r>
      <w:r w:rsidR="008A1AC2" w:rsidRPr="008A1AC2">
        <w:t>Structures such as rock walls, rock bridge abutments, rock-lined ditches, or masonry culverts may be the work of Depression-era programs in the area. ENV-HIST has not identified or surveyed all Depression-era (1933–1942) resources in the state, and these structures may warrant additional research. Photographs should include any identifying marks on the structures, including date stamps or plaques.</w:t>
      </w:r>
    </w:p>
    <w:p w14:paraId="7B59421C" w14:textId="30CC2AE2" w:rsidR="008A7F11" w:rsidRDefault="008A7F11" w:rsidP="008A7F11">
      <w:r>
        <w:t>F.11</w:t>
      </w:r>
      <w:r w:rsidR="00501BB9">
        <w:t>.</w:t>
      </w:r>
      <w:r>
        <w:tab/>
      </w:r>
      <w:r w:rsidRPr="008A7F11">
        <w:rPr>
          <w:b/>
          <w:bCs/>
        </w:rPr>
        <w:t>Historic-age rest area(s):</w:t>
      </w:r>
      <w:r>
        <w:t xml:space="preserve"> </w:t>
      </w:r>
      <w:r w:rsidR="00C262A8" w:rsidRPr="00C262A8">
        <w:t>ENV-HIST has not identified or surveyed all historic-age rest areas, picnic areas, and roadside parks in the state, and these places may warrant additional research. In some cases, ENV-HIST will use the map and any information provided on the PCR to make this determination.</w:t>
      </w:r>
    </w:p>
    <w:p w14:paraId="7DC57990" w14:textId="77777777" w:rsidR="00FC6512" w:rsidRDefault="008A7F11" w:rsidP="00AA432B">
      <w:r>
        <w:t>F.12</w:t>
      </w:r>
      <w:r w:rsidR="00501BB9">
        <w:t>.</w:t>
      </w:r>
      <w:r>
        <w:tab/>
      </w:r>
      <w:r w:rsidRPr="008A7F11">
        <w:rPr>
          <w:b/>
          <w:bCs/>
        </w:rPr>
        <w:t>Historical markers:</w:t>
      </w:r>
      <w:r>
        <w:t xml:space="preserve"> </w:t>
      </w:r>
      <w:r w:rsidR="00FC6512" w:rsidRPr="00FC6512">
        <w:t xml:space="preserve">Historical markers come in a variety of types, materials, and sizes. The Texas Historical Commission, and in some cases the County Historical Commission (CHC), keeps an inventory of the location of these markers. If markers need to be relocated or stored to complete a project, TxDOT must coordinate with the local CHC. In some cases, markers are site specific and may not be able to be moved far. If markers do need to </w:t>
      </w:r>
      <w:r w:rsidR="00FC6512" w:rsidRPr="00FC6512">
        <w:lastRenderedPageBreak/>
        <w:t>be relocated for the project, the ENV-HIST will assist the district in reaching out to the CHC and completing any paperwork.</w:t>
      </w:r>
    </w:p>
    <w:p w14:paraId="2A476E19" w14:textId="7BB176CA" w:rsidR="00AA432B" w:rsidRDefault="008A7F11" w:rsidP="00AA432B">
      <w:r>
        <w:t>F.13.</w:t>
      </w:r>
      <w:r>
        <w:tab/>
      </w:r>
      <w:r w:rsidRPr="008A7F11">
        <w:rPr>
          <w:b/>
          <w:bCs/>
        </w:rPr>
        <w:t>Historic Roadway Alignment:</w:t>
      </w:r>
      <w:r>
        <w:t xml:space="preserve"> </w:t>
      </w:r>
      <w:r w:rsidR="009A66D0" w:rsidRPr="009A66D0">
        <w:t>Note if the project roadway is known to be former historic highway alignment (Bankhead, Meridian, Old Spanish Trail, etcetera). If unknown, leave blank.</w:t>
      </w:r>
    </w:p>
    <w:p w14:paraId="4002460D" w14:textId="77777777" w:rsidR="00590820" w:rsidRPr="00590820" w:rsidRDefault="00590820" w:rsidP="00590820">
      <w:r w:rsidRPr="00590820">
        <w:t>F.14.</w:t>
      </w:r>
      <w:r w:rsidRPr="00590820">
        <w:tab/>
      </w:r>
      <w:r w:rsidRPr="00590820">
        <w:rPr>
          <w:b/>
          <w:bCs/>
        </w:rPr>
        <w:t>Additional consulting parties:</w:t>
      </w:r>
      <w:r w:rsidRPr="00590820">
        <w:t xml:space="preserve"> Typical historic preservation consulting parties include:</w:t>
      </w:r>
    </w:p>
    <w:p w14:paraId="3246419B" w14:textId="62270E14" w:rsidR="00590820" w:rsidRPr="00590820" w:rsidRDefault="00590820" w:rsidP="00163EC9">
      <w:pPr>
        <w:pStyle w:val="ListNumber"/>
        <w:numPr>
          <w:ilvl w:val="0"/>
          <w:numId w:val="15"/>
        </w:numPr>
      </w:pPr>
      <w:r w:rsidRPr="00590820">
        <w:t>County Historical Commissions (find a list of CHC chairs on the THC’s website)</w:t>
      </w:r>
    </w:p>
    <w:p w14:paraId="4C4FABD4" w14:textId="6629407A" w:rsidR="00590820" w:rsidRPr="00590820" w:rsidRDefault="00590820" w:rsidP="00163EC9">
      <w:pPr>
        <w:pStyle w:val="ListNumber"/>
        <w:numPr>
          <w:ilvl w:val="0"/>
          <w:numId w:val="15"/>
        </w:numPr>
      </w:pPr>
      <w:r w:rsidRPr="00590820">
        <w:t>Certified Local Governments</w:t>
      </w:r>
      <w:r w:rsidR="00401506">
        <w:t xml:space="preserve"> (CLG)</w:t>
      </w:r>
      <w:r w:rsidRPr="00590820">
        <w:t xml:space="preserve"> (find list of CLG contacts on the THC’s website)</w:t>
      </w:r>
    </w:p>
    <w:p w14:paraId="277FB9A9" w14:textId="3CDE55CB" w:rsidR="00590820" w:rsidRPr="00590820" w:rsidRDefault="00590820" w:rsidP="00163EC9">
      <w:pPr>
        <w:pStyle w:val="ListNumber"/>
        <w:numPr>
          <w:ilvl w:val="0"/>
          <w:numId w:val="15"/>
        </w:numPr>
      </w:pPr>
      <w:r w:rsidRPr="00590820">
        <w:t>Main Street communities (find a list of Main Street community contacts on the THC’s website)</w:t>
      </w:r>
    </w:p>
    <w:p w14:paraId="6A025378" w14:textId="388E30DA" w:rsidR="00590820" w:rsidRPr="00590820" w:rsidRDefault="00590820" w:rsidP="00163EC9">
      <w:pPr>
        <w:pStyle w:val="ListNumber"/>
        <w:numPr>
          <w:ilvl w:val="0"/>
          <w:numId w:val="15"/>
        </w:numPr>
      </w:pPr>
      <w:r w:rsidRPr="00590820">
        <w:t xml:space="preserve">Local preservation organizations (such as Preservation Austin, Houston Mod, </w:t>
      </w:r>
      <w:r w:rsidR="0056759B">
        <w:t>etcetera</w:t>
      </w:r>
      <w:r w:rsidRPr="00590820">
        <w:t>)</w:t>
      </w:r>
    </w:p>
    <w:p w14:paraId="764922F1" w14:textId="41F4E872" w:rsidR="00590820" w:rsidRPr="00590820" w:rsidRDefault="00590820" w:rsidP="00163EC9">
      <w:pPr>
        <w:pStyle w:val="ListNumber"/>
        <w:numPr>
          <w:ilvl w:val="0"/>
          <w:numId w:val="15"/>
        </w:numPr>
      </w:pPr>
      <w:r w:rsidRPr="00590820">
        <w:t>Preservation Texas (a statewide non-profit)</w:t>
      </w:r>
    </w:p>
    <w:p w14:paraId="6ECE7D85" w14:textId="6B8641AA" w:rsidR="00590820" w:rsidRPr="00590820" w:rsidRDefault="00590820" w:rsidP="00163EC9">
      <w:pPr>
        <w:pStyle w:val="ListNumber"/>
        <w:numPr>
          <w:ilvl w:val="0"/>
          <w:numId w:val="15"/>
        </w:numPr>
      </w:pPr>
      <w:r w:rsidRPr="00590820">
        <w:t>Historic Bridge Foundation</w:t>
      </w:r>
    </w:p>
    <w:p w14:paraId="02B24ED5" w14:textId="18921850" w:rsidR="00590820" w:rsidRPr="00590820" w:rsidRDefault="00590820" w:rsidP="00163EC9">
      <w:pPr>
        <w:pStyle w:val="ListNumber"/>
        <w:numPr>
          <w:ilvl w:val="0"/>
          <w:numId w:val="15"/>
        </w:numPr>
      </w:pPr>
      <w:r w:rsidRPr="00590820">
        <w:t>Texas Freedom Colonies Project</w:t>
      </w:r>
    </w:p>
    <w:p w14:paraId="0D86EA12" w14:textId="6C689A6B" w:rsidR="00590820" w:rsidRPr="00590820" w:rsidRDefault="00590820" w:rsidP="00163EC9">
      <w:pPr>
        <w:pStyle w:val="ListNumber"/>
        <w:numPr>
          <w:ilvl w:val="0"/>
          <w:numId w:val="15"/>
        </w:numPr>
      </w:pPr>
      <w:r w:rsidRPr="00590820">
        <w:t>Historic neighborhood associations</w:t>
      </w:r>
    </w:p>
    <w:p w14:paraId="0BCE59DC" w14:textId="03F8E127" w:rsidR="00590820" w:rsidRPr="00590820" w:rsidRDefault="00590820" w:rsidP="00163EC9">
      <w:pPr>
        <w:pStyle w:val="ListNumber"/>
        <w:numPr>
          <w:ilvl w:val="0"/>
          <w:numId w:val="15"/>
        </w:numPr>
      </w:pPr>
      <w:r w:rsidRPr="00590820">
        <w:t>Other parties identified through public involvement or public engagement</w:t>
      </w:r>
    </w:p>
    <w:p w14:paraId="7ACE9716" w14:textId="77777777" w:rsidR="00550E1B" w:rsidRDefault="00590820" w:rsidP="00550E1B">
      <w:r w:rsidRPr="00590820">
        <w:t>F.15.</w:t>
      </w:r>
      <w:r w:rsidRPr="00590820">
        <w:tab/>
      </w:r>
      <w:r w:rsidRPr="00590820">
        <w:rPr>
          <w:b/>
          <w:bCs/>
        </w:rPr>
        <w:t>Additional project comments:</w:t>
      </w:r>
      <w:r w:rsidRPr="00590820">
        <w:t xml:space="preserve"> </w:t>
      </w:r>
      <w:r w:rsidR="00550E1B" w:rsidRPr="00550E1B">
        <w:t>Provide any additional information that may be relevant to ENV-HIST’s review, such as previous historic resource surveys in the project area, any previous coordinations, a detailed description of the project work as it relates to historic properties, etcetera.</w:t>
      </w:r>
    </w:p>
    <w:p w14:paraId="648DE464" w14:textId="622D3171" w:rsidR="008A7F11" w:rsidRDefault="00590820" w:rsidP="00550E1B">
      <w:pPr>
        <w:pStyle w:val="Heading2"/>
      </w:pPr>
      <w:r>
        <w:lastRenderedPageBreak/>
        <w:t>2.0 Final Steps</w:t>
      </w:r>
    </w:p>
    <w:p w14:paraId="1DCF119D" w14:textId="4B958820" w:rsidR="00343EB1" w:rsidRPr="00343EB1" w:rsidRDefault="00343EB1" w:rsidP="00343EB1">
      <w:r w:rsidRPr="00343EB1">
        <w:rPr>
          <w:b/>
          <w:bCs/>
        </w:rPr>
        <w:t>District Personnel Certification:</w:t>
      </w:r>
      <w:r w:rsidRPr="00343EB1">
        <w:t xml:space="preserve"> </w:t>
      </w:r>
      <w:r w:rsidR="008227BF" w:rsidRPr="008227BF">
        <w:t>Whether the project called for a Modified or Full PCR, district personnel should make sure that the information included in the PCR is accurate and updated with project details clearly captured in the WPD screenshots prior to assigning a review to ENV-HIST.</w:t>
      </w:r>
    </w:p>
    <w:p w14:paraId="05F5BA56" w14:textId="00B0E8E8" w:rsidR="00BB02EA" w:rsidRDefault="00BB02EA" w:rsidP="00BB02EA">
      <w:pPr>
        <w:rPr>
          <w:b/>
        </w:rPr>
      </w:pPr>
      <w:r w:rsidRPr="00BB02EA">
        <w:t xml:space="preserve">Once the PCR is complete, follow </w:t>
      </w:r>
      <w:r w:rsidRPr="00BB02EA">
        <w:rPr>
          <w:i/>
          <w:iCs/>
        </w:rPr>
        <w:t>Environmental Guide: Volume 2</w:t>
      </w:r>
      <w:r w:rsidRPr="00BB02EA">
        <w:t xml:space="preserve"> instructions for the “Perform Historical Studies Project Coordination Request (PCR)” Activity, including assigning ENV-HIST a Review of the PCR under the Activity.</w:t>
      </w:r>
    </w:p>
    <w:p w14:paraId="6719D2B2" w14:textId="119B1809" w:rsidR="00343EB1" w:rsidRDefault="00343EB1" w:rsidP="00343EB1">
      <w:pPr>
        <w:pStyle w:val="Heading2"/>
      </w:pPr>
      <w:bookmarkStart w:id="5" w:name="_Ref224211856"/>
      <w:r>
        <w:t>Appendix A: Definitions</w:t>
      </w:r>
      <w:bookmarkEnd w:id="5"/>
    </w:p>
    <w:p w14:paraId="50DE3A1A" w14:textId="77777777" w:rsidR="001A17C9" w:rsidRPr="001A17C9" w:rsidRDefault="001A17C9" w:rsidP="001A17C9">
      <w:r w:rsidRPr="001A17C9">
        <w:t xml:space="preserve">Both the Section 106 PA for FHWA projects in Texas and the Memorandum of Understanding between TxDOT and the THC for the Antiquities Code of Texas include definitions relevant to cultural resource regulations. </w:t>
      </w:r>
    </w:p>
    <w:p w14:paraId="7867D8A0" w14:textId="77777777" w:rsidR="001A17C9" w:rsidRPr="001A17C9" w:rsidRDefault="001A17C9" w:rsidP="001A17C9">
      <w:r w:rsidRPr="001A17C9">
        <w:t>Here are key terms as defined in the Section 106 PA:</w:t>
      </w:r>
    </w:p>
    <w:p w14:paraId="42EE6285" w14:textId="77777777" w:rsidR="001A17C9" w:rsidRPr="001A17C9" w:rsidRDefault="001A17C9" w:rsidP="008C603F">
      <w:pPr>
        <w:pStyle w:val="ListNumber"/>
        <w:numPr>
          <w:ilvl w:val="0"/>
          <w:numId w:val="26"/>
        </w:numPr>
      </w:pPr>
      <w:r w:rsidRPr="001A17C9">
        <w:t>Historic properties – cultural resources that meet the definition outlined per 36 CFR 800.16(l) and that may include the following categories and examples:</w:t>
      </w:r>
    </w:p>
    <w:p w14:paraId="4E464D7A" w14:textId="77777777" w:rsidR="001A17C9" w:rsidRPr="001A17C9" w:rsidRDefault="001A17C9" w:rsidP="008C603F">
      <w:pPr>
        <w:pStyle w:val="ListNumber"/>
        <w:numPr>
          <w:ilvl w:val="1"/>
          <w:numId w:val="24"/>
        </w:numPr>
      </w:pPr>
      <w:r w:rsidRPr="001A17C9">
        <w:t>Archeological – artifacts, archeological sites (including archeological components of properties of traditional religious and cultural importance to a federally recognized Tribe), and cemeteries; or</w:t>
      </w:r>
    </w:p>
    <w:p w14:paraId="7A170DE5" w14:textId="77777777" w:rsidR="001A17C9" w:rsidRPr="001A17C9" w:rsidRDefault="001A17C9" w:rsidP="008C603F">
      <w:pPr>
        <w:pStyle w:val="ListNumber"/>
        <w:numPr>
          <w:ilvl w:val="1"/>
          <w:numId w:val="24"/>
        </w:numPr>
      </w:pPr>
      <w:r w:rsidRPr="001A17C9">
        <w:t>Non-archeological – buildings, structures, sites, districts, objects, cemeteries, above-ground components of properties of traditional religious and cultural importance to a federally recognized Tribe, and cultural landscapes.</w:t>
      </w:r>
    </w:p>
    <w:p w14:paraId="617CFC75" w14:textId="77777777" w:rsidR="001A17C9" w:rsidRPr="001A17C9" w:rsidRDefault="001A17C9" w:rsidP="00163EC9">
      <w:pPr>
        <w:pStyle w:val="ListNumber"/>
      </w:pPr>
      <w:r w:rsidRPr="001A17C9">
        <w:t xml:space="preserve">Area of potential effects (APE) – the geographic area or areas within which an undertaking may directly or indirectly cause changes in the character or use of historic properties, if any such properties exist (36 </w:t>
      </w:r>
      <w:r w:rsidRPr="001A17C9">
        <w:lastRenderedPageBreak/>
        <w:t>CFR 800.16(d)) as defined below or identified through the consulting party process.</w:t>
      </w:r>
    </w:p>
    <w:p w14:paraId="12EDEE7F" w14:textId="77777777" w:rsidR="001A17C9" w:rsidRPr="001A17C9" w:rsidRDefault="001A17C9" w:rsidP="006A665B">
      <w:pPr>
        <w:pStyle w:val="ListNumber"/>
        <w:numPr>
          <w:ilvl w:val="1"/>
          <w:numId w:val="24"/>
        </w:numPr>
      </w:pPr>
      <w:r w:rsidRPr="001A17C9">
        <w:t>Archeological – The APE for archeological properties will be confined to the limits of the proposed project right-of-way (including permanent and temporary easements), utility relocations designated by TxDOT, and project-specific locations designated by TxDOT. The APE also extends to the depth of impacts caused by the undertaking.</w:t>
      </w:r>
    </w:p>
    <w:p w14:paraId="4CE33762" w14:textId="77777777" w:rsidR="001A17C9" w:rsidRPr="001A17C9" w:rsidRDefault="001A17C9" w:rsidP="006A665B">
      <w:pPr>
        <w:pStyle w:val="ListNumber"/>
        <w:numPr>
          <w:ilvl w:val="1"/>
          <w:numId w:val="24"/>
        </w:numPr>
      </w:pPr>
      <w:r w:rsidRPr="001A17C9">
        <w:t>Non-archeological – The APE for non-archeological properties shall be defined as follows and may vary within project limits based on proposed activities:</w:t>
      </w:r>
    </w:p>
    <w:p w14:paraId="43D07BC0" w14:textId="77777777" w:rsidR="001A17C9" w:rsidRPr="001A17C9" w:rsidRDefault="001A17C9" w:rsidP="003150C9">
      <w:pPr>
        <w:pStyle w:val="ListNumber"/>
        <w:numPr>
          <w:ilvl w:val="2"/>
          <w:numId w:val="24"/>
        </w:numPr>
      </w:pPr>
      <w:r w:rsidRPr="001A17C9">
        <w:t>300 feet beyond the proposed edge of new right-of-way (including new permanent and temporary easements), for projects or portions of projects constructed on new location not involving an existing transportation corridor.</w:t>
      </w:r>
    </w:p>
    <w:p w14:paraId="302843BA" w14:textId="77777777" w:rsidR="001A17C9" w:rsidRPr="001A17C9" w:rsidRDefault="001A17C9" w:rsidP="003150C9">
      <w:pPr>
        <w:pStyle w:val="ListNumber"/>
        <w:numPr>
          <w:ilvl w:val="2"/>
          <w:numId w:val="24"/>
        </w:numPr>
      </w:pPr>
      <w:r w:rsidRPr="001A17C9">
        <w:t xml:space="preserve">150 feet beyond the proposed edge of new and existing right-of-way (including new permanent and temporary easements), for </w:t>
      </w:r>
    </w:p>
    <w:p w14:paraId="13BAFB48" w14:textId="77777777" w:rsidR="001A17C9" w:rsidRPr="001A17C9" w:rsidRDefault="001A17C9" w:rsidP="00875164">
      <w:pPr>
        <w:pStyle w:val="ListNumber"/>
        <w:numPr>
          <w:ilvl w:val="3"/>
          <w:numId w:val="24"/>
        </w:numPr>
        <w:ind w:left="2160" w:hanging="720"/>
      </w:pPr>
      <w:r w:rsidRPr="001A17C9">
        <w:t xml:space="preserve">trail projects on new location, and </w:t>
      </w:r>
    </w:p>
    <w:p w14:paraId="0746C24A" w14:textId="529BC12F" w:rsidR="001A17C9" w:rsidRPr="001A17C9" w:rsidRDefault="001A17C9" w:rsidP="00875164">
      <w:pPr>
        <w:pStyle w:val="ListNumber"/>
        <w:numPr>
          <w:ilvl w:val="3"/>
          <w:numId w:val="24"/>
        </w:numPr>
        <w:ind w:left="2160" w:hanging="720"/>
      </w:pPr>
      <w:r w:rsidRPr="001A17C9">
        <w:t xml:space="preserve">projects or portions of projects constructed in existing transportation corridors, including abandoned railroad lines, where new </w:t>
      </w:r>
      <w:r w:rsidR="009F0979">
        <w:t xml:space="preserve">right-of-way </w:t>
      </w:r>
      <w:r w:rsidRPr="001A17C9">
        <w:t>is going to be acquired; or</w:t>
      </w:r>
    </w:p>
    <w:p w14:paraId="40984F26" w14:textId="1685011D" w:rsidR="001A17C9" w:rsidRPr="001A17C9" w:rsidRDefault="001A17C9" w:rsidP="003150C9">
      <w:pPr>
        <w:pStyle w:val="ListNumber"/>
        <w:numPr>
          <w:ilvl w:val="2"/>
          <w:numId w:val="24"/>
        </w:numPr>
      </w:pPr>
      <w:r w:rsidRPr="001A17C9">
        <w:t xml:space="preserve">Abutting features of adjacent parcels within 12 inches of the limits of construction for sidewalk or trail projects within existing </w:t>
      </w:r>
      <w:r w:rsidR="00E800A4">
        <w:t>right-of-way,</w:t>
      </w:r>
    </w:p>
    <w:p w14:paraId="2E213C79" w14:textId="77777777" w:rsidR="001A17C9" w:rsidRPr="001A17C9" w:rsidRDefault="001A17C9" w:rsidP="00875164">
      <w:pPr>
        <w:pStyle w:val="ListNumber"/>
        <w:numPr>
          <w:ilvl w:val="3"/>
          <w:numId w:val="24"/>
        </w:numPr>
        <w:ind w:left="2160" w:hanging="720"/>
      </w:pPr>
      <w:r w:rsidRPr="001A17C9">
        <w:t xml:space="preserve">For purposes of this section, abutting features shall include, but are not limited to, building facades and landscape or streetscape features such as retaining walls, fencing, stairs, brick or other decorative pavement, or formal plantings; </w:t>
      </w:r>
    </w:p>
    <w:p w14:paraId="4C19B55D" w14:textId="77777777" w:rsidR="001A17C9" w:rsidRPr="001A17C9" w:rsidRDefault="001A17C9" w:rsidP="00875164">
      <w:pPr>
        <w:pStyle w:val="ListNumber"/>
        <w:numPr>
          <w:ilvl w:val="3"/>
          <w:numId w:val="24"/>
        </w:numPr>
        <w:ind w:left="2160" w:hanging="720"/>
      </w:pPr>
      <w:r w:rsidRPr="001A17C9">
        <w:lastRenderedPageBreak/>
        <w:t xml:space="preserve">Utilitarian elements alone, such as grass lawns, concrete curbing, storm drains, and parking lots, shall not be considered abutting features. </w:t>
      </w:r>
    </w:p>
    <w:p w14:paraId="114F8E99" w14:textId="77777777" w:rsidR="001A17C9" w:rsidRPr="001A17C9" w:rsidRDefault="001A17C9" w:rsidP="00111A81">
      <w:pPr>
        <w:pStyle w:val="ListNumber"/>
        <w:numPr>
          <w:ilvl w:val="2"/>
          <w:numId w:val="24"/>
        </w:numPr>
      </w:pPr>
      <w:r w:rsidRPr="001A17C9">
        <w:t>The existing right-of-way for project or portions of projects confined to existing right-of-way, excepting those projects with sidewalk components, as noted in letter c above.</w:t>
      </w:r>
    </w:p>
    <w:p w14:paraId="341E46F2" w14:textId="77777777" w:rsidR="001A17C9" w:rsidRPr="001A17C9" w:rsidRDefault="001A17C9" w:rsidP="00337C1B">
      <w:pPr>
        <w:pStyle w:val="ListNumber"/>
        <w:numPr>
          <w:ilvl w:val="2"/>
          <w:numId w:val="24"/>
        </w:numPr>
      </w:pPr>
      <w:r w:rsidRPr="001A17C9">
        <w:t xml:space="preserve">TxDOT and SHPO may consult on the need for specialized APEs to address: </w:t>
      </w:r>
    </w:p>
    <w:p w14:paraId="089470B5" w14:textId="77777777" w:rsidR="001A17C9" w:rsidRPr="001A17C9" w:rsidRDefault="001A17C9" w:rsidP="00337C1B">
      <w:pPr>
        <w:pStyle w:val="ListNumber"/>
        <w:numPr>
          <w:ilvl w:val="3"/>
          <w:numId w:val="24"/>
        </w:numPr>
      </w:pPr>
      <w:r w:rsidRPr="001A17C9">
        <w:t>Elevated roadways and multi-level interchanges</w:t>
      </w:r>
    </w:p>
    <w:p w14:paraId="41B48B79" w14:textId="419B568E" w:rsidR="001A17C9" w:rsidRPr="001A17C9" w:rsidRDefault="001A17C9" w:rsidP="00337C1B">
      <w:pPr>
        <w:pStyle w:val="ListNumber"/>
        <w:numPr>
          <w:ilvl w:val="3"/>
          <w:numId w:val="24"/>
        </w:numPr>
      </w:pPr>
      <w:r w:rsidRPr="001A17C9">
        <w:t>Unusual design features and</w:t>
      </w:r>
      <w:r w:rsidR="009F0979">
        <w:t xml:space="preserve"> </w:t>
      </w:r>
      <w:r w:rsidRPr="001A17C9">
        <w:t>or complexities</w:t>
      </w:r>
    </w:p>
    <w:p w14:paraId="465771E1" w14:textId="77777777" w:rsidR="001A17C9" w:rsidRPr="001A17C9" w:rsidRDefault="001A17C9" w:rsidP="00337C1B">
      <w:pPr>
        <w:pStyle w:val="ListNumber"/>
        <w:numPr>
          <w:ilvl w:val="3"/>
          <w:numId w:val="24"/>
        </w:numPr>
      </w:pPr>
      <w:r w:rsidRPr="001A17C9">
        <w:t xml:space="preserve">Early project planning </w:t>
      </w:r>
    </w:p>
    <w:p w14:paraId="23B8A52C" w14:textId="77777777" w:rsidR="001A17C9" w:rsidRPr="001A17C9" w:rsidRDefault="001A17C9" w:rsidP="00337C1B">
      <w:pPr>
        <w:pStyle w:val="ListNumber"/>
        <w:numPr>
          <w:ilvl w:val="3"/>
          <w:numId w:val="24"/>
        </w:numPr>
      </w:pPr>
      <w:r w:rsidRPr="001A17C9">
        <w:t>The potential for cultural landscapes; or</w:t>
      </w:r>
    </w:p>
    <w:p w14:paraId="7DA55A0E" w14:textId="77777777" w:rsidR="001A17C9" w:rsidRPr="001A17C9" w:rsidRDefault="001A17C9" w:rsidP="00337C1B">
      <w:pPr>
        <w:pStyle w:val="ListNumber"/>
        <w:numPr>
          <w:ilvl w:val="3"/>
          <w:numId w:val="24"/>
        </w:numPr>
      </w:pPr>
      <w:r w:rsidRPr="001A17C9">
        <w:t>Consulting party comments.</w:t>
      </w:r>
    </w:p>
    <w:p w14:paraId="4B7CB974" w14:textId="77777777" w:rsidR="001A17C9" w:rsidRPr="00337C1B" w:rsidRDefault="001A17C9" w:rsidP="00337C1B">
      <w:pPr>
        <w:pStyle w:val="ListNumber"/>
      </w:pPr>
      <w:r w:rsidRPr="00337C1B">
        <w:t>Department delegate – the TxDOT organizational unit delegated responsibility for approval of environmental work and documents by the Executive Director as defined in TxDOT’s rules at 43 TAC 2.8.</w:t>
      </w:r>
    </w:p>
    <w:p w14:paraId="0AE3866A" w14:textId="70D3403E" w:rsidR="001A17C9" w:rsidRPr="00337C1B" w:rsidRDefault="001A17C9" w:rsidP="00337C1B">
      <w:pPr>
        <w:pStyle w:val="ListNumber"/>
      </w:pPr>
      <w:r w:rsidRPr="00337C1B">
        <w:t>Minor widening – roadway projects resulting in pavement profile widened to less than double their original width within existing right-of-way, resulting from adding travel</w:t>
      </w:r>
      <w:r w:rsidR="00C443CC">
        <w:t xml:space="preserve"> or </w:t>
      </w:r>
      <w:r w:rsidRPr="00337C1B">
        <w:t>center-turn lanes or paved shoulders.</w:t>
      </w:r>
    </w:p>
    <w:p w14:paraId="55A839DE" w14:textId="77777777" w:rsidR="001A17C9" w:rsidRPr="00337C1B" w:rsidRDefault="001A17C9" w:rsidP="00337C1B">
      <w:pPr>
        <w:pStyle w:val="ListNumber"/>
      </w:pPr>
      <w:r w:rsidRPr="00337C1B">
        <w:t>New right-of-way – includes land incorporated into transportation uses, including through permanent easements, as well as temporary easements for the purposes of constructing the project.</w:t>
      </w:r>
    </w:p>
    <w:p w14:paraId="31C0DDAE" w14:textId="77777777" w:rsidR="001A17C9" w:rsidRDefault="001A17C9" w:rsidP="00337C1B">
      <w:pPr>
        <w:pStyle w:val="ListNumber"/>
      </w:pPr>
      <w:r w:rsidRPr="00337C1B">
        <w:t>Environmental Compliance toolkits – TxDOT’s online guidance that will be updated as needed to clarify procedures and maintain compliance with state and federal environmental regulations.</w:t>
      </w:r>
    </w:p>
    <w:p w14:paraId="641BEA87" w14:textId="6E1BA152" w:rsidR="00E52873" w:rsidRDefault="00E52873" w:rsidP="00E52873">
      <w:pPr>
        <w:pStyle w:val="Heading2"/>
      </w:pPr>
      <w:bookmarkStart w:id="6" w:name="_Ref224128878"/>
      <w:r>
        <w:lastRenderedPageBreak/>
        <w:t>Appendix B: FHWA PA App 3 &amp; App 4</w:t>
      </w:r>
      <w:bookmarkEnd w:id="6"/>
    </w:p>
    <w:p w14:paraId="09060CF2" w14:textId="7538D83D" w:rsidR="009A7CAF" w:rsidRPr="009A7CAF" w:rsidRDefault="009A7CAF" w:rsidP="009A7CAF">
      <w:r w:rsidRPr="009A7CAF">
        <w:t xml:space="preserve">Find these lists with additional context in sections 3.0 and 4.0 of </w:t>
      </w:r>
      <w:r w:rsidRPr="00C443CC">
        <w:rPr>
          <w:i/>
          <w:iCs/>
        </w:rPr>
        <w:t xml:space="preserve">Guidance: Historical Studies Review Procedures </w:t>
      </w:r>
      <w:r w:rsidRPr="009A7CAF">
        <w:t xml:space="preserve">posted on the </w:t>
      </w:r>
      <w:hyperlink r:id="rId19" w:history="1">
        <w:r w:rsidRPr="009A7CAF">
          <w:rPr>
            <w:rStyle w:val="Hyperlink"/>
            <w:rFonts w:cstheme="minorBidi"/>
          </w:rPr>
          <w:t>Historic Resources Toolkit</w:t>
        </w:r>
      </w:hyperlink>
      <w:r w:rsidRPr="009A7CAF">
        <w:t>.</w:t>
      </w:r>
    </w:p>
    <w:p w14:paraId="482B56C3" w14:textId="77777777" w:rsidR="009A7CAF" w:rsidRPr="009A7CAF" w:rsidRDefault="009A7CAF" w:rsidP="009A7CAF">
      <w:pPr>
        <w:pStyle w:val="Heading3"/>
      </w:pPr>
      <w:bookmarkStart w:id="7" w:name="_Toc165284164"/>
      <w:r w:rsidRPr="009A7CAF">
        <w:t>FHWA PA Appendix 3</w:t>
      </w:r>
      <w:bookmarkEnd w:id="7"/>
    </w:p>
    <w:p w14:paraId="0ACD3EC0" w14:textId="73DE9C0D" w:rsidR="00D77071" w:rsidRPr="00D77071" w:rsidRDefault="009A7CAF" w:rsidP="00D77071">
      <w:pPr>
        <w:rPr>
          <w:bCs/>
          <w:iCs/>
        </w:rPr>
      </w:pPr>
      <w:r w:rsidRPr="009A7CAF">
        <w:rPr>
          <w:bCs/>
          <w:iCs/>
        </w:rPr>
        <w:t xml:space="preserve">The FHWA Section 106 PA Appendix 3 list </w:t>
      </w:r>
      <w:r w:rsidR="00D77071" w:rsidRPr="00D77071">
        <w:rPr>
          <w:bCs/>
          <w:iCs/>
        </w:rPr>
        <w:t xml:space="preserve">includes project types that do not require ENV-HIST screening. This list is the same as “List 1” from the </w:t>
      </w:r>
      <w:r w:rsidR="00D77071" w:rsidRPr="00D77071">
        <w:rPr>
          <w:bCs/>
          <w:i/>
          <w:iCs/>
        </w:rPr>
        <w:t>Lists of Projects that Do Not Require Review or Coordination for Non-Archeological Historic Property Compliance</w:t>
      </w:r>
      <w:r w:rsidR="00D77071" w:rsidRPr="00D77071">
        <w:rPr>
          <w:bCs/>
          <w:iCs/>
        </w:rPr>
        <w:t xml:space="preserve">, found as both a standalone document on the </w:t>
      </w:r>
      <w:hyperlink r:id="rId20" w:history="1">
        <w:r w:rsidR="00D77071" w:rsidRPr="00D77071">
          <w:rPr>
            <w:rStyle w:val="Hyperlink"/>
            <w:rFonts w:cstheme="minorBidi"/>
            <w:bCs/>
            <w:iCs/>
          </w:rPr>
          <w:t>Historic Resources Toolkit</w:t>
        </w:r>
      </w:hyperlink>
      <w:r w:rsidR="00D77071" w:rsidRPr="00D77071">
        <w:rPr>
          <w:bCs/>
          <w:iCs/>
        </w:rPr>
        <w:t xml:space="preserve"> and within the appendices of </w:t>
      </w:r>
      <w:r w:rsidR="00D77071" w:rsidRPr="00D77071">
        <w:rPr>
          <w:bCs/>
          <w:i/>
          <w:iCs/>
        </w:rPr>
        <w:t>Guidance: Historical Studies Review Procedures</w:t>
      </w:r>
      <w:r w:rsidR="00D77071" w:rsidRPr="00D77071">
        <w:rPr>
          <w:bCs/>
          <w:iCs/>
        </w:rPr>
        <w:t>.</w:t>
      </w:r>
    </w:p>
    <w:p w14:paraId="0A667779" w14:textId="2DAE2FBA" w:rsidR="009A7CAF" w:rsidRDefault="009A7CAF" w:rsidP="009A7CAF">
      <w:pPr>
        <w:rPr>
          <w:bCs/>
          <w:iCs/>
        </w:rPr>
      </w:pPr>
      <w:r w:rsidRPr="009A7CAF">
        <w:rPr>
          <w:bCs/>
          <w:iCs/>
        </w:rPr>
        <w:t xml:space="preserve">The following </w:t>
      </w:r>
      <w:r w:rsidR="003F709E">
        <w:rPr>
          <w:bCs/>
          <w:iCs/>
        </w:rPr>
        <w:t xml:space="preserve">project </w:t>
      </w:r>
      <w:r w:rsidRPr="009A7CAF">
        <w:rPr>
          <w:bCs/>
          <w:iCs/>
        </w:rPr>
        <w:t>activities, when funded by FHWA, do not require ENV-HIST to screen</w:t>
      </w:r>
      <w:r w:rsidR="003F709E">
        <w:rPr>
          <w:bCs/>
          <w:iCs/>
        </w:rPr>
        <w:t xml:space="preserve"> them</w:t>
      </w:r>
      <w:r w:rsidRPr="009A7CAF">
        <w:rPr>
          <w:bCs/>
          <w:iCs/>
        </w:rPr>
        <w:t xml:space="preserve">; projects with only these activities do not need Section 106 review or consultation regarding project effects </w:t>
      </w:r>
      <w:r w:rsidR="003F709E">
        <w:rPr>
          <w:bCs/>
          <w:iCs/>
        </w:rPr>
        <w:t>to</w:t>
      </w:r>
      <w:r w:rsidRPr="009A7CAF">
        <w:rPr>
          <w:bCs/>
          <w:iCs/>
        </w:rPr>
        <w:t xml:space="preserve"> non-archeological historic properties.</w:t>
      </w:r>
      <w:r w:rsidRPr="009A7CAF">
        <w:rPr>
          <w:bCs/>
          <w:iCs/>
          <w:vertAlign w:val="superscript"/>
        </w:rPr>
        <w:footnoteReference w:id="5"/>
      </w:r>
      <w:r w:rsidRPr="009A7CAF">
        <w:rPr>
          <w:bCs/>
          <w:iCs/>
        </w:rPr>
        <w:t xml:space="preserve"> </w:t>
      </w:r>
      <w:r w:rsidRPr="009A7CAF">
        <w:rPr>
          <w:bCs/>
          <w:iCs/>
          <w:vertAlign w:val="superscript"/>
        </w:rPr>
        <w:footnoteReference w:id="6"/>
      </w:r>
    </w:p>
    <w:p w14:paraId="21165DE6" w14:textId="524C3511" w:rsidR="00B65047" w:rsidRPr="00B65047" w:rsidRDefault="0082778B" w:rsidP="00875164">
      <w:pPr>
        <w:pStyle w:val="ListNumber"/>
        <w:numPr>
          <w:ilvl w:val="0"/>
          <w:numId w:val="30"/>
        </w:numPr>
        <w:ind w:left="900" w:hanging="540"/>
      </w:pPr>
      <w:r>
        <w:t>I</w:t>
      </w:r>
      <w:r w:rsidR="00B65047" w:rsidRPr="00B65047">
        <w:t>nstallation, repair, or replacement of fencing, signage, traffic signals, railroad warning devices, safety end treatments</w:t>
      </w:r>
      <w:r w:rsidR="00B65047" w:rsidRPr="00B65047">
        <w:rPr>
          <w:vertAlign w:val="superscript"/>
        </w:rPr>
        <w:footnoteReference w:id="7"/>
      </w:r>
      <w:r w:rsidR="00B65047" w:rsidRPr="00B65047">
        <w:t>, cameras</w:t>
      </w:r>
      <w:r>
        <w:t>,</w:t>
      </w:r>
      <w:r w:rsidR="00B65047" w:rsidRPr="00B65047">
        <w:t xml:space="preserve"> and intelligent highway system equipment</w:t>
      </w:r>
      <w:r>
        <w:t>.</w:t>
      </w:r>
      <w:r w:rsidR="00B65047" w:rsidRPr="00B65047">
        <w:t xml:space="preserve"> </w:t>
      </w:r>
    </w:p>
    <w:p w14:paraId="721D00FE" w14:textId="4E57B21B" w:rsidR="00B65047" w:rsidRPr="00B65047" w:rsidRDefault="0082778B" w:rsidP="00875164">
      <w:pPr>
        <w:pStyle w:val="ListNumber"/>
        <w:ind w:left="900" w:hanging="540"/>
      </w:pPr>
      <w:r>
        <w:lastRenderedPageBreak/>
        <w:t>I</w:t>
      </w:r>
      <w:r w:rsidR="00B65047" w:rsidRPr="00B65047">
        <w:t>n-kind repair, replacement of lighting, signals, and non-native stone curbs and gutters</w:t>
      </w:r>
      <w:r>
        <w:t>.</w:t>
      </w:r>
      <w:r w:rsidR="00B65047" w:rsidRPr="00B65047">
        <w:t xml:space="preserve"> </w:t>
      </w:r>
    </w:p>
    <w:p w14:paraId="5DBBF234" w14:textId="3F8685E6" w:rsidR="00B65047" w:rsidRPr="00B65047" w:rsidRDefault="0082778B" w:rsidP="00875164">
      <w:pPr>
        <w:pStyle w:val="ListNumber"/>
        <w:ind w:left="900" w:hanging="540"/>
      </w:pPr>
      <w:r>
        <w:t>M</w:t>
      </w:r>
      <w:r w:rsidR="00B65047" w:rsidRPr="00B65047">
        <w:t>aintenance, repair, or replacement of non-brick roadway surfacing, including crack seal, overlay, milling, grooving, resurfacing, and restriping</w:t>
      </w:r>
      <w:r w:rsidR="00F83185">
        <w:t>.</w:t>
      </w:r>
      <w:r w:rsidR="00B65047" w:rsidRPr="00B65047">
        <w:rPr>
          <w:vertAlign w:val="superscript"/>
        </w:rPr>
        <w:footnoteReference w:id="8"/>
      </w:r>
      <w:r w:rsidR="00B65047" w:rsidRPr="00B65047">
        <w:t xml:space="preserve">  </w:t>
      </w:r>
    </w:p>
    <w:p w14:paraId="0E479E51" w14:textId="471BBD74" w:rsidR="00B65047" w:rsidRPr="00B65047" w:rsidRDefault="00F83185" w:rsidP="00875164">
      <w:pPr>
        <w:pStyle w:val="ListNumber"/>
        <w:ind w:left="900" w:hanging="540"/>
      </w:pPr>
      <w:r>
        <w:t>R</w:t>
      </w:r>
      <w:r w:rsidR="00B65047" w:rsidRPr="00B65047">
        <w:t>emoving sediment, debris, and vegetation from drainage ditches and swales</w:t>
      </w:r>
      <w:r>
        <w:t>.</w:t>
      </w:r>
    </w:p>
    <w:p w14:paraId="6C9152B4" w14:textId="750B79C5" w:rsidR="00B65047" w:rsidRPr="00B65047" w:rsidRDefault="00F83185" w:rsidP="00875164">
      <w:pPr>
        <w:pStyle w:val="ListNumber"/>
        <w:ind w:left="900" w:hanging="540"/>
      </w:pPr>
      <w:r>
        <w:t>A</w:t>
      </w:r>
      <w:r w:rsidR="00B65047" w:rsidRPr="00B65047">
        <w:t xml:space="preserve">ddition or removal of turn lanes, crossovers, shoulders within current paved </w:t>
      </w:r>
      <w:r>
        <w:t>right-of-way.</w:t>
      </w:r>
    </w:p>
    <w:p w14:paraId="1E1EB5F5" w14:textId="1D761F92" w:rsidR="00B65047" w:rsidRPr="00B65047" w:rsidRDefault="00F83185" w:rsidP="00875164">
      <w:pPr>
        <w:pStyle w:val="ListNumber"/>
        <w:ind w:left="900" w:hanging="540"/>
      </w:pPr>
      <w:r>
        <w:t>P</w:t>
      </w:r>
      <w:r w:rsidR="00B65047" w:rsidRPr="00B65047">
        <w:t>urchase, construction, replacement, or rehabilitation of ferry vehicles</w:t>
      </w:r>
      <w:r>
        <w:t>.</w:t>
      </w:r>
    </w:p>
    <w:p w14:paraId="1B374781" w14:textId="0468236B" w:rsidR="00B65047" w:rsidRPr="00B65047" w:rsidRDefault="00F83185" w:rsidP="00875164">
      <w:pPr>
        <w:pStyle w:val="ListNumber"/>
        <w:ind w:left="900" w:hanging="540"/>
      </w:pPr>
      <w:r>
        <w:t>I</w:t>
      </w:r>
      <w:r w:rsidR="00B65047" w:rsidRPr="00B65047">
        <w:t>nstallation, repair, or replacement of ferry fenders on docks or fenders</w:t>
      </w:r>
      <w:r w:rsidR="00F1192B">
        <w:t xml:space="preserve"> or </w:t>
      </w:r>
      <w:r w:rsidR="00B65047" w:rsidRPr="00B65047">
        <w:t>dolphins near any bridge</w:t>
      </w:r>
      <w:r w:rsidR="00F1192B">
        <w:t>.</w:t>
      </w:r>
    </w:p>
    <w:p w14:paraId="32BEEEFD" w14:textId="2A60CDC9" w:rsidR="00B65047" w:rsidRPr="00B65047" w:rsidRDefault="00F1192B" w:rsidP="00875164">
      <w:pPr>
        <w:pStyle w:val="ListNumber"/>
        <w:ind w:left="900" w:hanging="540"/>
      </w:pPr>
      <w:r>
        <w:t>I</w:t>
      </w:r>
      <w:r w:rsidR="00B65047" w:rsidRPr="00B65047">
        <w:t>nstallation, repair, widening, or replacement of non-masonry culverts less than 45 years old at time of let date.</w:t>
      </w:r>
    </w:p>
    <w:p w14:paraId="61E3328E" w14:textId="10C60F8A" w:rsidR="00B65047" w:rsidRPr="00B65047" w:rsidRDefault="00F1192B" w:rsidP="00875164">
      <w:pPr>
        <w:pStyle w:val="ListNumber"/>
        <w:ind w:left="900" w:hanging="540"/>
      </w:pPr>
      <w:r>
        <w:t>R</w:t>
      </w:r>
      <w:r w:rsidR="00B65047" w:rsidRPr="00B65047">
        <w:t>eplacement, upgrade, and repair of safety barriers, non-irrigation ditches, and storm drains</w:t>
      </w:r>
      <w:r>
        <w:t>.</w:t>
      </w:r>
    </w:p>
    <w:p w14:paraId="641758D6" w14:textId="3D2EA067" w:rsidR="00B65047" w:rsidRPr="00B65047" w:rsidRDefault="00F1192B" w:rsidP="00875164">
      <w:pPr>
        <w:pStyle w:val="ListNumber"/>
        <w:ind w:left="900" w:hanging="540"/>
      </w:pPr>
      <w:r>
        <w:t>R</w:t>
      </w:r>
      <w:r w:rsidR="00B65047" w:rsidRPr="00B65047">
        <w:t>eplacement of or repair</w:t>
      </w:r>
      <w:r>
        <w:t xml:space="preserve"> or </w:t>
      </w:r>
      <w:r w:rsidR="00B65047" w:rsidRPr="00B65047">
        <w:t xml:space="preserve">rehabilitation of buildings and structures at TxDOT facilities and picnic and rest areas that are less than 45 years old at time of let date or have been previously determined to be not eligible for listing in the </w:t>
      </w:r>
      <w:r w:rsidR="00710BDE" w:rsidRPr="00B65047">
        <w:t>N</w:t>
      </w:r>
      <w:r w:rsidR="00710BDE">
        <w:t>ational Register of Historic Places</w:t>
      </w:r>
      <w:r w:rsidR="00B65047" w:rsidRPr="00B65047">
        <w:t>.</w:t>
      </w:r>
    </w:p>
    <w:p w14:paraId="6EB7EF1E" w14:textId="26082BF3" w:rsidR="00B65047" w:rsidRPr="00B65047" w:rsidRDefault="00710BDE" w:rsidP="00875164">
      <w:pPr>
        <w:pStyle w:val="ListNumber"/>
        <w:ind w:left="900" w:hanging="540"/>
      </w:pPr>
      <w:r>
        <w:t>I</w:t>
      </w:r>
      <w:r w:rsidR="00B65047" w:rsidRPr="00B65047">
        <w:t>nstallation of landscaping and cable barriers within current right-of-way</w:t>
      </w:r>
      <w:r>
        <w:t>.</w:t>
      </w:r>
    </w:p>
    <w:p w14:paraId="215D48E3" w14:textId="35509E64" w:rsidR="00B65047" w:rsidRPr="00B65047" w:rsidRDefault="000B449C" w:rsidP="00875164">
      <w:pPr>
        <w:pStyle w:val="ListNumber"/>
        <w:ind w:left="900" w:hanging="540"/>
      </w:pPr>
      <w:r>
        <w:lastRenderedPageBreak/>
        <w:t>R</w:t>
      </w:r>
      <w:r w:rsidR="00B65047" w:rsidRPr="00B65047">
        <w:t>elocation or new construction of turn lanes and exit ramps between existing main lanes and existing frontage roads within current right-of-way</w:t>
      </w:r>
      <w:r>
        <w:t>.</w:t>
      </w:r>
    </w:p>
    <w:p w14:paraId="12C1F107" w14:textId="77777777" w:rsidR="00B65047" w:rsidRPr="00B65047" w:rsidRDefault="00B65047" w:rsidP="00875164">
      <w:pPr>
        <w:pStyle w:val="ListNumber"/>
        <w:ind w:left="900" w:hanging="540"/>
      </w:pPr>
      <w:r w:rsidRPr="00B65047">
        <w:t xml:space="preserve">Electric Vehicle Supply Equipment (EVSE) Level 1, 2, or 3 charging stations if proposed for existing parking facilities and that meet the following conditions, as defined by the 2022 ACHP exemption (87 FR 66201):  </w:t>
      </w:r>
    </w:p>
    <w:p w14:paraId="354854BD" w14:textId="7622826A" w:rsidR="00B65047" w:rsidRPr="00B65047" w:rsidRDefault="000B449C" w:rsidP="00875164">
      <w:pPr>
        <w:pStyle w:val="ListNumber"/>
        <w:numPr>
          <w:ilvl w:val="1"/>
          <w:numId w:val="24"/>
        </w:numPr>
        <w:ind w:left="1350" w:hanging="450"/>
      </w:pPr>
      <w:r>
        <w:t>U</w:t>
      </w:r>
      <w:r w:rsidR="00B65047" w:rsidRPr="00B65047">
        <w:t>se reversible, minimally invasive, non-permanent techniques to affix the infrastructure</w:t>
      </w:r>
      <w:r>
        <w:t>,</w:t>
      </w:r>
    </w:p>
    <w:p w14:paraId="32E79D2B" w14:textId="55507DF8" w:rsidR="00B65047" w:rsidRPr="00B65047" w:rsidRDefault="000B449C" w:rsidP="00875164">
      <w:pPr>
        <w:pStyle w:val="ListNumber"/>
        <w:numPr>
          <w:ilvl w:val="1"/>
          <w:numId w:val="24"/>
        </w:numPr>
        <w:ind w:left="1350" w:hanging="450"/>
      </w:pPr>
      <w:r>
        <w:t>M</w:t>
      </w:r>
      <w:r w:rsidR="00B65047" w:rsidRPr="00B65047">
        <w:t>inimize ground disturbance to the maximum extent possible and ensure that it does not exceed previous levels of documented ground disturbance</w:t>
      </w:r>
      <w:r w:rsidR="00504F9A">
        <w:t>,</w:t>
      </w:r>
      <w:r w:rsidR="00B65047" w:rsidRPr="00B65047">
        <w:t xml:space="preserve"> </w:t>
      </w:r>
    </w:p>
    <w:p w14:paraId="7A855189" w14:textId="08C08B68" w:rsidR="00B65047" w:rsidRPr="00B65047" w:rsidRDefault="00504F9A" w:rsidP="00875164">
      <w:pPr>
        <w:pStyle w:val="ListNumber"/>
        <w:numPr>
          <w:ilvl w:val="1"/>
          <w:numId w:val="24"/>
        </w:numPr>
        <w:ind w:left="1350" w:hanging="450"/>
      </w:pPr>
      <w:r>
        <w:t>U</w:t>
      </w:r>
      <w:r w:rsidR="00B65047" w:rsidRPr="00B65047">
        <w:t>se the lowest profile EVSE reasonably available that provides the necessary charging capacity</w:t>
      </w:r>
      <w:r>
        <w:t>,</w:t>
      </w:r>
      <w:r w:rsidR="00B65047" w:rsidRPr="00B65047">
        <w:t xml:space="preserve"> </w:t>
      </w:r>
    </w:p>
    <w:p w14:paraId="6795E995" w14:textId="62F58C5F" w:rsidR="00B65047" w:rsidRPr="00B65047" w:rsidRDefault="00504F9A" w:rsidP="00875164">
      <w:pPr>
        <w:pStyle w:val="ListNumber"/>
        <w:numPr>
          <w:ilvl w:val="1"/>
          <w:numId w:val="24"/>
        </w:numPr>
        <w:ind w:left="1350" w:hanging="450"/>
      </w:pPr>
      <w:r>
        <w:t>P</w:t>
      </w:r>
      <w:r w:rsidR="00B65047" w:rsidRPr="00B65047">
        <w:t>lace the EVSE in a minimally visibly intrusive area</w:t>
      </w:r>
      <w:r>
        <w:t>,</w:t>
      </w:r>
      <w:r w:rsidR="00B65047" w:rsidRPr="00B65047">
        <w:t xml:space="preserve"> and </w:t>
      </w:r>
    </w:p>
    <w:p w14:paraId="7D2ED9DC" w14:textId="6B2AD809" w:rsidR="00B65047" w:rsidRPr="00B65047" w:rsidRDefault="00504F9A" w:rsidP="00875164">
      <w:pPr>
        <w:pStyle w:val="ListNumber"/>
        <w:numPr>
          <w:ilvl w:val="1"/>
          <w:numId w:val="24"/>
        </w:numPr>
        <w:ind w:left="1350" w:hanging="450"/>
      </w:pPr>
      <w:r>
        <w:t>U</w:t>
      </w:r>
      <w:r w:rsidR="00B65047" w:rsidRPr="00B65047">
        <w:t>se colors complementary to surrounding environment, where possible.</w:t>
      </w:r>
    </w:p>
    <w:p w14:paraId="0968B9DF" w14:textId="6EC0AB6E" w:rsidR="00B65047" w:rsidRPr="00B65047" w:rsidRDefault="00B65047" w:rsidP="00504F9A">
      <w:pPr>
        <w:pStyle w:val="ListNumber"/>
        <w:ind w:left="900" w:hanging="540"/>
      </w:pPr>
      <w:r w:rsidRPr="00B65047">
        <w:t xml:space="preserve">Certain bridge projects that require no new </w:t>
      </w:r>
      <w:r w:rsidR="00504F9A">
        <w:t>right-of-way</w:t>
      </w:r>
      <w:r w:rsidRPr="00B65047">
        <w:t xml:space="preserve"> and are not within or adjacent to a historic district, as detailed in </w:t>
      </w:r>
      <w:r w:rsidR="00BE4635">
        <w:fldChar w:fldCharType="begin"/>
      </w:r>
      <w:r w:rsidR="00BE4635">
        <w:instrText xml:space="preserve"> REF _Ref224192054 \h </w:instrText>
      </w:r>
      <w:r w:rsidR="00BE4635">
        <w:fldChar w:fldCharType="separate"/>
      </w:r>
      <w:r w:rsidR="00BE4635" w:rsidRPr="00BE4635">
        <w:rPr>
          <w:color w:val="0056A9"/>
          <w:u w:val="single"/>
        </w:rPr>
        <w:t>Appendix D</w:t>
      </w:r>
      <w:r w:rsidR="00BE4635">
        <w:t>.</w:t>
      </w:r>
      <w:r w:rsidR="00BE4635">
        <w:fldChar w:fldCharType="end"/>
      </w:r>
    </w:p>
    <w:p w14:paraId="2D460246" w14:textId="77777777" w:rsidR="002971B9" w:rsidRPr="002971B9" w:rsidRDefault="0037273C" w:rsidP="002971B9">
      <w:r w:rsidRPr="0037273C">
        <w:t xml:space="preserve">TxDOT district staff shall review project descriptions and other project information as necessary to evaluate whether all of a project’s activities are included in the PA Appendix 3 list. The department delegate has authority to approve a finding that the project is an Appendix 3 type requiring no screening by ENV-HIST. The department delegate, as defined by TxDOT’s </w:t>
      </w:r>
      <w:r w:rsidRPr="0037273C">
        <w:rPr>
          <w:i/>
        </w:rPr>
        <w:t>Environmental Guide: Volume 1</w:t>
      </w:r>
      <w:r w:rsidRPr="0037273C">
        <w:t xml:space="preserve">, shall retain documentation. This documentation is the project description in the ECOS Work Plan Development process, which establishes the basis of any such findings. Project types listed in the PA Appendix 3 shall not be further reviewed under Section 106. Districts do not need to complete a Project Coordination </w:t>
      </w:r>
      <w:bookmarkStart w:id="8" w:name="_Toc165284165"/>
      <w:r w:rsidR="002971B9" w:rsidRPr="002971B9">
        <w:lastRenderedPageBreak/>
        <w:t>Request (PCR) for ENV-HIST for a project that only includes activities on the PA Appendix 3 list.</w:t>
      </w:r>
    </w:p>
    <w:p w14:paraId="773ACAF1" w14:textId="77777777" w:rsidR="002971B9" w:rsidRDefault="002971B9" w:rsidP="002971B9">
      <w:r w:rsidRPr="002971B9">
        <w:t>If a project includes activities that do not fit the PA Appendix 3 categories listed above, the department delegate shall determine if it is an Appendix 4 project.</w:t>
      </w:r>
    </w:p>
    <w:p w14:paraId="03CA8CE6" w14:textId="487CCFC0" w:rsidR="00B65047" w:rsidRPr="00B65047" w:rsidRDefault="00B65047" w:rsidP="002971B9">
      <w:pPr>
        <w:pStyle w:val="Heading3"/>
      </w:pPr>
      <w:r w:rsidRPr="00B65047">
        <w:t>FHWA PA Appendix 4</w:t>
      </w:r>
      <w:bookmarkEnd w:id="8"/>
      <w:r w:rsidRPr="00B65047">
        <w:t xml:space="preserve"> </w:t>
      </w:r>
    </w:p>
    <w:p w14:paraId="5B0DCBD6" w14:textId="77777777" w:rsidR="00B62C79" w:rsidRPr="00B65047" w:rsidRDefault="00B62C79" w:rsidP="00B62C79">
      <w:pPr>
        <w:rPr>
          <w:bCs/>
          <w:iCs/>
        </w:rPr>
      </w:pPr>
      <w:r w:rsidRPr="00B65047">
        <w:rPr>
          <w:bCs/>
          <w:iCs/>
        </w:rPr>
        <w:t xml:space="preserve">Appendix 4 from the FHWA Section 106 PA lists those project types and activities that require ENV-HIST to screen for effects to historic properties. The following project types, when funded by FHWA, require the department delegate to contact the appropriate ENV-HIST staff member to discuss the project and ensure there are no sensitive property types in the APE (see </w:t>
      </w:r>
      <w:r w:rsidRPr="00144DCA">
        <w:rPr>
          <w:b/>
          <w:bCs/>
          <w:iCs/>
          <w:color w:val="0056A9"/>
          <w:u w:val="single"/>
        </w:rPr>
        <w:fldChar w:fldCharType="begin"/>
      </w:r>
      <w:r w:rsidRPr="00144DCA">
        <w:rPr>
          <w:bCs/>
          <w:iCs/>
          <w:color w:val="0056A9"/>
          <w:u w:val="single"/>
        </w:rPr>
        <w:instrText xml:space="preserve"> REF _Ref224036389 \h </w:instrText>
      </w:r>
      <w:r w:rsidRPr="00144DCA">
        <w:rPr>
          <w:b/>
          <w:bCs/>
          <w:iCs/>
          <w:color w:val="0056A9"/>
          <w:u w:val="single"/>
        </w:rPr>
      </w:r>
      <w:r w:rsidRPr="00144DCA">
        <w:rPr>
          <w:b/>
          <w:bCs/>
          <w:iCs/>
          <w:color w:val="0056A9"/>
          <w:u w:val="single"/>
        </w:rPr>
        <w:fldChar w:fldCharType="separate"/>
      </w:r>
      <w:r w:rsidRPr="00144DCA">
        <w:rPr>
          <w:color w:val="0056A9"/>
          <w:u w:val="single"/>
        </w:rPr>
        <w:t>Appendix A</w:t>
      </w:r>
      <w:r w:rsidRPr="00144DCA">
        <w:rPr>
          <w:b/>
          <w:bCs/>
          <w:iCs/>
          <w:color w:val="0056A9"/>
          <w:u w:val="single"/>
        </w:rPr>
        <w:fldChar w:fldCharType="end"/>
      </w:r>
      <w:r>
        <w:rPr>
          <w:b/>
          <w:bCs/>
          <w:iCs/>
        </w:rPr>
        <w:t xml:space="preserve"> </w:t>
      </w:r>
      <w:r w:rsidRPr="00B65047">
        <w:rPr>
          <w:bCs/>
          <w:iCs/>
        </w:rPr>
        <w:t>for APEs</w:t>
      </w:r>
      <w:r>
        <w:rPr>
          <w:bCs/>
          <w:iCs/>
        </w:rPr>
        <w:t xml:space="preserve"> definitions</w:t>
      </w:r>
      <w:r w:rsidRPr="00B65047">
        <w:rPr>
          <w:bCs/>
          <w:iCs/>
        </w:rPr>
        <w:t>). Sensitive property types may include courthouse squares, historic downtown commercial areas, historic residential neighborhoods, farmsteads, historic road corridors (including masonry culverts or brick streets), historic parks or recreation areas, and bridges.</w:t>
      </w:r>
      <w:r w:rsidRPr="00B65047">
        <w:rPr>
          <w:bCs/>
          <w:iCs/>
          <w:vertAlign w:val="superscript"/>
        </w:rPr>
        <w:footnoteReference w:id="9"/>
      </w:r>
      <w:r w:rsidRPr="00B65047">
        <w:rPr>
          <w:bCs/>
          <w:iCs/>
        </w:rPr>
        <w:t xml:space="preserve"> These property types are likely previously identified in local, state, or national registers of historic properties and can be found by checking existing records or through public involvement efforts.</w:t>
      </w:r>
    </w:p>
    <w:p w14:paraId="3B51B599" w14:textId="77777777" w:rsidR="00B62C79" w:rsidRPr="00B65047" w:rsidRDefault="00B62C79" w:rsidP="00B62C79">
      <w:pPr>
        <w:rPr>
          <w:bCs/>
          <w:iCs/>
        </w:rPr>
      </w:pPr>
      <w:r w:rsidRPr="00B65047">
        <w:rPr>
          <w:bCs/>
          <w:iCs/>
        </w:rPr>
        <w:t>These activities require minimal identification efforts to evaluate the project’s potential to affect historic properties. The department delegate shall retain documentation that establishes the basis of any such findings.</w:t>
      </w:r>
    </w:p>
    <w:p w14:paraId="5050AE7D" w14:textId="7BC41F27" w:rsidR="00B65047" w:rsidRPr="00B65047" w:rsidRDefault="00B62C79" w:rsidP="00BC52C3">
      <w:pPr>
        <w:pStyle w:val="ListNumber"/>
        <w:numPr>
          <w:ilvl w:val="0"/>
          <w:numId w:val="31"/>
        </w:numPr>
      </w:pPr>
      <w:r>
        <w:t>R</w:t>
      </w:r>
      <w:r w:rsidR="00B65047" w:rsidRPr="00B65047">
        <w:t xml:space="preserve">outine structural maintenance and repair of highways, railroad crossings, picnic </w:t>
      </w:r>
      <w:r w:rsidR="002672BB" w:rsidRPr="00B65047">
        <w:t>areas,</w:t>
      </w:r>
      <w:r w:rsidR="00B65047" w:rsidRPr="00B65047">
        <w:t xml:space="preserve"> and rest areas</w:t>
      </w:r>
      <w:r>
        <w:t>.</w:t>
      </w:r>
      <w:r w:rsidR="00B65047" w:rsidRPr="00B65047">
        <w:t xml:space="preserve"> </w:t>
      </w:r>
    </w:p>
    <w:p w14:paraId="4242C841" w14:textId="31665374" w:rsidR="00B65047" w:rsidRPr="00B65047" w:rsidRDefault="006771C6" w:rsidP="00BC52C3">
      <w:pPr>
        <w:pStyle w:val="ListNumber"/>
      </w:pPr>
      <w:r>
        <w:lastRenderedPageBreak/>
        <w:t>M</w:t>
      </w:r>
      <w:r w:rsidR="00B65047" w:rsidRPr="00B65047">
        <w:t xml:space="preserve">aintenance, repair, reconfiguration, or correction of roadway geometrics, including intersection improvements and driveway and street connections. </w:t>
      </w:r>
    </w:p>
    <w:p w14:paraId="17092D19" w14:textId="32EA303A" w:rsidR="00B65047" w:rsidRPr="00B65047" w:rsidRDefault="006771C6" w:rsidP="00BC52C3">
      <w:pPr>
        <w:pStyle w:val="ListNumber"/>
      </w:pPr>
      <w:r>
        <w:t>M</w:t>
      </w:r>
      <w:r w:rsidR="00B65047" w:rsidRPr="00B65047">
        <w:t>aintenance, repair, installation or modification of pedestrian and cycling-related features, including Americans with Disabilities Act (ADA) ramps and landings, trails, sidewalks, and bicycle and pedestrian lanes.</w:t>
      </w:r>
    </w:p>
    <w:p w14:paraId="5613D67F" w14:textId="2CF67B10" w:rsidR="00B65047" w:rsidRPr="00B65047" w:rsidRDefault="006771C6" w:rsidP="00BC52C3">
      <w:pPr>
        <w:pStyle w:val="ListNumber"/>
      </w:pPr>
      <w:r>
        <w:t>M</w:t>
      </w:r>
      <w:r w:rsidR="00B65047" w:rsidRPr="00B65047">
        <w:t>aintenance, repair, relocation, addition, or minor widening of roadway, highway, or freeway features, including turn bays, center turn lanes, shoulders, U-turn bays, right turn lanes, travel lanes,</w:t>
      </w:r>
      <w:r w:rsidR="00BC52C3">
        <w:t xml:space="preserve"> </w:t>
      </w:r>
      <w:r w:rsidR="00B65047" w:rsidRPr="00B65047">
        <w:t>interchanges, medians, and ramps</w:t>
      </w:r>
      <w:r>
        <w:t>.</w:t>
      </w:r>
    </w:p>
    <w:p w14:paraId="5218ABBD" w14:textId="3EB58A76" w:rsidR="00B65047" w:rsidRPr="00B65047" w:rsidRDefault="006771C6" w:rsidP="00BC52C3">
      <w:pPr>
        <w:pStyle w:val="ListNumber"/>
      </w:pPr>
      <w:r>
        <w:t>M</w:t>
      </w:r>
      <w:r w:rsidR="00B65047" w:rsidRPr="00B65047">
        <w:t xml:space="preserve">aintenance, repair, replacement, or relocation of features at crossings of irrigation canals, including bridges, new vehicle crossings, bank reshaping, pipeline and standpipe components, canal conversion to below-grade siphons, and utilities. </w:t>
      </w:r>
    </w:p>
    <w:p w14:paraId="17815731" w14:textId="285485AB" w:rsidR="00B65047" w:rsidRPr="00B65047" w:rsidRDefault="00AD5E44" w:rsidP="00BC52C3">
      <w:pPr>
        <w:pStyle w:val="ListNumber"/>
      </w:pPr>
      <w:r>
        <w:t>I</w:t>
      </w:r>
      <w:r w:rsidR="00B65047" w:rsidRPr="00B65047">
        <w:t>nstallation of new safety or mast lighting</w:t>
      </w:r>
      <w:r>
        <w:t>.</w:t>
      </w:r>
    </w:p>
    <w:p w14:paraId="57FAAAFF" w14:textId="59BCFF98" w:rsidR="00B65047" w:rsidRPr="00B65047" w:rsidRDefault="00AD5E44" w:rsidP="00BC52C3">
      <w:pPr>
        <w:pStyle w:val="ListNumber"/>
      </w:pPr>
      <w:r>
        <w:t>I</w:t>
      </w:r>
      <w:r w:rsidR="00B65047" w:rsidRPr="00B65047">
        <w:t xml:space="preserve">ntersection improvements within existing </w:t>
      </w:r>
      <w:r>
        <w:t xml:space="preserve">right-of-way </w:t>
      </w:r>
      <w:r w:rsidR="00B65047" w:rsidRPr="00B65047">
        <w:t>outside of historic districts</w:t>
      </w:r>
      <w:r>
        <w:t>.</w:t>
      </w:r>
    </w:p>
    <w:p w14:paraId="0302433A" w14:textId="77777777" w:rsidR="00981F36" w:rsidRPr="00981F36" w:rsidRDefault="00B65047" w:rsidP="00981F36">
      <w:pPr>
        <w:pStyle w:val="ListNumber"/>
      </w:pPr>
      <w:r w:rsidRPr="00B65047">
        <w:t xml:space="preserve">Electric Vehicle Supply Equipment (EVSE) not included in 2022 ACHP exemption (87 FR 66201), as outlined in the </w:t>
      </w:r>
      <w:r w:rsidR="00981F36" w:rsidRPr="00981F36">
        <w:rPr>
          <w:bCs/>
        </w:rPr>
        <w:t xml:space="preserve">FHWA PA Appendix 3 </w:t>
      </w:r>
      <w:r w:rsidR="00981F36" w:rsidRPr="00981F36">
        <w:t>(</w:t>
      </w:r>
      <w:r w:rsidR="00981F36" w:rsidRPr="00981F36">
        <w:rPr>
          <w:color w:val="0056A9"/>
          <w:u w:val="single"/>
        </w:rPr>
        <w:fldChar w:fldCharType="begin"/>
      </w:r>
      <w:r w:rsidR="00981F36" w:rsidRPr="00981F36">
        <w:rPr>
          <w:color w:val="0056A9"/>
          <w:u w:val="single"/>
        </w:rPr>
        <w:instrText xml:space="preserve"> PAGEREF _Ref224041867 \h </w:instrText>
      </w:r>
      <w:r w:rsidR="00981F36" w:rsidRPr="00981F36">
        <w:rPr>
          <w:color w:val="0056A9"/>
          <w:u w:val="single"/>
        </w:rPr>
      </w:r>
      <w:r w:rsidR="00981F36" w:rsidRPr="00981F36">
        <w:rPr>
          <w:color w:val="0056A9"/>
          <w:u w:val="single"/>
        </w:rPr>
        <w:fldChar w:fldCharType="separate"/>
      </w:r>
      <w:r w:rsidR="00981F36" w:rsidRPr="00981F36">
        <w:rPr>
          <w:noProof/>
          <w:color w:val="0056A9"/>
          <w:u w:val="single"/>
        </w:rPr>
        <w:t>Item 13</w:t>
      </w:r>
      <w:r w:rsidR="00981F36" w:rsidRPr="00981F36">
        <w:rPr>
          <w:color w:val="0056A9"/>
          <w:u w:val="single"/>
        </w:rPr>
        <w:fldChar w:fldCharType="end"/>
      </w:r>
      <w:r w:rsidR="00981F36" w:rsidRPr="00981F36">
        <w:t>).</w:t>
      </w:r>
    </w:p>
    <w:p w14:paraId="1E9E6320" w14:textId="53259D5C" w:rsidR="00BC52C3" w:rsidRDefault="00B65047" w:rsidP="00BC52C3">
      <w:pPr>
        <w:pStyle w:val="ListNumber"/>
      </w:pPr>
      <w:r w:rsidRPr="00B65047">
        <w:t xml:space="preserve">Certain bridge projects that require </w:t>
      </w:r>
      <w:bookmarkStart w:id="9" w:name="_Ref224128968"/>
      <w:r w:rsidR="00D55DA9" w:rsidRPr="00D55DA9">
        <w:t xml:space="preserve">less than two acres of new right-of-way and are not within or adjacent to a historic district, as detailed in </w:t>
      </w:r>
      <w:r w:rsidR="00D55DA9" w:rsidRPr="00D55DA9">
        <w:rPr>
          <w:bCs/>
          <w:color w:val="0056A9"/>
          <w:u w:val="single"/>
        </w:rPr>
        <w:fldChar w:fldCharType="begin"/>
      </w:r>
      <w:r w:rsidR="00D55DA9" w:rsidRPr="00D55DA9">
        <w:rPr>
          <w:color w:val="0056A9"/>
          <w:u w:val="single"/>
        </w:rPr>
        <w:instrText xml:space="preserve"> REF _Ref224036177 \h </w:instrText>
      </w:r>
      <w:r w:rsidR="00D55DA9" w:rsidRPr="00D55DA9">
        <w:rPr>
          <w:bCs/>
          <w:color w:val="0056A9"/>
          <w:u w:val="single"/>
        </w:rPr>
      </w:r>
      <w:r w:rsidR="00D55DA9" w:rsidRPr="00D55DA9">
        <w:rPr>
          <w:bCs/>
          <w:color w:val="0056A9"/>
          <w:u w:val="single"/>
        </w:rPr>
        <w:fldChar w:fldCharType="separate"/>
      </w:r>
      <w:r w:rsidR="00D55DA9" w:rsidRPr="00D55DA9">
        <w:rPr>
          <w:color w:val="0056A9"/>
          <w:u w:val="single"/>
        </w:rPr>
        <w:t>Appendix D</w:t>
      </w:r>
      <w:r w:rsidR="00D55DA9" w:rsidRPr="00D55DA9">
        <w:rPr>
          <w:color w:val="0056A9"/>
        </w:rPr>
        <w:fldChar w:fldCharType="end"/>
      </w:r>
      <w:r w:rsidR="00D55DA9" w:rsidRPr="00D55DA9">
        <w:rPr>
          <w:bCs/>
        </w:rPr>
        <w:t>.</w:t>
      </w:r>
      <w:bookmarkEnd w:id="9"/>
    </w:p>
    <w:p w14:paraId="16E90937" w14:textId="0C335CF0" w:rsidR="00D55DA9" w:rsidRDefault="00D55DA9" w:rsidP="00D55DA9">
      <w:pPr>
        <w:pStyle w:val="Heading2"/>
      </w:pPr>
      <w:r>
        <w:lastRenderedPageBreak/>
        <w:t>Appendix C: Non-FHWA Projects</w:t>
      </w:r>
    </w:p>
    <w:p w14:paraId="351F142A" w14:textId="43F98130" w:rsidR="00C17025" w:rsidRPr="00C17025" w:rsidRDefault="00C17025" w:rsidP="00C17025">
      <w:r w:rsidRPr="00C17025">
        <w:t xml:space="preserve">For projects with no FHWA involvement, TxDOT must still consider the effects of the projects under the Antiquities Code of Texas (ACT) and </w:t>
      </w:r>
      <w:r w:rsidR="00443069">
        <w:t xml:space="preserve">to </w:t>
      </w:r>
      <w:r w:rsidRPr="00C17025">
        <w:t>possibly notify or meet requirements for other federal agencies.</w:t>
      </w:r>
      <w:r w:rsidRPr="00C17025">
        <w:rPr>
          <w:vertAlign w:val="superscript"/>
        </w:rPr>
        <w:footnoteReference w:id="10"/>
      </w:r>
      <w:r w:rsidRPr="00C17025">
        <w:t xml:space="preserve"> </w:t>
      </w:r>
    </w:p>
    <w:p w14:paraId="322566E9" w14:textId="77777777" w:rsidR="00C7674B" w:rsidRPr="00C17025" w:rsidRDefault="00C7674B" w:rsidP="00C7674B">
      <w:r w:rsidRPr="00C17025">
        <w:t xml:space="preserve">This appendix is excerpted from content found in Section 8.0 of </w:t>
      </w:r>
      <w:r w:rsidRPr="0010049B">
        <w:rPr>
          <w:i/>
          <w:iCs/>
        </w:rPr>
        <w:t xml:space="preserve">Guidance: Historical Studies Review Procedures </w:t>
      </w:r>
      <w:r w:rsidRPr="00C17025">
        <w:t>and presented here</w:t>
      </w:r>
      <w:r>
        <w:t>,</w:t>
      </w:r>
      <w:r w:rsidRPr="00C17025">
        <w:t xml:space="preserve"> assuming that ECOS generated a PCR activity for a project based on the response to the Historical Studies question on the WPD Section II</w:t>
      </w:r>
      <w:r>
        <w:t xml:space="preserve"> </w:t>
      </w:r>
      <w:r w:rsidRPr="00C17025">
        <w:t>Tool.</w:t>
      </w:r>
    </w:p>
    <w:p w14:paraId="59D36B17" w14:textId="4C10D244" w:rsidR="00C17025" w:rsidRPr="00C17025" w:rsidRDefault="00C17025" w:rsidP="00C17025">
      <w:r w:rsidRPr="00C17025">
        <w:rPr>
          <w:b/>
          <w:bCs/>
        </w:rPr>
        <w:t>For non-FHWA projects, the project needs a PCR</w:t>
      </w:r>
      <w:r w:rsidRPr="00C17025">
        <w:rPr>
          <w:vertAlign w:val="superscript"/>
        </w:rPr>
        <w:footnoteReference w:id="11"/>
      </w:r>
      <w:r w:rsidRPr="00C17025">
        <w:rPr>
          <w:b/>
          <w:bCs/>
        </w:rPr>
        <w:t xml:space="preserve"> if any of the following are true</w:t>
      </w:r>
      <w:r w:rsidRPr="00C17025">
        <w:t>:</w:t>
      </w:r>
    </w:p>
    <w:p w14:paraId="1EC0468C" w14:textId="77777777" w:rsidR="00C17025" w:rsidRPr="00C17025" w:rsidRDefault="00C17025" w:rsidP="00C17025">
      <w:pPr>
        <w:pStyle w:val="ListNumber"/>
        <w:numPr>
          <w:ilvl w:val="0"/>
          <w:numId w:val="34"/>
        </w:numPr>
      </w:pPr>
      <w:r w:rsidRPr="00C17025">
        <w:t>The department delegate anticipates that the project will use non-FHWA federal funds or will require any federal approvals, permits, licenses, or properties; or</w:t>
      </w:r>
    </w:p>
    <w:p w14:paraId="515F1FA2" w14:textId="77777777" w:rsidR="00C17025" w:rsidRPr="00C17025" w:rsidRDefault="00C17025" w:rsidP="00E66098">
      <w:pPr>
        <w:pStyle w:val="ListNumber"/>
      </w:pPr>
      <w:r w:rsidRPr="00C17025">
        <w:lastRenderedPageBreak/>
        <w:t>There are previously recorded historic properties or county courthouses within the project location; or</w:t>
      </w:r>
      <w:r w:rsidRPr="00C17025">
        <w:rPr>
          <w:vertAlign w:val="superscript"/>
        </w:rPr>
        <w:footnoteReference w:id="12"/>
      </w:r>
      <w:r w:rsidRPr="00C17025">
        <w:t xml:space="preserve">  </w:t>
      </w:r>
    </w:p>
    <w:p w14:paraId="494D5B39" w14:textId="32853ED6" w:rsidR="00C17025" w:rsidRPr="00C17025" w:rsidRDefault="00C17025" w:rsidP="00E66098">
      <w:pPr>
        <w:pStyle w:val="ListNumber"/>
      </w:pPr>
      <w:r w:rsidRPr="00C17025">
        <w:t xml:space="preserve">The project activities do not all appear on List 2 of </w:t>
      </w:r>
      <w:r w:rsidRPr="00EB539F">
        <w:rPr>
          <w:i/>
          <w:iCs/>
        </w:rPr>
        <w:t>List of Projects that Do Not Require Review or Coordination for Non-Archeological Historic Property Compliance</w:t>
      </w:r>
      <w:r w:rsidRPr="00C17025">
        <w:t>, duplicated below.</w:t>
      </w:r>
    </w:p>
    <w:p w14:paraId="37B17D96" w14:textId="2852EBB4" w:rsidR="00C17025" w:rsidRDefault="00C17025" w:rsidP="00C17025">
      <w:pPr>
        <w:rPr>
          <w:b/>
          <w:bCs/>
        </w:rPr>
      </w:pPr>
      <w:r w:rsidRPr="00C17025">
        <w:rPr>
          <w:b/>
          <w:bCs/>
        </w:rPr>
        <w:t>This List appears in a stand-alone document—</w:t>
      </w:r>
      <w:r w:rsidRPr="00EB539F">
        <w:rPr>
          <w:b/>
          <w:bCs/>
          <w:i/>
          <w:iCs/>
        </w:rPr>
        <w:t>List of Projects that Do Not Require Review…</w:t>
      </w:r>
      <w:r w:rsidRPr="00C17025">
        <w:rPr>
          <w:b/>
          <w:bCs/>
        </w:rPr>
        <w:t xml:space="preserve">”—and as an appendix in </w:t>
      </w:r>
      <w:r w:rsidRPr="00EB539F">
        <w:rPr>
          <w:b/>
          <w:bCs/>
          <w:i/>
          <w:iCs/>
        </w:rPr>
        <w:t>Guidance: Historical Studies Review Procedures</w:t>
      </w:r>
      <w:r w:rsidRPr="00C17025">
        <w:rPr>
          <w:b/>
          <w:bCs/>
        </w:rPr>
        <w:t xml:space="preserve">, both of which can be found on the </w:t>
      </w:r>
      <w:hyperlink r:id="rId21" w:history="1">
        <w:r w:rsidRPr="00E14E58">
          <w:rPr>
            <w:rStyle w:val="Hyperlink"/>
            <w:rFonts w:cstheme="minorBidi"/>
            <w:b/>
            <w:bCs/>
          </w:rPr>
          <w:t>Historic Resources Toolkit</w:t>
        </w:r>
      </w:hyperlink>
      <w:r w:rsidRPr="00C17025">
        <w:rPr>
          <w:b/>
          <w:bCs/>
        </w:rPr>
        <w:t>.</w:t>
      </w:r>
    </w:p>
    <w:p w14:paraId="71B79D63" w14:textId="77777777" w:rsidR="00077186" w:rsidRPr="00077186" w:rsidRDefault="00077186" w:rsidP="00077186">
      <w:pPr>
        <w:rPr>
          <w:b/>
          <w:bCs/>
          <w:i/>
          <w:iCs/>
        </w:rPr>
      </w:pPr>
      <w:bookmarkStart w:id="10" w:name="_Toc165284167"/>
      <w:r w:rsidRPr="00077186">
        <w:rPr>
          <w:b/>
          <w:bCs/>
          <w:i/>
          <w:iCs/>
        </w:rPr>
        <w:t>List 2: Non-FHWA projects…</w:t>
      </w:r>
      <w:r w:rsidRPr="00077186">
        <w:rPr>
          <w:b/>
          <w:bCs/>
          <w:i/>
          <w:iCs/>
          <w:vertAlign w:val="superscript"/>
        </w:rPr>
        <w:footnoteReference w:id="13"/>
      </w:r>
      <w:bookmarkEnd w:id="10"/>
      <w:r w:rsidRPr="00077186">
        <w:rPr>
          <w:b/>
          <w:bCs/>
          <w:i/>
          <w:iCs/>
        </w:rPr>
        <w:t xml:space="preserve"> </w:t>
      </w:r>
    </w:p>
    <w:p w14:paraId="2C1DD1AE" w14:textId="66823E72" w:rsidR="00077186" w:rsidRPr="00077186" w:rsidRDefault="00077186" w:rsidP="00077186">
      <w:r w:rsidRPr="00077186">
        <w:rPr>
          <w:b/>
          <w:bCs/>
        </w:rPr>
        <w:t xml:space="preserve">Use List 2 for a non-FHWA project on non-federal public land, </w:t>
      </w:r>
      <w:r w:rsidRPr="00077186">
        <w:t xml:space="preserve">such as </w:t>
      </w:r>
      <w:r w:rsidR="006D2842" w:rsidRPr="006D2842">
        <w:t xml:space="preserve">a state- or locally funded project occurring within TxDOT right-of-way. This list includes activities with limited potential to affect non-archeological historic properties as defined under the </w:t>
      </w:r>
      <w:r w:rsidR="006D2842">
        <w:t>ACT</w:t>
      </w:r>
      <w:r w:rsidR="006D2842" w:rsidRPr="006D2842">
        <w:t>.</w:t>
      </w:r>
    </w:p>
    <w:p w14:paraId="0F01DDA6" w14:textId="77777777" w:rsidR="00077186" w:rsidRPr="00077186" w:rsidRDefault="00077186" w:rsidP="001F55F1">
      <w:pPr>
        <w:pStyle w:val="ListNumber"/>
        <w:numPr>
          <w:ilvl w:val="0"/>
          <w:numId w:val="37"/>
        </w:numPr>
      </w:pPr>
      <w:r w:rsidRPr="00077186">
        <w:lastRenderedPageBreak/>
        <w:t xml:space="preserve">Maintenance, repair, installation, or replacement, of transportation-related </w:t>
      </w:r>
      <w:r w:rsidRPr="001F55F1">
        <w:t>features</w:t>
      </w:r>
      <w:r w:rsidRPr="00077186">
        <w:t>, including fencing, signage, traffic signals, railroad warning devices, safety end treatments, cameras and intelligent highway system equipment, non-historic bridges, railroad crossings, lighting, curbs and gutters, safety barriers, ditches, storm drains, non-historic culverts, overpasses, channels, rip rap, and noise barriers.</w:t>
      </w:r>
    </w:p>
    <w:p w14:paraId="55A0F030" w14:textId="0AB7044F" w:rsidR="00077186" w:rsidRPr="00077186" w:rsidRDefault="00077186" w:rsidP="00077186">
      <w:pPr>
        <w:pStyle w:val="ListNumber"/>
      </w:pPr>
      <w:r w:rsidRPr="00077186">
        <w:t>Maintenance and in-kind repair of designated historic bridges, picnic areas, rest areas, roadside parks, and culverts</w:t>
      </w:r>
      <w:r w:rsidR="00600756">
        <w:t>.</w:t>
      </w:r>
    </w:p>
    <w:p w14:paraId="1A2B34D6" w14:textId="77777777" w:rsidR="00077186" w:rsidRPr="00077186" w:rsidRDefault="00077186" w:rsidP="00077186">
      <w:pPr>
        <w:pStyle w:val="ListNumber"/>
      </w:pPr>
      <w:r w:rsidRPr="00077186">
        <w:t>Maintenance, repair, or replacement of roadway surfacing, including crack seal, overlay, milling, grooving, resurfacing, and restriping.</w:t>
      </w:r>
    </w:p>
    <w:p w14:paraId="0696AF97" w14:textId="77777777" w:rsidR="00077186" w:rsidRPr="00077186" w:rsidRDefault="00077186" w:rsidP="00077186">
      <w:pPr>
        <w:pStyle w:val="ListNumber"/>
      </w:pPr>
      <w:r w:rsidRPr="00077186">
        <w:t>Maintenance, repair, reconfiguration, or correction of roadway geometrics, including intersection improvements and driveway and street connections.</w:t>
      </w:r>
    </w:p>
    <w:p w14:paraId="5DDAF005" w14:textId="77777777" w:rsidR="00077186" w:rsidRPr="00077186" w:rsidRDefault="00077186" w:rsidP="00077186">
      <w:pPr>
        <w:pStyle w:val="ListNumber"/>
      </w:pPr>
      <w:r w:rsidRPr="00077186">
        <w:t>Maintenance, repair, installation, or modification of pedestrian and cycling-related features, including American with Disabilities Act ramps, trails, sidewalks, and bicycle and pedestrian lanes, unless they are on historic properties protected as State Antiquities Landmarks (SALs), county courthouse, or by preservation easement or covenant.</w:t>
      </w:r>
    </w:p>
    <w:p w14:paraId="3336EA8D" w14:textId="77777777" w:rsidR="00077186" w:rsidRPr="00077186" w:rsidRDefault="00077186" w:rsidP="00077186">
      <w:pPr>
        <w:pStyle w:val="ListNumber"/>
      </w:pPr>
      <w:r w:rsidRPr="00077186">
        <w:t>Maintenance, repair, relocation, addition, or minor widening (less than double original pavement profile) of roadway, highway, or freeway features, including turn bays, center turn lanes, shoulders, U-turn bays, right turn lanes, left turn lanes, travel lanes, interchanges, medians, and ramps.</w:t>
      </w:r>
    </w:p>
    <w:p w14:paraId="5CD0EAED" w14:textId="77777777" w:rsidR="00077186" w:rsidRPr="00077186" w:rsidRDefault="00077186" w:rsidP="00077186">
      <w:pPr>
        <w:pStyle w:val="ListNumber"/>
      </w:pPr>
      <w:r w:rsidRPr="00077186">
        <w:t>Maintenance, repair, replacement, or relocation of features at crossings of irrigation canals, including bridges, new vehicle crossings, bank reshaping, pipeline and standpipe components, canal conversion to below-grade siphons, and utilities.</w:t>
      </w:r>
    </w:p>
    <w:p w14:paraId="55D17FC8" w14:textId="77777777" w:rsidR="00077186" w:rsidRPr="00077186" w:rsidRDefault="00077186" w:rsidP="00077186">
      <w:pPr>
        <w:pStyle w:val="ListNumber"/>
      </w:pPr>
      <w:r w:rsidRPr="00077186">
        <w:t xml:space="preserve">Repairs needed as a result of an event, natural or man-made, which causes damage to a designated state highway, resulting in an imminent threat to life or property of the traveling public, or which </w:t>
      </w:r>
      <w:r w:rsidRPr="00077186">
        <w:lastRenderedPageBreak/>
        <w:t>substantially disrupts or may disrupt the orderly flow of traffic or commerce.</w:t>
      </w:r>
    </w:p>
    <w:p w14:paraId="3EED20CD" w14:textId="3BEB60BE" w:rsidR="00343EB1" w:rsidRDefault="00077186" w:rsidP="00343EB1">
      <w:pPr>
        <w:pStyle w:val="ListNumber"/>
      </w:pPr>
      <w:r w:rsidRPr="00077186">
        <w:t>Design changes for projects that have completed all applicable review and consultation where the new project elements comprise only one or more of the activities listed above.</w:t>
      </w:r>
    </w:p>
    <w:p w14:paraId="24781AD2" w14:textId="06958463" w:rsidR="004B44A1" w:rsidRDefault="004B44A1" w:rsidP="004B44A1">
      <w:pPr>
        <w:pStyle w:val="Heading2"/>
      </w:pPr>
      <w:bookmarkStart w:id="11" w:name="_Ref224192054"/>
      <w:r>
        <w:t>Appendix D: Bridges</w:t>
      </w:r>
      <w:bookmarkEnd w:id="11"/>
    </w:p>
    <w:p w14:paraId="1492269F" w14:textId="5224EFB6" w:rsidR="00A26A77" w:rsidRDefault="00F66665" w:rsidP="004B44A1">
      <w:r w:rsidRPr="00F66665">
        <w:t xml:space="preserve">TxDOT has special considerations for Bridges. This Bridge Projects question-and-answer tool can be found as a standalone document and as Appendix D of the </w:t>
      </w:r>
      <w:r w:rsidRPr="009546B0">
        <w:rPr>
          <w:i/>
          <w:iCs/>
        </w:rPr>
        <w:t>Guidance: Historical Studies Review Procedures</w:t>
      </w:r>
      <w:r w:rsidRPr="00F66665">
        <w:t xml:space="preserve">, both posted on the </w:t>
      </w:r>
      <w:hyperlink r:id="rId22" w:history="1">
        <w:r w:rsidRPr="00F66665">
          <w:rPr>
            <w:rStyle w:val="Hyperlink"/>
            <w:rFonts w:cstheme="minorBidi"/>
          </w:rPr>
          <w:t>Historic Resources Toolkit</w:t>
        </w:r>
      </w:hyperlink>
      <w:r w:rsidR="009546B0">
        <w:t>.</w:t>
      </w:r>
      <w:r w:rsidRPr="00F66665">
        <w:t xml:space="preserve"> </w:t>
      </w:r>
      <w:r w:rsidR="00FA54D6">
        <w:t>S</w:t>
      </w:r>
      <w:r w:rsidRPr="00F66665">
        <w:t>ome references have been updated for use in this document.</w:t>
      </w:r>
    </w:p>
    <w:p w14:paraId="25DB6F46" w14:textId="77777777" w:rsidR="00A26A77" w:rsidRDefault="00A26A77">
      <w:pPr>
        <w:spacing w:after="0" w:line="240" w:lineRule="auto"/>
      </w:pPr>
      <w:r>
        <w:br w:type="page"/>
      </w:r>
    </w:p>
    <w:p w14:paraId="6E489523" w14:textId="6AD300DE" w:rsidR="00A26A77" w:rsidRPr="00A26A77" w:rsidRDefault="00A26A77" w:rsidP="00A26A77">
      <w:pPr>
        <w:pStyle w:val="Heading2"/>
      </w:pPr>
      <w:r w:rsidRPr="00A26A77">
        <w:lastRenderedPageBreak/>
        <w:t xml:space="preserve">Revision History: </w:t>
      </w:r>
      <w:r>
        <w:t>Instructions: Completing Project Coordination Request for Historical Studies</w:t>
      </w:r>
    </w:p>
    <w:p w14:paraId="718E4F35" w14:textId="77777777" w:rsidR="00A26A77" w:rsidRDefault="00A26A77" w:rsidP="00A26A77">
      <w:pPr>
        <w:pStyle w:val="Caption"/>
        <w:keepNext/>
        <w:rPr>
          <w:b/>
          <w:bCs/>
          <w:szCs w:val="24"/>
        </w:rPr>
      </w:pPr>
      <w:r w:rsidRPr="00FE4D24">
        <w:rPr>
          <w:b/>
          <w:bCs/>
          <w:szCs w:val="24"/>
        </w:rPr>
        <w:t xml:space="preserve">Table </w:t>
      </w:r>
      <w:r w:rsidRPr="00FE4D24">
        <w:rPr>
          <w:b/>
          <w:bCs/>
          <w:szCs w:val="24"/>
        </w:rPr>
        <w:fldChar w:fldCharType="begin"/>
      </w:r>
      <w:r w:rsidRPr="00FE4D24">
        <w:rPr>
          <w:b/>
          <w:bCs/>
          <w:szCs w:val="24"/>
        </w:rPr>
        <w:instrText xml:space="preserve"> SEQ Table \* ARABIC </w:instrText>
      </w:r>
      <w:r w:rsidRPr="00FE4D24">
        <w:rPr>
          <w:b/>
          <w:bCs/>
          <w:szCs w:val="24"/>
        </w:rPr>
        <w:fldChar w:fldCharType="separate"/>
      </w:r>
      <w:r>
        <w:rPr>
          <w:b/>
          <w:bCs/>
          <w:noProof/>
          <w:szCs w:val="24"/>
        </w:rPr>
        <w:t>1</w:t>
      </w:r>
      <w:r w:rsidRPr="00FE4D24">
        <w:rPr>
          <w:b/>
          <w:bCs/>
          <w:szCs w:val="24"/>
        </w:rPr>
        <w:fldChar w:fldCharType="end"/>
      </w:r>
      <w:r>
        <w:rPr>
          <w:b/>
          <w:bCs/>
          <w:szCs w:val="24"/>
        </w:rPr>
        <w:t>.</w:t>
      </w:r>
      <w:r w:rsidRPr="00FE4D24">
        <w:rPr>
          <w:b/>
          <w:bCs/>
          <w:szCs w:val="24"/>
        </w:rPr>
        <w:t xml:space="preserve"> </w:t>
      </w:r>
      <w:r>
        <w:rPr>
          <w:b/>
          <w:bCs/>
          <w:szCs w:val="24"/>
        </w:rPr>
        <w:t>Document revision history</w:t>
      </w:r>
    </w:p>
    <w:tbl>
      <w:tblPr>
        <w:tblStyle w:val="ATFTxDOTTable"/>
        <w:tblW w:w="0" w:type="auto"/>
        <w:tblLook w:val="0420" w:firstRow="1" w:lastRow="0" w:firstColumn="0" w:lastColumn="0" w:noHBand="0" w:noVBand="1"/>
        <w:tblCaption w:val="Document revision history"/>
      </w:tblPr>
      <w:tblGrid>
        <w:gridCol w:w="2210"/>
        <w:gridCol w:w="7140"/>
      </w:tblGrid>
      <w:tr w:rsidR="00A26A77" w14:paraId="7C1EB5EA" w14:textId="77777777" w:rsidTr="00D22E5C">
        <w:trPr>
          <w:cnfStyle w:val="100000000000" w:firstRow="1" w:lastRow="0" w:firstColumn="0" w:lastColumn="0" w:oddVBand="0" w:evenVBand="0" w:oddHBand="0" w:evenHBand="0" w:firstRowFirstColumn="0" w:firstRowLastColumn="0" w:lastRowFirstColumn="0" w:lastRowLastColumn="0"/>
          <w:cantSplit/>
          <w:tblHeader/>
        </w:trPr>
        <w:tc>
          <w:tcPr>
            <w:tcW w:w="2210" w:type="dxa"/>
          </w:tcPr>
          <w:p w14:paraId="7B8188E1" w14:textId="77777777" w:rsidR="00A26A77" w:rsidRPr="00A07348" w:rsidRDefault="00A26A77" w:rsidP="00637F37">
            <w:pPr>
              <w:spacing w:after="0"/>
            </w:pPr>
            <w:r w:rsidRPr="00A07348">
              <w:t>Effective date (month year)</w:t>
            </w:r>
          </w:p>
        </w:tc>
        <w:tc>
          <w:tcPr>
            <w:tcW w:w="7140" w:type="dxa"/>
          </w:tcPr>
          <w:p w14:paraId="336D1DD8" w14:textId="77777777" w:rsidR="00A26A77" w:rsidRPr="00A07348" w:rsidRDefault="00A26A77" w:rsidP="00637F37">
            <w:pPr>
              <w:spacing w:after="0"/>
            </w:pPr>
            <w:r w:rsidRPr="00A07348">
              <w:t>Reason for and description of change</w:t>
            </w:r>
          </w:p>
        </w:tc>
      </w:tr>
      <w:tr w:rsidR="00A26A77" w14:paraId="7BA3DCE2" w14:textId="77777777" w:rsidTr="00D22E5C">
        <w:trPr>
          <w:cnfStyle w:val="000000100000" w:firstRow="0" w:lastRow="0" w:firstColumn="0" w:lastColumn="0" w:oddVBand="0" w:evenVBand="0" w:oddHBand="1" w:evenHBand="0" w:firstRowFirstColumn="0" w:firstRowLastColumn="0" w:lastRowFirstColumn="0" w:lastRowLastColumn="0"/>
          <w:cantSplit/>
        </w:trPr>
        <w:tc>
          <w:tcPr>
            <w:tcW w:w="2210" w:type="dxa"/>
          </w:tcPr>
          <w:p w14:paraId="4135D907" w14:textId="6898763B" w:rsidR="00A26A77" w:rsidRPr="00EC6875" w:rsidRDefault="00A26A77" w:rsidP="00637F37">
            <w:pPr>
              <w:spacing w:after="0"/>
            </w:pPr>
            <w:r>
              <w:t xml:space="preserve">March </w:t>
            </w:r>
            <w:r w:rsidRPr="00EC6875">
              <w:t>2026</w:t>
            </w:r>
          </w:p>
        </w:tc>
        <w:tc>
          <w:tcPr>
            <w:tcW w:w="7140" w:type="dxa"/>
          </w:tcPr>
          <w:p w14:paraId="49D3C7AC" w14:textId="1D97AD47" w:rsidR="00A26A77" w:rsidRDefault="00A26A77" w:rsidP="00637F37">
            <w:pPr>
              <w:spacing w:after="0"/>
            </w:pPr>
            <w:r>
              <w:t xml:space="preserve">Version </w:t>
            </w:r>
            <w:r w:rsidR="00055C8F">
              <w:t>6</w:t>
            </w:r>
          </w:p>
          <w:p w14:paraId="0280CACA" w14:textId="77777777" w:rsidR="00A26A77" w:rsidRDefault="00A26A77" w:rsidP="00637F37">
            <w:pPr>
              <w:pStyle w:val="ListBullet"/>
            </w:pPr>
            <w:r>
              <w:t>Updated to comply with accessibility and TxDOT branding standards.</w:t>
            </w:r>
          </w:p>
          <w:p w14:paraId="5C9FDB10" w14:textId="07B8FC31" w:rsidR="00FA54D6" w:rsidRPr="00960526" w:rsidRDefault="00143F77" w:rsidP="00637F37">
            <w:pPr>
              <w:pStyle w:val="ListBullet"/>
            </w:pPr>
            <w:r>
              <w:t>Made minor grammatical edits.</w:t>
            </w:r>
          </w:p>
        </w:tc>
      </w:tr>
      <w:tr w:rsidR="00BD6B39" w14:paraId="541B4363" w14:textId="77777777" w:rsidTr="00D22E5C">
        <w:trPr>
          <w:cnfStyle w:val="000000010000" w:firstRow="0" w:lastRow="0" w:firstColumn="0" w:lastColumn="0" w:oddVBand="0" w:evenVBand="0" w:oddHBand="0" w:evenHBand="1" w:firstRowFirstColumn="0" w:firstRowLastColumn="0" w:lastRowFirstColumn="0" w:lastRowLastColumn="0"/>
          <w:cantSplit/>
        </w:trPr>
        <w:tc>
          <w:tcPr>
            <w:tcW w:w="2210" w:type="dxa"/>
          </w:tcPr>
          <w:p w14:paraId="585DD5C4" w14:textId="263BF847" w:rsidR="00BD6B39" w:rsidRPr="00EC6875" w:rsidRDefault="00BD6B39" w:rsidP="00BD6B39">
            <w:r>
              <w:t>May 2024</w:t>
            </w:r>
          </w:p>
        </w:tc>
        <w:tc>
          <w:tcPr>
            <w:tcW w:w="7140" w:type="dxa"/>
          </w:tcPr>
          <w:p w14:paraId="65B07650" w14:textId="0BE2F858" w:rsidR="00BD6B39" w:rsidRDefault="00BD6B39" w:rsidP="00BD6B39">
            <w:pPr>
              <w:rPr>
                <w:b/>
              </w:rPr>
            </w:pPr>
            <w:r>
              <w:t>Version 5</w:t>
            </w:r>
          </w:p>
          <w:p w14:paraId="22DEB039" w14:textId="3DB7BDF8" w:rsidR="00BD6B39" w:rsidRPr="00960526" w:rsidRDefault="00BD6B39" w:rsidP="0020727B">
            <w:pPr>
              <w:pStyle w:val="ListBullet"/>
            </w:pPr>
            <w:r>
              <w:t>Updated following execution of 2023 FHWA PA and to clarify and improve information presented. Added appendices to include any lists or guidance previously only referenced.</w:t>
            </w:r>
          </w:p>
        </w:tc>
      </w:tr>
      <w:tr w:rsidR="00BD6B39" w14:paraId="20E383E7" w14:textId="77777777" w:rsidTr="00D22E5C">
        <w:trPr>
          <w:cnfStyle w:val="000000100000" w:firstRow="0" w:lastRow="0" w:firstColumn="0" w:lastColumn="0" w:oddVBand="0" w:evenVBand="0" w:oddHBand="1" w:evenHBand="0" w:firstRowFirstColumn="0" w:firstRowLastColumn="0" w:lastRowFirstColumn="0" w:lastRowLastColumn="0"/>
          <w:cantSplit/>
        </w:trPr>
        <w:tc>
          <w:tcPr>
            <w:tcW w:w="2210" w:type="dxa"/>
          </w:tcPr>
          <w:p w14:paraId="34F50E26" w14:textId="4CFFA3F1" w:rsidR="00BD6B39" w:rsidRPr="00EC6875" w:rsidRDefault="00BD6B39" w:rsidP="00BD6B39">
            <w:r>
              <w:lastRenderedPageBreak/>
              <w:t>May 2022</w:t>
            </w:r>
          </w:p>
        </w:tc>
        <w:tc>
          <w:tcPr>
            <w:tcW w:w="7140" w:type="dxa"/>
          </w:tcPr>
          <w:p w14:paraId="06412E05" w14:textId="7ECD3825" w:rsidR="00BD6B39" w:rsidRDefault="00BD6B39" w:rsidP="00BD6B39">
            <w:pPr>
              <w:rPr>
                <w:b/>
              </w:rPr>
            </w:pPr>
            <w:r>
              <w:t>Version 4</w:t>
            </w:r>
          </w:p>
          <w:p w14:paraId="2B9EB388" w14:textId="77777777" w:rsidR="00BD6B39" w:rsidRDefault="0020727B" w:rsidP="0020727B">
            <w:pPr>
              <w:pStyle w:val="ListBullet"/>
            </w:pPr>
            <w:r>
              <w:t>M</w:t>
            </w:r>
            <w:r w:rsidR="00BD6B39" w:rsidRPr="00CF4EC8">
              <w:t xml:space="preserve">ade </w:t>
            </w:r>
            <w:r>
              <w:t>m</w:t>
            </w:r>
            <w:r w:rsidRPr="00CF4EC8">
              <w:t xml:space="preserve">inimal changes </w:t>
            </w:r>
            <w:r w:rsidR="00BD6B39" w:rsidRPr="00CF4EC8">
              <w:t>to coincide with changes made to research design and HRSR documents in toolkit.</w:t>
            </w:r>
          </w:p>
          <w:p w14:paraId="052C84DB" w14:textId="77777777" w:rsidR="00842E72" w:rsidRPr="00842E72" w:rsidRDefault="00842E72" w:rsidP="00842E72"/>
          <w:p w14:paraId="27A2EA16" w14:textId="77777777" w:rsidR="00842E72" w:rsidRPr="00842E72" w:rsidRDefault="00842E72" w:rsidP="00842E72"/>
          <w:p w14:paraId="503F930B" w14:textId="77777777" w:rsidR="00842E72" w:rsidRPr="00842E72" w:rsidRDefault="00842E72" w:rsidP="00842E72"/>
          <w:p w14:paraId="356BC987" w14:textId="77777777" w:rsidR="00842E72" w:rsidRPr="00842E72" w:rsidRDefault="00842E72" w:rsidP="00842E72"/>
          <w:p w14:paraId="57F20A26" w14:textId="77777777" w:rsidR="00842E72" w:rsidRPr="00842E72" w:rsidRDefault="00842E72" w:rsidP="00842E72"/>
          <w:p w14:paraId="6620D96A" w14:textId="77777777" w:rsidR="00842E72" w:rsidRDefault="00842E72" w:rsidP="00842E72">
            <w:pPr>
              <w:rPr>
                <w:rFonts w:ascii="Verdana" w:eastAsia="MS Mincho" w:hAnsi="Verdana" w:cs="Times New Roman"/>
                <w:color w:val="000000"/>
                <w:kern w:val="0"/>
                <w:szCs w:val="22"/>
                <w14:ligatures w14:val="none"/>
              </w:rPr>
            </w:pPr>
          </w:p>
          <w:p w14:paraId="382C91D6" w14:textId="4C06826C" w:rsidR="00842E72" w:rsidRPr="00842E72" w:rsidRDefault="00842E72" w:rsidP="00842E72"/>
        </w:tc>
      </w:tr>
      <w:tr w:rsidR="00BD6B39" w14:paraId="7A5C268B" w14:textId="77777777" w:rsidTr="00D22E5C">
        <w:trPr>
          <w:cnfStyle w:val="000000010000" w:firstRow="0" w:lastRow="0" w:firstColumn="0" w:lastColumn="0" w:oddVBand="0" w:evenVBand="0" w:oddHBand="0" w:evenHBand="1" w:firstRowFirstColumn="0" w:firstRowLastColumn="0" w:lastRowFirstColumn="0" w:lastRowLastColumn="0"/>
          <w:cantSplit/>
        </w:trPr>
        <w:tc>
          <w:tcPr>
            <w:tcW w:w="2210" w:type="dxa"/>
          </w:tcPr>
          <w:p w14:paraId="5348017E" w14:textId="477DBBF0" w:rsidR="00BD6B39" w:rsidRPr="00EC6875" w:rsidRDefault="00BD6B39" w:rsidP="00BD6B39">
            <w:r>
              <w:t>July 2021</w:t>
            </w:r>
          </w:p>
        </w:tc>
        <w:tc>
          <w:tcPr>
            <w:tcW w:w="7140" w:type="dxa"/>
          </w:tcPr>
          <w:p w14:paraId="3D9FB28A" w14:textId="4DEC579F" w:rsidR="00BD6B39" w:rsidRDefault="00BD6B39" w:rsidP="00BD6B39">
            <w:pPr>
              <w:rPr>
                <w:b/>
              </w:rPr>
            </w:pPr>
            <w:r>
              <w:t>Version 3</w:t>
            </w:r>
          </w:p>
          <w:p w14:paraId="025D0AA5" w14:textId="77777777" w:rsidR="00BD6B39" w:rsidRDefault="00BD6B39" w:rsidP="0020727B">
            <w:pPr>
              <w:pStyle w:val="ListBullet"/>
            </w:pPr>
            <w:r w:rsidRPr="00B60524">
              <w:t>Added instructions regarding attaching WPD I screen information to all PCRs.</w:t>
            </w:r>
          </w:p>
          <w:p w14:paraId="1EEB806A" w14:textId="77777777" w:rsidR="00842E72" w:rsidRPr="00842E72" w:rsidRDefault="00842E72" w:rsidP="00842E72"/>
          <w:p w14:paraId="57ACCF9F" w14:textId="77777777" w:rsidR="00842E72" w:rsidRPr="00842E72" w:rsidRDefault="00842E72" w:rsidP="00842E72"/>
          <w:p w14:paraId="489483DD" w14:textId="77777777" w:rsidR="00842E72" w:rsidRPr="00842E72" w:rsidRDefault="00842E72" w:rsidP="00842E72"/>
          <w:p w14:paraId="0C6E310B" w14:textId="3291357F" w:rsidR="00842E72" w:rsidRPr="00842E72" w:rsidRDefault="00842E72" w:rsidP="00842E72"/>
        </w:tc>
      </w:tr>
      <w:tr w:rsidR="00BD6B39" w14:paraId="1D12B40A" w14:textId="77777777" w:rsidTr="00D22E5C">
        <w:trPr>
          <w:cnfStyle w:val="000000100000" w:firstRow="0" w:lastRow="0" w:firstColumn="0" w:lastColumn="0" w:oddVBand="0" w:evenVBand="0" w:oddHBand="1" w:evenHBand="0" w:firstRowFirstColumn="0" w:firstRowLastColumn="0" w:lastRowFirstColumn="0" w:lastRowLastColumn="0"/>
          <w:cantSplit/>
        </w:trPr>
        <w:tc>
          <w:tcPr>
            <w:tcW w:w="2210" w:type="dxa"/>
          </w:tcPr>
          <w:p w14:paraId="3C3FA180" w14:textId="07BE090E" w:rsidR="00BD6B39" w:rsidRPr="00EC6875" w:rsidRDefault="00BD6B39" w:rsidP="00BD6B39">
            <w:r w:rsidRPr="00B60524">
              <w:lastRenderedPageBreak/>
              <w:t xml:space="preserve">February 2021 </w:t>
            </w:r>
          </w:p>
        </w:tc>
        <w:tc>
          <w:tcPr>
            <w:tcW w:w="7140" w:type="dxa"/>
          </w:tcPr>
          <w:p w14:paraId="206E0F3E" w14:textId="2C155AF3" w:rsidR="00BD6B39" w:rsidRPr="00B60524" w:rsidRDefault="00BD6B39" w:rsidP="00BD6B39">
            <w:pPr>
              <w:rPr>
                <w:b/>
              </w:rPr>
            </w:pPr>
            <w:r w:rsidRPr="00B60524">
              <w:t>Version 2</w:t>
            </w:r>
          </w:p>
          <w:p w14:paraId="2830FE14" w14:textId="77777777" w:rsidR="00BD6B39" w:rsidRDefault="00BD6B39" w:rsidP="0020727B">
            <w:pPr>
              <w:pStyle w:val="ListBullet"/>
            </w:pPr>
            <w:r w:rsidRPr="00B60524">
              <w:t xml:space="preserve">Added clarification about </w:t>
            </w:r>
            <w:r w:rsidR="00C32322">
              <w:t>right-of-way</w:t>
            </w:r>
            <w:r w:rsidRPr="00B60524">
              <w:t xml:space="preserve"> parcels, plans, and added a question regarding historic roads.</w:t>
            </w:r>
          </w:p>
          <w:p w14:paraId="702380D7" w14:textId="4AE319D7" w:rsidR="00842E72" w:rsidRPr="00842E72" w:rsidRDefault="00842E72" w:rsidP="00842E72"/>
        </w:tc>
      </w:tr>
      <w:tr w:rsidR="00BD6B39" w14:paraId="45348584" w14:textId="77777777" w:rsidTr="00D22E5C">
        <w:trPr>
          <w:cnfStyle w:val="000000010000" w:firstRow="0" w:lastRow="0" w:firstColumn="0" w:lastColumn="0" w:oddVBand="0" w:evenVBand="0" w:oddHBand="0" w:evenHBand="1" w:firstRowFirstColumn="0" w:firstRowLastColumn="0" w:lastRowFirstColumn="0" w:lastRowLastColumn="0"/>
          <w:cantSplit/>
        </w:trPr>
        <w:tc>
          <w:tcPr>
            <w:tcW w:w="2210" w:type="dxa"/>
          </w:tcPr>
          <w:p w14:paraId="7191A7E4" w14:textId="1F20D454" w:rsidR="00BD6B39" w:rsidRPr="00EC6875" w:rsidRDefault="00BD6B39" w:rsidP="00BD6B39">
            <w:r w:rsidRPr="00B60524">
              <w:t>August 2019</w:t>
            </w:r>
          </w:p>
        </w:tc>
        <w:tc>
          <w:tcPr>
            <w:tcW w:w="7140" w:type="dxa"/>
          </w:tcPr>
          <w:p w14:paraId="395AA0A5" w14:textId="77777777" w:rsidR="00BD6B39" w:rsidRDefault="00BD6B39" w:rsidP="00BD6B39">
            <w:r w:rsidRPr="00B60524">
              <w:t>Version 1</w:t>
            </w:r>
          </w:p>
          <w:p w14:paraId="7BE2C1DF" w14:textId="37ED9141" w:rsidR="0020727B" w:rsidRPr="00960526" w:rsidRDefault="00D22E5C" w:rsidP="0020727B">
            <w:pPr>
              <w:pStyle w:val="ListBullet"/>
            </w:pPr>
            <w:r w:rsidRPr="00D22E5C">
              <w:t>Provide</w:t>
            </w:r>
            <w:r>
              <w:t>d</w:t>
            </w:r>
            <w:r w:rsidRPr="00D22E5C">
              <w:t xml:space="preserve"> instructions for completing the PCR form</w:t>
            </w:r>
          </w:p>
        </w:tc>
      </w:tr>
    </w:tbl>
    <w:p w14:paraId="14A8C1D8" w14:textId="77777777" w:rsidR="00A26A77" w:rsidRPr="005D638D" w:rsidRDefault="00A26A77" w:rsidP="00A26A77"/>
    <w:p w14:paraId="5AEFDC8D" w14:textId="77777777" w:rsidR="004B44A1" w:rsidRDefault="004B44A1" w:rsidP="004B44A1"/>
    <w:p w14:paraId="28339E41" w14:textId="77777777" w:rsidR="00A26A77" w:rsidRDefault="00A26A77" w:rsidP="004B44A1"/>
    <w:p w14:paraId="275BD0B9" w14:textId="77777777" w:rsidR="00D22E5C" w:rsidRPr="00D22E5C" w:rsidRDefault="00D22E5C" w:rsidP="00D22E5C"/>
    <w:p w14:paraId="70A18609" w14:textId="77777777" w:rsidR="00D22E5C" w:rsidRPr="00D22E5C" w:rsidRDefault="00D22E5C" w:rsidP="00D22E5C"/>
    <w:p w14:paraId="354F0C8A" w14:textId="77777777" w:rsidR="00D22E5C" w:rsidRPr="00D22E5C" w:rsidRDefault="00D22E5C" w:rsidP="00D22E5C"/>
    <w:p w14:paraId="1C0E90DB" w14:textId="77777777" w:rsidR="00D22E5C" w:rsidRPr="00D22E5C" w:rsidRDefault="00D22E5C" w:rsidP="00D22E5C"/>
    <w:p w14:paraId="74BB4470" w14:textId="77777777" w:rsidR="00D22E5C" w:rsidRPr="00D22E5C" w:rsidRDefault="00D22E5C" w:rsidP="00D22E5C"/>
    <w:p w14:paraId="0388989E" w14:textId="77777777" w:rsidR="00D22E5C" w:rsidRPr="00D22E5C" w:rsidRDefault="00D22E5C" w:rsidP="00D22E5C"/>
    <w:p w14:paraId="612E5CCD" w14:textId="77777777" w:rsidR="00D22E5C" w:rsidRPr="00D22E5C" w:rsidRDefault="00D22E5C" w:rsidP="00D22E5C"/>
    <w:p w14:paraId="1D10730E" w14:textId="77777777" w:rsidR="00D22E5C" w:rsidRPr="00D22E5C" w:rsidRDefault="00D22E5C" w:rsidP="00D22E5C"/>
    <w:p w14:paraId="6902C5CC" w14:textId="77777777" w:rsidR="00D22E5C" w:rsidRPr="00D22E5C" w:rsidRDefault="00D22E5C" w:rsidP="00D22E5C"/>
    <w:p w14:paraId="67FD8AD9" w14:textId="77777777" w:rsidR="00D22E5C" w:rsidRPr="00D22E5C" w:rsidRDefault="00D22E5C" w:rsidP="00D22E5C"/>
    <w:p w14:paraId="063D81F9" w14:textId="77777777" w:rsidR="00D22E5C" w:rsidRPr="00D22E5C" w:rsidRDefault="00D22E5C" w:rsidP="00D22E5C"/>
    <w:p w14:paraId="763563EA" w14:textId="77777777" w:rsidR="00D22E5C" w:rsidRPr="00D22E5C" w:rsidRDefault="00D22E5C" w:rsidP="00D22E5C"/>
    <w:p w14:paraId="360CF194" w14:textId="77777777" w:rsidR="00D22E5C" w:rsidRPr="00D22E5C" w:rsidRDefault="00D22E5C" w:rsidP="00D22E5C"/>
    <w:p w14:paraId="74CA6953" w14:textId="77777777" w:rsidR="00D22E5C" w:rsidRPr="00D22E5C" w:rsidRDefault="00D22E5C" w:rsidP="00D22E5C">
      <w:pPr>
        <w:jc w:val="center"/>
      </w:pPr>
    </w:p>
    <w:p w14:paraId="33A8D2F6" w14:textId="77777777" w:rsidR="00D22E5C" w:rsidRPr="00D22E5C" w:rsidRDefault="00D22E5C" w:rsidP="00D22E5C"/>
    <w:sectPr w:rsidR="00D22E5C" w:rsidRPr="00D22E5C" w:rsidSect="001C12E5">
      <w:footerReference w:type="default" r:id="rId23"/>
      <w:footerReference w:type="first" r:id="rId24"/>
      <w:pgSz w:w="12240" w:h="15840"/>
      <w:pgMar w:top="900" w:right="1440" w:bottom="117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B8790" w14:textId="77777777" w:rsidR="00853A46" w:rsidRDefault="00853A46" w:rsidP="00E9313B">
      <w:pPr>
        <w:spacing w:after="0" w:line="240" w:lineRule="auto"/>
      </w:pPr>
      <w:r>
        <w:separator/>
      </w:r>
    </w:p>
  </w:endnote>
  <w:endnote w:type="continuationSeparator" w:id="0">
    <w:p w14:paraId="5FAC7557" w14:textId="77777777" w:rsidR="00853A46" w:rsidRDefault="00853A46" w:rsidP="003D0A5B">
      <w:pPr>
        <w:spacing w:after="0" w:line="240" w:lineRule="auto"/>
      </w:pPr>
      <w:r>
        <w:continuationSeparator/>
      </w:r>
    </w:p>
    <w:p w14:paraId="761E7E84" w14:textId="77777777" w:rsidR="00853A46" w:rsidRDefault="00853A46"/>
    <w:p w14:paraId="0AE88E16" w14:textId="77777777" w:rsidR="00853A46" w:rsidRDefault="00853A46" w:rsidP="008B0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embedRegular r:id="rId1" w:fontKey="{14955D1F-CD67-4D0F-94A2-CA79122E6894}"/>
    <w:embedBold r:id="rId2" w:fontKey="{D9CB2DF2-5B7A-43A3-8145-7098CE690A12}"/>
    <w:embedItalic r:id="rId3" w:fontKey="{52F835B9-EC28-4EFA-B6C4-CA24175B5432}"/>
    <w:embedBoldItalic r:id="rId4" w:fontKey="{C6DD2836-DB22-4FFC-AE00-9BFED8205655}"/>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1E573" w14:textId="77777777" w:rsidR="008D72A6" w:rsidRPr="008D72A6" w:rsidRDefault="003B6CAE" w:rsidP="003B6CAE">
    <w:pPr>
      <w:pStyle w:val="Footer"/>
      <w:tabs>
        <w:tab w:val="clear" w:pos="4680"/>
        <w:tab w:val="left" w:pos="6622"/>
      </w:tabs>
      <w:rPr>
        <w:b/>
        <w:bCs/>
        <w:color w:val="0056A9"/>
      </w:rPr>
    </w:pPr>
    <w:r>
      <w:rPr>
        <w:b/>
        <w:bCs/>
        <w:color w:val="0056A9"/>
      </w:rPr>
      <w:tab/>
    </w:r>
    <w:r>
      <w:rPr>
        <w:b/>
        <w:bCs/>
        <w:color w:val="0056A9"/>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41CF6" w14:textId="77777777" w:rsidR="00EB78FA" w:rsidRPr="00EB78FA" w:rsidRDefault="00EB78FA" w:rsidP="00EB78FA">
    <w:pPr>
      <w:pStyle w:val="Footer"/>
      <w:tabs>
        <w:tab w:val="clear" w:pos="4680"/>
      </w:tabs>
      <w:jc w:val="right"/>
      <w:rPr>
        <w:b/>
        <w:bCs/>
        <w:color w:val="0056A9"/>
      </w:rPr>
    </w:pPr>
    <w:r>
      <w:rPr>
        <w:noProof/>
      </w:rPr>
      <mc:AlternateContent>
        <mc:Choice Requires="wps">
          <w:drawing>
            <wp:anchor distT="0" distB="0" distL="114300" distR="114300" simplePos="0" relativeHeight="251668480" behindDoc="0" locked="0" layoutInCell="1" allowOverlap="1" wp14:anchorId="200F3B2F" wp14:editId="035E3CB1">
              <wp:simplePos x="0" y="0"/>
              <wp:positionH relativeFrom="column">
                <wp:posOffset>-18415</wp:posOffset>
              </wp:positionH>
              <wp:positionV relativeFrom="paragraph">
                <wp:posOffset>182880</wp:posOffset>
              </wp:positionV>
              <wp:extent cx="5971032" cy="0"/>
              <wp:effectExtent l="0" t="0" r="0" b="0"/>
              <wp:wrapNone/>
              <wp:docPr id="154597507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6DD364"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t xml:space="preserve">Document Title |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7</w:t>
    </w:r>
    <w:r w:rsidRPr="002D6560">
      <w:rPr>
        <w:b/>
        <w:bCs/>
        <w:color w:val="0056A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8B471" w14:textId="0AD45DEC" w:rsidR="00B227C9" w:rsidRPr="008D72A6" w:rsidRDefault="00B227C9" w:rsidP="008D72A6">
    <w:pPr>
      <w:pStyle w:val="Footer"/>
      <w:tabs>
        <w:tab w:val="clear" w:pos="4680"/>
      </w:tabs>
      <w:jc w:val="right"/>
      <w:rPr>
        <w:b/>
        <w:bCs/>
        <w:color w:val="0056A9"/>
      </w:rPr>
    </w:pPr>
    <w:r>
      <w:rPr>
        <w:noProof/>
      </w:rPr>
      <mc:AlternateContent>
        <mc:Choice Requires="wps">
          <w:drawing>
            <wp:anchor distT="0" distB="0" distL="114300" distR="114300" simplePos="0" relativeHeight="251676672" behindDoc="0" locked="0" layoutInCell="1" allowOverlap="1" wp14:anchorId="514AF1C5" wp14:editId="4329F77F">
              <wp:simplePos x="0" y="0"/>
              <wp:positionH relativeFrom="column">
                <wp:posOffset>-18415</wp:posOffset>
              </wp:positionH>
              <wp:positionV relativeFrom="paragraph">
                <wp:posOffset>182880</wp:posOffset>
              </wp:positionV>
              <wp:extent cx="5971032" cy="0"/>
              <wp:effectExtent l="0" t="0" r="0" b="0"/>
              <wp:wrapNone/>
              <wp:docPr id="285296729"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AF725C"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rsidR="00B87061" w:rsidRPr="00B87061">
      <w:rPr>
        <w:noProof/>
      </w:rPr>
      <w:t xml:space="preserve">Instructions: Completing Project Coordination Request for Historical </w:t>
    </w:r>
    <w:r w:rsidR="00D00979">
      <w:rPr>
        <w:noProof/>
      </w:rPr>
      <w:br/>
    </w:r>
    <w:r w:rsidR="00B87061" w:rsidRPr="00B87061">
      <w:rPr>
        <w:noProof/>
      </w:rPr>
      <w:t>Studies</w:t>
    </w:r>
    <w:r w:rsidR="00B87061">
      <w:rPr>
        <w:noProof/>
      </w:rPr>
      <w:t xml:space="preserve"> </w:t>
    </w:r>
    <w:r>
      <w:t xml:space="preserve">|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6</w:t>
    </w:r>
    <w:r w:rsidRPr="002D6560">
      <w:rPr>
        <w:b/>
        <w:bCs/>
        <w:color w:val="0056A9"/>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1126D" w14:textId="77777777" w:rsidR="00B227C9" w:rsidRPr="00EB78FA" w:rsidRDefault="00B227C9" w:rsidP="00EB78FA">
    <w:pPr>
      <w:pStyle w:val="Footer"/>
      <w:tabs>
        <w:tab w:val="clear" w:pos="4680"/>
      </w:tabs>
      <w:jc w:val="right"/>
      <w:rPr>
        <w:b/>
        <w:bCs/>
        <w:color w:val="0056A9"/>
      </w:rPr>
    </w:pPr>
    <w:r>
      <w:rPr>
        <w:noProof/>
      </w:rPr>
      <mc:AlternateContent>
        <mc:Choice Requires="wps">
          <w:drawing>
            <wp:anchor distT="0" distB="0" distL="114300" distR="114300" simplePos="0" relativeHeight="251674624" behindDoc="0" locked="0" layoutInCell="1" allowOverlap="1" wp14:anchorId="3C089050" wp14:editId="2F952A59">
              <wp:simplePos x="0" y="0"/>
              <wp:positionH relativeFrom="column">
                <wp:posOffset>-18415</wp:posOffset>
              </wp:positionH>
              <wp:positionV relativeFrom="paragraph">
                <wp:posOffset>182880</wp:posOffset>
              </wp:positionV>
              <wp:extent cx="5971032" cy="0"/>
              <wp:effectExtent l="0" t="0" r="0" b="0"/>
              <wp:wrapNone/>
              <wp:docPr id="9971414"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1FD233"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t xml:space="preserve">Document Title |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6</w:t>
    </w:r>
    <w:r w:rsidRPr="002D6560">
      <w:rPr>
        <w:b/>
        <w:bCs/>
        <w:color w:val="0056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B64FF" w14:textId="77777777" w:rsidR="00853A46" w:rsidRDefault="00853A46" w:rsidP="00E9313B">
      <w:pPr>
        <w:spacing w:after="0" w:line="240" w:lineRule="auto"/>
      </w:pPr>
      <w:r>
        <w:separator/>
      </w:r>
    </w:p>
  </w:footnote>
  <w:footnote w:type="continuationSeparator" w:id="0">
    <w:p w14:paraId="6565469E" w14:textId="77777777" w:rsidR="00853A46" w:rsidRDefault="00853A46" w:rsidP="003D0A5B">
      <w:pPr>
        <w:spacing w:after="0" w:line="240" w:lineRule="auto"/>
      </w:pPr>
      <w:r>
        <w:continuationSeparator/>
      </w:r>
    </w:p>
    <w:p w14:paraId="79531681" w14:textId="77777777" w:rsidR="00853A46" w:rsidRDefault="00853A46"/>
    <w:p w14:paraId="03933D6A" w14:textId="77777777" w:rsidR="00853A46" w:rsidRDefault="00853A46" w:rsidP="008B0E37"/>
  </w:footnote>
  <w:footnote w:id="1">
    <w:p w14:paraId="7260E664" w14:textId="672968C6" w:rsidR="00537FDD" w:rsidRPr="00EA4370" w:rsidRDefault="00537FDD" w:rsidP="00845257">
      <w:r>
        <w:rPr>
          <w:rStyle w:val="FootnoteReference"/>
        </w:rPr>
        <w:footnoteRef/>
      </w:r>
      <w:r>
        <w:t xml:space="preserve"> </w:t>
      </w:r>
      <w:r w:rsidRPr="00EA4370">
        <w:t xml:space="preserve">ENV-HIST reviews projects that have the potential to affect historic properties protected by state and federal laws. For additional guidance, see </w:t>
      </w:r>
      <w:r w:rsidRPr="00904C06">
        <w:rPr>
          <w:i/>
          <w:iCs/>
        </w:rPr>
        <w:t>Guidance: Historical Studies Review Procedures</w:t>
      </w:r>
      <w:r w:rsidRPr="00EA4370">
        <w:t xml:space="preserve"> found </w:t>
      </w:r>
      <w:r w:rsidR="00845257">
        <w:t>o</w:t>
      </w:r>
      <w:r w:rsidRPr="00EA4370">
        <w:t xml:space="preserve">n the </w:t>
      </w:r>
      <w:hyperlink r:id="rId1" w:history="1">
        <w:r w:rsidRPr="00845257">
          <w:rPr>
            <w:rStyle w:val="Hyperlink"/>
            <w:szCs w:val="24"/>
          </w:rPr>
          <w:t>Historic Resources Toolkit</w:t>
        </w:r>
      </w:hyperlink>
      <w:r w:rsidRPr="00EA4370">
        <w:t xml:space="preserve">. If a </w:t>
      </w:r>
      <w:r>
        <w:t>d</w:t>
      </w:r>
      <w:r w:rsidRPr="00EA4370">
        <w:t>istrict believes that the project does not require Historical Studies PCR, contact the ENV-HIST reviewer who can confirm and help close out ECOS activities created in error.</w:t>
      </w:r>
    </w:p>
  </w:footnote>
  <w:footnote w:id="2">
    <w:p w14:paraId="6665D5B8" w14:textId="77777777" w:rsidR="00845257" w:rsidRPr="00EA4370" w:rsidRDefault="00845257" w:rsidP="00845257">
      <w:r>
        <w:rPr>
          <w:rStyle w:val="FootnoteReference"/>
        </w:rPr>
        <w:footnoteRef/>
      </w:r>
      <w:r>
        <w:t xml:space="preserve"> </w:t>
      </w:r>
      <w:r w:rsidRPr="00EA4370">
        <w:t>ENV-HIST needs certain information based on existing state and federal regulatory agreements.</w:t>
      </w:r>
    </w:p>
  </w:footnote>
  <w:footnote w:id="3">
    <w:p w14:paraId="61BAF72B" w14:textId="6CBE51C5" w:rsidR="00AF01B3" w:rsidRDefault="00AF01B3" w:rsidP="00B27F3B">
      <w:r>
        <w:rPr>
          <w:rStyle w:val="FootnoteReference"/>
        </w:rPr>
        <w:footnoteRef/>
      </w:r>
      <w:r>
        <w:t xml:space="preserve"> </w:t>
      </w:r>
      <w:r w:rsidRPr="00DE5653">
        <w:t xml:space="preserve">Links to key Texas historic property maps can be found in the Historic Resources Toolkit: </w:t>
      </w:r>
      <w:r w:rsidR="00ED1AAD">
        <w:t xml:space="preserve">the Texas </w:t>
      </w:r>
      <w:r w:rsidRPr="00DE5653">
        <w:t>Historic</w:t>
      </w:r>
      <w:r w:rsidR="00ED1AAD">
        <w:t>al Commission’s Historic</w:t>
      </w:r>
      <w:r w:rsidRPr="00DE5653">
        <w:t xml:space="preserve"> Sites Atlas and TxDOT’s Historic Resources Aggregator.</w:t>
      </w:r>
    </w:p>
  </w:footnote>
  <w:footnote w:id="4">
    <w:p w14:paraId="4F721D64" w14:textId="436CB60B" w:rsidR="00F01EC3" w:rsidRDefault="00F01EC3" w:rsidP="00062B29">
      <w:r>
        <w:rPr>
          <w:rStyle w:val="FootnoteReference"/>
        </w:rPr>
        <w:footnoteRef/>
      </w:r>
      <w:r>
        <w:t xml:space="preserve"> </w:t>
      </w:r>
      <w:r w:rsidR="00062B29" w:rsidRPr="00062B29">
        <w:t xml:space="preserve">Driveway easements are not considered “easements” for </w:t>
      </w:r>
      <w:r w:rsidR="007F747D">
        <w:t>ENV-</w:t>
      </w:r>
      <w:r w:rsidR="00062B29" w:rsidRPr="00062B29">
        <w:t>HIST purposes and do not need to be included in any documentation.</w:t>
      </w:r>
    </w:p>
  </w:footnote>
  <w:footnote w:id="5">
    <w:p w14:paraId="180215AE" w14:textId="5D1F7DF2" w:rsidR="009A7CAF" w:rsidRDefault="009A7CAF" w:rsidP="009A7CAF">
      <w:r>
        <w:rPr>
          <w:rStyle w:val="FootnoteReference"/>
        </w:rPr>
        <w:footnoteRef/>
      </w:r>
      <w:r>
        <w:t xml:space="preserve"> </w:t>
      </w:r>
      <w:r w:rsidRPr="00CB77C6">
        <w:t xml:space="preserve">TxDOT’s risk analysis, internal policies, and inventories conducted under Section 110 of the NHPA inventories shall reinforce any necessary exceptions for specific historic properties. Per the </w:t>
      </w:r>
      <w:r w:rsidR="0082778B">
        <w:t xml:space="preserve">FHWA </w:t>
      </w:r>
      <w:r w:rsidRPr="00CB77C6">
        <w:t>Section 106 PA, the SHPO or the Advisory Council on Historic Preservation may review project files.</w:t>
      </w:r>
    </w:p>
  </w:footnote>
  <w:footnote w:id="6">
    <w:p w14:paraId="23067AF2" w14:textId="77777777" w:rsidR="009A7CAF" w:rsidRDefault="009A7CAF" w:rsidP="009A7CAF">
      <w:r>
        <w:rPr>
          <w:rStyle w:val="FootnoteReference"/>
        </w:rPr>
        <w:footnoteRef/>
      </w:r>
      <w:r>
        <w:t xml:space="preserve"> </w:t>
      </w:r>
      <w:r w:rsidRPr="00CB77C6">
        <w:t>Refer to ENV guidance on Expedited (c)(22) Categorical Exclusions (CEs) for what projects might be eligible for that process.</w:t>
      </w:r>
    </w:p>
  </w:footnote>
  <w:footnote w:id="7">
    <w:p w14:paraId="1046AFC4" w14:textId="77777777" w:rsidR="00B65047" w:rsidRPr="00CB77C6" w:rsidRDefault="00B65047" w:rsidP="00BC52C3">
      <w:r>
        <w:rPr>
          <w:rStyle w:val="FootnoteReference"/>
        </w:rPr>
        <w:footnoteRef/>
      </w:r>
      <w:r>
        <w:t xml:space="preserve"> </w:t>
      </w:r>
      <w:r w:rsidRPr="00CB77C6">
        <w:t>Appendix 3 allows the extending of a culvert to apply the safety end treatments.</w:t>
      </w:r>
    </w:p>
  </w:footnote>
  <w:footnote w:id="8">
    <w:p w14:paraId="02D19FEA" w14:textId="11280A04" w:rsidR="00B65047" w:rsidRDefault="00B65047" w:rsidP="00BC52C3">
      <w:r>
        <w:rPr>
          <w:rStyle w:val="FootnoteReference"/>
        </w:rPr>
        <w:footnoteRef/>
      </w:r>
      <w:r>
        <w:t xml:space="preserve"> </w:t>
      </w:r>
      <w:r w:rsidRPr="00CB77C6">
        <w:t xml:space="preserve">“Maintenance” in this instance refers to all work completed within the existing roadbed, as long as vertical changes are less than </w:t>
      </w:r>
      <w:r w:rsidR="000B449C">
        <w:t>five</w:t>
      </w:r>
      <w:r w:rsidRPr="00CB77C6">
        <w:t xml:space="preserve"> feet. Restriping may include restriping to add turn lanes, as long as there is no new pavement added to the roadbed.</w:t>
      </w:r>
    </w:p>
  </w:footnote>
  <w:footnote w:id="9">
    <w:p w14:paraId="48B074CA" w14:textId="77777777" w:rsidR="00B62C79" w:rsidRPr="00EF785F" w:rsidRDefault="00B62C79" w:rsidP="00B62C79">
      <w:r>
        <w:rPr>
          <w:rStyle w:val="FootnoteReference"/>
        </w:rPr>
        <w:footnoteRef/>
      </w:r>
      <w:r>
        <w:t xml:space="preserve"> </w:t>
      </w:r>
      <w:r w:rsidRPr="00EF785F">
        <w:t xml:space="preserve">See </w:t>
      </w:r>
      <w:r w:rsidRPr="000C4883">
        <w:rPr>
          <w:color w:val="0056A9"/>
          <w:u w:val="single"/>
        </w:rPr>
        <w:fldChar w:fldCharType="begin"/>
      </w:r>
      <w:r w:rsidRPr="000C4883">
        <w:rPr>
          <w:color w:val="0056A9"/>
          <w:u w:val="single"/>
        </w:rPr>
        <w:instrText xml:space="preserve"> REF _Ref224036177 \h </w:instrText>
      </w:r>
      <w:r w:rsidRPr="000C4883">
        <w:rPr>
          <w:color w:val="0056A9"/>
          <w:u w:val="single"/>
        </w:rPr>
      </w:r>
      <w:r w:rsidRPr="000C4883">
        <w:rPr>
          <w:color w:val="0056A9"/>
          <w:u w:val="single"/>
        </w:rPr>
        <w:fldChar w:fldCharType="separate"/>
      </w:r>
      <w:r w:rsidRPr="000C4883">
        <w:rPr>
          <w:color w:val="0056A9"/>
          <w:u w:val="single"/>
        </w:rPr>
        <w:t>Appendix D</w:t>
      </w:r>
      <w:r w:rsidRPr="000C4883">
        <w:rPr>
          <w:color w:val="0056A9"/>
          <w:u w:val="single"/>
        </w:rPr>
        <w:fldChar w:fldCharType="end"/>
      </w:r>
      <w:r>
        <w:t xml:space="preserve"> </w:t>
      </w:r>
      <w:r w:rsidRPr="00EF785F">
        <w:t>for specific bridge project guidance.</w:t>
      </w:r>
    </w:p>
  </w:footnote>
  <w:footnote w:id="10">
    <w:p w14:paraId="2F2BC234" w14:textId="7FD2EBAD" w:rsidR="00C17025" w:rsidRPr="00EF785F" w:rsidRDefault="00C17025" w:rsidP="00F66665">
      <w:r>
        <w:rPr>
          <w:rStyle w:val="FootnoteReference"/>
        </w:rPr>
        <w:footnoteRef/>
      </w:r>
      <w:r>
        <w:t xml:space="preserve"> </w:t>
      </w:r>
      <w:r w:rsidRPr="0015656B">
        <w:t xml:space="preserve">Other federal agencies are also subject to Section 106 and may have their own requirements and procedures. If the department delegate anticipates that the project will use non-FHWA federal funds or will require any federal approvals, permits, licenses, or properties, ENV-HIST may look for potential effects to historic properties protected under Section 106. ENV-HIST will also work with </w:t>
      </w:r>
      <w:r w:rsidR="00CD5ECC">
        <w:t xml:space="preserve">the </w:t>
      </w:r>
      <w:r w:rsidRPr="0015656B">
        <w:t>district to determine if extra steps are needed to notify the other federal agency(ies) of results of TxDOT</w:t>
      </w:r>
      <w:r w:rsidR="002A2F34">
        <w:t>’s</w:t>
      </w:r>
      <w:r w:rsidRPr="0015656B">
        <w:t xml:space="preserve"> review.</w:t>
      </w:r>
    </w:p>
  </w:footnote>
  <w:footnote w:id="11">
    <w:p w14:paraId="153FD882" w14:textId="371CA55F" w:rsidR="00C17025" w:rsidRPr="0015656B" w:rsidRDefault="00C17025" w:rsidP="00F66665">
      <w:r>
        <w:rPr>
          <w:rStyle w:val="FootnoteReference"/>
        </w:rPr>
        <w:footnoteRef/>
      </w:r>
      <w:r>
        <w:t xml:space="preserve"> </w:t>
      </w:r>
      <w:r w:rsidRPr="0015656B">
        <w:t xml:space="preserve">If the District believes that the project does not require </w:t>
      </w:r>
      <w:r w:rsidR="00D1576D">
        <w:t>a</w:t>
      </w:r>
      <w:r w:rsidRPr="0015656B">
        <w:t xml:space="preserve"> PCR, contact the ENV-HIST reviewer who can confirm and help close out ECOS activities created in error.</w:t>
      </w:r>
      <w:r w:rsidRPr="0015656B">
        <w:rPr>
          <w:sz w:val="22"/>
        </w:rPr>
        <w:t xml:space="preserve"> </w:t>
      </w:r>
    </w:p>
  </w:footnote>
  <w:footnote w:id="12">
    <w:p w14:paraId="4D61B371" w14:textId="394BE685" w:rsidR="00C17025" w:rsidRDefault="00C17025" w:rsidP="00F66665">
      <w:r>
        <w:rPr>
          <w:rStyle w:val="FootnoteReference"/>
        </w:rPr>
        <w:footnoteRef/>
      </w:r>
      <w:r>
        <w:t xml:space="preserve"> </w:t>
      </w:r>
      <w:r w:rsidRPr="00A53FEB">
        <w:t>Check the following historic resources maps (Texas Historic Sites Atlas, TxDOT Historic Resources Aggregator</w:t>
      </w:r>
      <w:r w:rsidR="00446F24">
        <w:t>)</w:t>
      </w:r>
      <w:r w:rsidRPr="00A53FEB">
        <w:t xml:space="preserve"> for previously recorded historic properties or county courthouses within the project location.</w:t>
      </w:r>
    </w:p>
  </w:footnote>
  <w:footnote w:id="13">
    <w:p w14:paraId="2202DBD8" w14:textId="44B2014C" w:rsidR="00077186" w:rsidRDefault="00077186" w:rsidP="001F55F1">
      <w:r>
        <w:rPr>
          <w:rStyle w:val="FootnoteReference"/>
        </w:rPr>
        <w:footnoteRef/>
      </w:r>
      <w:r>
        <w:t xml:space="preserve"> </w:t>
      </w:r>
      <w:r w:rsidRPr="00A53FEB">
        <w:t xml:space="preserve">The Antiquities Code of Texas governs activities that could affect cultural resources on public property. TxDOT and the Texas Historical Commission agreed to a process for TxDOT processes using a Memorandum of Understanding (MOU). Pursuant to the MOU, codified at 43 TAC 2.270, TxDOT excludes certain projects from review for non-archeological historic resources. The List 2 activities in this guidance are those that do not require ENV-HIST review for work on non-federal public property in Texas. </w:t>
      </w:r>
      <w:r w:rsidR="009A6505" w:rsidRPr="00A53FEB">
        <w:t>Note that projects with state</w:t>
      </w:r>
      <w:r w:rsidR="009A6505">
        <w:t xml:space="preserve"> or </w:t>
      </w:r>
      <w:r w:rsidR="009A6505" w:rsidRPr="00A53FEB">
        <w:t xml:space="preserve">local funding but with </w:t>
      </w:r>
      <w:r w:rsidR="009A6505">
        <w:t xml:space="preserve">non-FHWA </w:t>
      </w:r>
      <w:r w:rsidR="009A6505" w:rsidRPr="00A53FEB">
        <w:t>federal permits may require additional consideration</w:t>
      </w:r>
      <w:r w:rsidR="009A650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BB2"/>
    <w:multiLevelType w:val="multilevel"/>
    <w:tmpl w:val="50764918"/>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lvl>
    <w:lvl w:ilvl="2">
      <w:start w:val="1"/>
      <w:numFmt w:val="bullet"/>
      <w:lvlText w:val=""/>
      <w:lvlJc w:val="left"/>
      <w:pPr>
        <w:ind w:left="1080" w:hanging="360"/>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 w15:restartNumberingAfterBreak="0">
    <w:nsid w:val="02245FE8"/>
    <w:multiLevelType w:val="multilevel"/>
    <w:tmpl w:val="81203A66"/>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04B54E74"/>
    <w:multiLevelType w:val="multilevel"/>
    <w:tmpl w:val="D5F23144"/>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10635BBD"/>
    <w:multiLevelType w:val="multilevel"/>
    <w:tmpl w:val="B6486FE8"/>
    <w:lvl w:ilvl="0">
      <w:start w:val="1"/>
      <w:numFmt w:val="decimal"/>
      <w:lvlText w:val="%1."/>
      <w:lvlJc w:val="left"/>
      <w:pPr>
        <w:ind w:left="360" w:hanging="360"/>
      </w:pPr>
      <w:rPr>
        <w:rFonts w:hint="default"/>
        <w:color w:val="auto"/>
      </w:rPr>
    </w:lvl>
    <w:lvl w:ilvl="1">
      <w:start w:val="1"/>
      <w:numFmt w:val="decimal"/>
      <w:lvlText w:val="%2."/>
      <w:lvlJc w:val="left"/>
      <w:pPr>
        <w:ind w:left="720" w:hanging="360"/>
      </w:pPr>
    </w:lvl>
    <w:lvl w:ilvl="2">
      <w:start w:val="1"/>
      <w:numFmt w:val="bullet"/>
      <w:lvlText w:val=""/>
      <w:lvlJc w:val="left"/>
      <w:pPr>
        <w:ind w:left="1080" w:hanging="360"/>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4" w15:restartNumberingAfterBreak="0">
    <w:nsid w:val="12F74563"/>
    <w:multiLevelType w:val="hybridMultilevel"/>
    <w:tmpl w:val="8B803F30"/>
    <w:lvl w:ilvl="0" w:tplc="FFFFFFFF">
      <w:start w:val="1"/>
      <w:numFmt w:val="lowerLetter"/>
      <w:lvlText w:val="%1."/>
      <w:lvlJc w:val="left"/>
      <w:pPr>
        <w:ind w:left="1080" w:hanging="360"/>
      </w:pPr>
    </w:lvl>
    <w:lvl w:ilvl="1" w:tplc="04090011">
      <w:start w:val="1"/>
      <w:numFmt w:val="decimal"/>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74D18AB"/>
    <w:multiLevelType w:val="hybridMultilevel"/>
    <w:tmpl w:val="3F0C0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AA0642"/>
    <w:multiLevelType w:val="multilevel"/>
    <w:tmpl w:val="E0EEC760"/>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2C4C12DE"/>
    <w:multiLevelType w:val="multilevel"/>
    <w:tmpl w:val="3836BEC0"/>
    <w:lvl w:ilvl="0">
      <w:start w:val="1"/>
      <w:numFmt w:val="upp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15:restartNumberingAfterBreak="0">
    <w:nsid w:val="2DF969A7"/>
    <w:multiLevelType w:val="multilevel"/>
    <w:tmpl w:val="4224DE02"/>
    <w:lvl w:ilvl="0">
      <w:start w:val="1"/>
      <w:numFmt w:val="decimal"/>
      <w:lvlText w:val="%1."/>
      <w:lvlJc w:val="left"/>
      <w:pPr>
        <w:ind w:left="720" w:hanging="360"/>
      </w:pPr>
      <w:rPr>
        <w:rFonts w:hint="default"/>
        <w:color w:val="auto"/>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color w:val="auto"/>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cs="Courier New" w:hint="default"/>
      </w:rPr>
    </w:lvl>
    <w:lvl w:ilvl="8">
      <w:start w:val="1"/>
      <w:numFmt w:val="bullet"/>
      <w:lvlText w:val=""/>
      <w:lvlJc w:val="left"/>
      <w:pPr>
        <w:ind w:left="3600" w:hanging="360"/>
      </w:pPr>
      <w:rPr>
        <w:rFonts w:ascii="Wingdings" w:hAnsi="Wingdings" w:hint="default"/>
      </w:rPr>
    </w:lvl>
  </w:abstractNum>
  <w:abstractNum w:abstractNumId="9" w15:restartNumberingAfterBreak="0">
    <w:nsid w:val="2E954FDD"/>
    <w:multiLevelType w:val="multilevel"/>
    <w:tmpl w:val="B9E2CCD2"/>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0" w15:restartNumberingAfterBreak="0">
    <w:nsid w:val="33C71802"/>
    <w:multiLevelType w:val="multilevel"/>
    <w:tmpl w:val="86ECB084"/>
    <w:lvl w:ilvl="0">
      <w:start w:val="1"/>
      <w:numFmt w:val="upperLetter"/>
      <w:lvlText w:val="%1."/>
      <w:lvlJc w:val="left"/>
      <w:pPr>
        <w:ind w:left="360" w:hanging="360"/>
      </w:pPr>
      <w:rPr>
        <w:rFonts w:hint="default"/>
        <w:color w:val="auto"/>
      </w:rPr>
    </w:lvl>
    <w:lvl w:ilvl="1">
      <w:start w:val="1"/>
      <w:numFmt w:val="lowerLetter"/>
      <w:lvlText w:val="%2."/>
      <w:lvlJc w:val="left"/>
      <w:pPr>
        <w:ind w:left="720" w:hanging="360"/>
      </w:pPr>
    </w:lvl>
    <w:lvl w:ilvl="2">
      <w:start w:val="1"/>
      <w:numFmt w:val="bullet"/>
      <w:lvlText w:val=""/>
      <w:lvlJc w:val="left"/>
      <w:pPr>
        <w:ind w:left="1080" w:hanging="360"/>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34F72295"/>
    <w:multiLevelType w:val="multilevel"/>
    <w:tmpl w:val="2124A4FA"/>
    <w:lvl w:ilvl="0">
      <w:start w:val="1"/>
      <w:numFmt w:val="lowerLetter"/>
      <w:lvlText w:val="%1."/>
      <w:lvlJc w:val="left"/>
      <w:pPr>
        <w:ind w:left="1080" w:hanging="360"/>
      </w:pPr>
      <w:rPr>
        <w:rFonts w:hint="default"/>
        <w:color w:val="auto"/>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color w:val="auto"/>
      </w:rPr>
    </w:lvl>
    <w:lvl w:ilvl="3">
      <w:start w:val="1"/>
      <w:numFmt w:val="bullet"/>
      <w:lvlText w:val=""/>
      <w:lvlJc w:val="left"/>
      <w:pPr>
        <w:ind w:left="216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Symbol" w:hAnsi="Symbol" w:hint="default"/>
      </w:rPr>
    </w:lvl>
    <w:lvl w:ilvl="7">
      <w:start w:val="1"/>
      <w:numFmt w:val="bullet"/>
      <w:lvlText w:val="o"/>
      <w:lvlJc w:val="left"/>
      <w:pPr>
        <w:ind w:left="3600" w:hanging="360"/>
      </w:pPr>
      <w:rPr>
        <w:rFonts w:ascii="Courier New" w:hAnsi="Courier New" w:cs="Courier New" w:hint="default"/>
      </w:rPr>
    </w:lvl>
    <w:lvl w:ilvl="8">
      <w:start w:val="1"/>
      <w:numFmt w:val="bullet"/>
      <w:lvlText w:val=""/>
      <w:lvlJc w:val="left"/>
      <w:pPr>
        <w:ind w:left="3960" w:hanging="360"/>
      </w:pPr>
      <w:rPr>
        <w:rFonts w:ascii="Wingdings" w:hAnsi="Wingdings" w:hint="default"/>
      </w:rPr>
    </w:lvl>
  </w:abstractNum>
  <w:abstractNum w:abstractNumId="12" w15:restartNumberingAfterBreak="0">
    <w:nsid w:val="36AD5B23"/>
    <w:multiLevelType w:val="multilevel"/>
    <w:tmpl w:val="A1688B64"/>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15:restartNumberingAfterBreak="0">
    <w:nsid w:val="3F9878CC"/>
    <w:multiLevelType w:val="multilevel"/>
    <w:tmpl w:val="768C3E2C"/>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15:restartNumberingAfterBreak="0">
    <w:nsid w:val="49075E67"/>
    <w:multiLevelType w:val="multilevel"/>
    <w:tmpl w:val="D01A240E"/>
    <w:lvl w:ilvl="0">
      <w:start w:val="1"/>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4FC208FE"/>
    <w:multiLevelType w:val="hybridMultilevel"/>
    <w:tmpl w:val="54E07A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E710AF"/>
    <w:multiLevelType w:val="multilevel"/>
    <w:tmpl w:val="B6486FE8"/>
    <w:lvl w:ilvl="0">
      <w:start w:val="1"/>
      <w:numFmt w:val="decimal"/>
      <w:lvlText w:val="%1."/>
      <w:lvlJc w:val="left"/>
      <w:pPr>
        <w:ind w:left="360" w:hanging="360"/>
      </w:pPr>
      <w:rPr>
        <w:rFonts w:hint="default"/>
        <w:color w:val="auto"/>
      </w:rPr>
    </w:lvl>
    <w:lvl w:ilvl="1">
      <w:start w:val="1"/>
      <w:numFmt w:val="decimal"/>
      <w:lvlText w:val="%2."/>
      <w:lvlJc w:val="left"/>
      <w:pPr>
        <w:ind w:left="720" w:hanging="360"/>
      </w:pPr>
    </w:lvl>
    <w:lvl w:ilvl="2">
      <w:start w:val="1"/>
      <w:numFmt w:val="bullet"/>
      <w:lvlText w:val=""/>
      <w:lvlJc w:val="left"/>
      <w:pPr>
        <w:ind w:left="1080" w:hanging="360"/>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7" w15:restartNumberingAfterBreak="0">
    <w:nsid w:val="57115E90"/>
    <w:multiLevelType w:val="hybridMultilevel"/>
    <w:tmpl w:val="011CE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237D96"/>
    <w:multiLevelType w:val="multilevel"/>
    <w:tmpl w:val="249842F0"/>
    <w:lvl w:ilvl="0">
      <w:start w:val="1"/>
      <w:numFmt w:val="upperLetter"/>
      <w:lvlText w:val="%1."/>
      <w:lvlJc w:val="left"/>
      <w:pPr>
        <w:ind w:left="360" w:hanging="360"/>
      </w:pPr>
      <w:rPr>
        <w:rFonts w:hint="default"/>
        <w:color w:val="auto"/>
      </w:rPr>
    </w:lvl>
    <w:lvl w:ilvl="1">
      <w:start w:val="4"/>
      <w:numFmt w:val="upp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9" w15:restartNumberingAfterBreak="0">
    <w:nsid w:val="5DF66429"/>
    <w:multiLevelType w:val="multilevel"/>
    <w:tmpl w:val="50764918"/>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lvl>
    <w:lvl w:ilvl="2">
      <w:start w:val="1"/>
      <w:numFmt w:val="bullet"/>
      <w:lvlText w:val=""/>
      <w:lvlJc w:val="left"/>
      <w:pPr>
        <w:ind w:left="1080" w:hanging="360"/>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20" w15:restartNumberingAfterBreak="0">
    <w:nsid w:val="65C323AA"/>
    <w:multiLevelType w:val="multilevel"/>
    <w:tmpl w:val="2340BA1E"/>
    <w:lvl w:ilvl="0">
      <w:start w:val="1"/>
      <w:numFmt w:val="upperLetter"/>
      <w:lvlText w:val="%1."/>
      <w:lvlJc w:val="left"/>
      <w:pPr>
        <w:ind w:left="360" w:hanging="360"/>
      </w:pPr>
      <w:rPr>
        <w:rFonts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21" w15:restartNumberingAfterBreak="0">
    <w:nsid w:val="70BB76AF"/>
    <w:multiLevelType w:val="hybridMultilevel"/>
    <w:tmpl w:val="D4264EA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74576A6"/>
    <w:multiLevelType w:val="hybridMultilevel"/>
    <w:tmpl w:val="FCB0A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6E0BBB"/>
    <w:multiLevelType w:val="multilevel"/>
    <w:tmpl w:val="E3827A92"/>
    <w:lvl w:ilvl="0">
      <w:start w:val="1"/>
      <w:numFmt w:val="decimal"/>
      <w:lvlText w:val="%1."/>
      <w:lvlJc w:val="left"/>
      <w:pPr>
        <w:ind w:left="360" w:hanging="360"/>
      </w:pPr>
      <w:rPr>
        <w:rFonts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24" w15:restartNumberingAfterBreak="0">
    <w:nsid w:val="781876BD"/>
    <w:multiLevelType w:val="hybridMultilevel"/>
    <w:tmpl w:val="D4264EAE"/>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78923E7B"/>
    <w:multiLevelType w:val="hybridMultilevel"/>
    <w:tmpl w:val="FA7642C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8F70119"/>
    <w:multiLevelType w:val="multilevel"/>
    <w:tmpl w:val="3C96BD40"/>
    <w:lvl w:ilvl="0">
      <w:start w:val="1"/>
      <w:numFmt w:val="decimal"/>
      <w:pStyle w:val="ListNumber"/>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right"/>
      <w:pPr>
        <w:ind w:left="1440" w:hanging="360"/>
      </w:p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7"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945039576">
    <w:abstractNumId w:val="7"/>
  </w:num>
  <w:num w:numId="2" w16cid:durableId="486940803">
    <w:abstractNumId w:val="27"/>
  </w:num>
  <w:num w:numId="3" w16cid:durableId="1131048890">
    <w:abstractNumId w:val="14"/>
  </w:num>
  <w:num w:numId="4" w16cid:durableId="1260874219">
    <w:abstractNumId w:val="5"/>
  </w:num>
  <w:num w:numId="5" w16cid:durableId="71857447">
    <w:abstractNumId w:val="8"/>
  </w:num>
  <w:num w:numId="6" w16cid:durableId="13746186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7023009">
    <w:abstractNumId w:val="11"/>
  </w:num>
  <w:num w:numId="8" w16cid:durableId="788011946">
    <w:abstractNumId w:val="6"/>
  </w:num>
  <w:num w:numId="9" w16cid:durableId="992416019">
    <w:abstractNumId w:val="19"/>
  </w:num>
  <w:num w:numId="10" w16cid:durableId="419179964">
    <w:abstractNumId w:val="12"/>
  </w:num>
  <w:num w:numId="11" w16cid:durableId="143398545">
    <w:abstractNumId w:val="9"/>
  </w:num>
  <w:num w:numId="12" w16cid:durableId="2114812563">
    <w:abstractNumId w:val="13"/>
  </w:num>
  <w:num w:numId="13" w16cid:durableId="1959025452">
    <w:abstractNumId w:val="2"/>
  </w:num>
  <w:num w:numId="14" w16cid:durableId="720902436">
    <w:abstractNumId w:val="0"/>
  </w:num>
  <w:num w:numId="15" w16cid:durableId="343288562">
    <w:abstractNumId w:val="1"/>
  </w:num>
  <w:num w:numId="16" w16cid:durableId="709889125">
    <w:abstractNumId w:val="10"/>
  </w:num>
  <w:num w:numId="17" w16cid:durableId="717625904">
    <w:abstractNumId w:val="16"/>
  </w:num>
  <w:num w:numId="18" w16cid:durableId="760221323">
    <w:abstractNumId w:val="3"/>
  </w:num>
  <w:num w:numId="19" w16cid:durableId="96413294">
    <w:abstractNumId w:val="25"/>
  </w:num>
  <w:num w:numId="20" w16cid:durableId="826746033">
    <w:abstractNumId w:val="4"/>
  </w:num>
  <w:num w:numId="21" w16cid:durableId="355229551">
    <w:abstractNumId w:val="21"/>
  </w:num>
  <w:num w:numId="22" w16cid:durableId="42146572">
    <w:abstractNumId w:val="24"/>
  </w:num>
  <w:num w:numId="23" w16cid:durableId="7344738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2931429">
    <w:abstractNumId w:val="26"/>
  </w:num>
  <w:num w:numId="25" w16cid:durableId="11387190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30795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57666257">
    <w:abstractNumId w:val="17"/>
  </w:num>
  <w:num w:numId="28" w16cid:durableId="1868828330">
    <w:abstractNumId w:val="15"/>
  </w:num>
  <w:num w:numId="29" w16cid:durableId="469172937">
    <w:abstractNumId w:val="22"/>
  </w:num>
  <w:num w:numId="30" w16cid:durableId="204605828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683174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92563872">
    <w:abstractNumId w:val="23"/>
  </w:num>
  <w:num w:numId="33" w16cid:durableId="1177843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344377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35610568">
    <w:abstractNumId w:val="20"/>
  </w:num>
  <w:num w:numId="36" w16cid:durableId="1089158826">
    <w:abstractNumId w:val="18"/>
  </w:num>
  <w:num w:numId="37" w16cid:durableId="13506435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saveSubset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edit="readOnly" w:enforcement="1" w:cryptProviderType="rsaAES" w:cryptAlgorithmClass="hash" w:cryptAlgorithmType="typeAny" w:cryptAlgorithmSid="14" w:cryptSpinCount="100000" w:hash="TMQL8/8BeTsKQNy62fhGoyRuBdCtQ100igWntOhI/VB2woRfAyv5KVXf1MwE4/layIhUWgBXf6Rn327jou5RuQ==" w:salt="HMgxtRbtMRHJSSHveMHsu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FDD"/>
    <w:rsid w:val="00004553"/>
    <w:rsid w:val="00011413"/>
    <w:rsid w:val="00020E5C"/>
    <w:rsid w:val="000349FD"/>
    <w:rsid w:val="00036FE8"/>
    <w:rsid w:val="000424F1"/>
    <w:rsid w:val="000446C8"/>
    <w:rsid w:val="00045C5E"/>
    <w:rsid w:val="00055C8F"/>
    <w:rsid w:val="00062B29"/>
    <w:rsid w:val="00064619"/>
    <w:rsid w:val="00077186"/>
    <w:rsid w:val="000B449C"/>
    <w:rsid w:val="000B67B1"/>
    <w:rsid w:val="000C0D5B"/>
    <w:rsid w:val="000D6569"/>
    <w:rsid w:val="000D78CE"/>
    <w:rsid w:val="000E0D7D"/>
    <w:rsid w:val="000F126D"/>
    <w:rsid w:val="001112A0"/>
    <w:rsid w:val="00111A81"/>
    <w:rsid w:val="001149B9"/>
    <w:rsid w:val="00137F04"/>
    <w:rsid w:val="00143F77"/>
    <w:rsid w:val="00145F56"/>
    <w:rsid w:val="00154A59"/>
    <w:rsid w:val="00155E89"/>
    <w:rsid w:val="001565BB"/>
    <w:rsid w:val="00163EC9"/>
    <w:rsid w:val="001809BD"/>
    <w:rsid w:val="00187351"/>
    <w:rsid w:val="00195FEF"/>
    <w:rsid w:val="001A17C9"/>
    <w:rsid w:val="001B5742"/>
    <w:rsid w:val="001C12E5"/>
    <w:rsid w:val="001D09DF"/>
    <w:rsid w:val="001D276C"/>
    <w:rsid w:val="001D7990"/>
    <w:rsid w:val="001F3E0C"/>
    <w:rsid w:val="001F55F1"/>
    <w:rsid w:val="0020727B"/>
    <w:rsid w:val="00211BC0"/>
    <w:rsid w:val="00223AC7"/>
    <w:rsid w:val="002301AB"/>
    <w:rsid w:val="00232D1C"/>
    <w:rsid w:val="002336B4"/>
    <w:rsid w:val="00240B34"/>
    <w:rsid w:val="0024512C"/>
    <w:rsid w:val="00247CB8"/>
    <w:rsid w:val="00251200"/>
    <w:rsid w:val="002672BB"/>
    <w:rsid w:val="002726B4"/>
    <w:rsid w:val="00295654"/>
    <w:rsid w:val="002971B9"/>
    <w:rsid w:val="002A04D8"/>
    <w:rsid w:val="002A05A5"/>
    <w:rsid w:val="002A2F34"/>
    <w:rsid w:val="002A3C78"/>
    <w:rsid w:val="002A5A97"/>
    <w:rsid w:val="002B0BA2"/>
    <w:rsid w:val="002B37CB"/>
    <w:rsid w:val="002C68B2"/>
    <w:rsid w:val="002D4E37"/>
    <w:rsid w:val="002D6560"/>
    <w:rsid w:val="002F1907"/>
    <w:rsid w:val="00300CD1"/>
    <w:rsid w:val="00300E82"/>
    <w:rsid w:val="00303364"/>
    <w:rsid w:val="003107C2"/>
    <w:rsid w:val="003150C9"/>
    <w:rsid w:val="00330402"/>
    <w:rsid w:val="0033295A"/>
    <w:rsid w:val="00333FB6"/>
    <w:rsid w:val="00335555"/>
    <w:rsid w:val="00336334"/>
    <w:rsid w:val="00337C1B"/>
    <w:rsid w:val="00342E2C"/>
    <w:rsid w:val="00343EB1"/>
    <w:rsid w:val="00345AEF"/>
    <w:rsid w:val="003713C6"/>
    <w:rsid w:val="0037273C"/>
    <w:rsid w:val="00373CAD"/>
    <w:rsid w:val="003852FC"/>
    <w:rsid w:val="00387F2F"/>
    <w:rsid w:val="003929EC"/>
    <w:rsid w:val="003A149F"/>
    <w:rsid w:val="003B6CAE"/>
    <w:rsid w:val="003B7C19"/>
    <w:rsid w:val="003C2A4C"/>
    <w:rsid w:val="003C382D"/>
    <w:rsid w:val="003C71B7"/>
    <w:rsid w:val="003D0A5B"/>
    <w:rsid w:val="003D192A"/>
    <w:rsid w:val="003D4749"/>
    <w:rsid w:val="003D7D46"/>
    <w:rsid w:val="003E43D0"/>
    <w:rsid w:val="003E77B9"/>
    <w:rsid w:val="003F2216"/>
    <w:rsid w:val="003F34E8"/>
    <w:rsid w:val="003F709E"/>
    <w:rsid w:val="003F767E"/>
    <w:rsid w:val="003F7E90"/>
    <w:rsid w:val="00400F33"/>
    <w:rsid w:val="00401506"/>
    <w:rsid w:val="00402F1A"/>
    <w:rsid w:val="004053A6"/>
    <w:rsid w:val="00410682"/>
    <w:rsid w:val="0041293E"/>
    <w:rsid w:val="004148BA"/>
    <w:rsid w:val="004150F0"/>
    <w:rsid w:val="00415305"/>
    <w:rsid w:val="004220CA"/>
    <w:rsid w:val="00422608"/>
    <w:rsid w:val="00435F70"/>
    <w:rsid w:val="00442D5B"/>
    <w:rsid w:val="00443069"/>
    <w:rsid w:val="00445393"/>
    <w:rsid w:val="00446F24"/>
    <w:rsid w:val="00452A12"/>
    <w:rsid w:val="00466C64"/>
    <w:rsid w:val="00466FDF"/>
    <w:rsid w:val="0046726C"/>
    <w:rsid w:val="00477B62"/>
    <w:rsid w:val="00490361"/>
    <w:rsid w:val="004A5808"/>
    <w:rsid w:val="004A6198"/>
    <w:rsid w:val="004B0DE9"/>
    <w:rsid w:val="004B44A1"/>
    <w:rsid w:val="004C6B3E"/>
    <w:rsid w:val="004D3590"/>
    <w:rsid w:val="004D525F"/>
    <w:rsid w:val="004F7D42"/>
    <w:rsid w:val="00501BB9"/>
    <w:rsid w:val="00504F9A"/>
    <w:rsid w:val="00505CA3"/>
    <w:rsid w:val="005218C4"/>
    <w:rsid w:val="005260EC"/>
    <w:rsid w:val="005275CB"/>
    <w:rsid w:val="00537FDD"/>
    <w:rsid w:val="00546918"/>
    <w:rsid w:val="005470AB"/>
    <w:rsid w:val="00550E1B"/>
    <w:rsid w:val="00553C96"/>
    <w:rsid w:val="005622ED"/>
    <w:rsid w:val="0056759B"/>
    <w:rsid w:val="00574731"/>
    <w:rsid w:val="00582328"/>
    <w:rsid w:val="00590820"/>
    <w:rsid w:val="00592330"/>
    <w:rsid w:val="005C2664"/>
    <w:rsid w:val="005C2BFE"/>
    <w:rsid w:val="005C5281"/>
    <w:rsid w:val="005D2983"/>
    <w:rsid w:val="005D3011"/>
    <w:rsid w:val="005D38BE"/>
    <w:rsid w:val="005E1D4A"/>
    <w:rsid w:val="005E2680"/>
    <w:rsid w:val="005E33F2"/>
    <w:rsid w:val="00600756"/>
    <w:rsid w:val="00604295"/>
    <w:rsid w:val="006158A6"/>
    <w:rsid w:val="0062563B"/>
    <w:rsid w:val="00626F7E"/>
    <w:rsid w:val="0063569F"/>
    <w:rsid w:val="006405DB"/>
    <w:rsid w:val="00642BC1"/>
    <w:rsid w:val="006440DC"/>
    <w:rsid w:val="00646A24"/>
    <w:rsid w:val="00651507"/>
    <w:rsid w:val="006550CD"/>
    <w:rsid w:val="0065532A"/>
    <w:rsid w:val="006771C6"/>
    <w:rsid w:val="0068078C"/>
    <w:rsid w:val="00685C66"/>
    <w:rsid w:val="006A60EA"/>
    <w:rsid w:val="006A665B"/>
    <w:rsid w:val="006B2846"/>
    <w:rsid w:val="006D2842"/>
    <w:rsid w:val="00701396"/>
    <w:rsid w:val="0070622C"/>
    <w:rsid w:val="00710BDE"/>
    <w:rsid w:val="007142F9"/>
    <w:rsid w:val="00715F60"/>
    <w:rsid w:val="007202E7"/>
    <w:rsid w:val="00723362"/>
    <w:rsid w:val="0072611B"/>
    <w:rsid w:val="00745D4A"/>
    <w:rsid w:val="00760D4F"/>
    <w:rsid w:val="00767861"/>
    <w:rsid w:val="007858D5"/>
    <w:rsid w:val="00795D53"/>
    <w:rsid w:val="007975FA"/>
    <w:rsid w:val="007C7010"/>
    <w:rsid w:val="007C7F85"/>
    <w:rsid w:val="007F747D"/>
    <w:rsid w:val="00805789"/>
    <w:rsid w:val="00813D08"/>
    <w:rsid w:val="008209C3"/>
    <w:rsid w:val="008227BF"/>
    <w:rsid w:val="0082778B"/>
    <w:rsid w:val="00830DDB"/>
    <w:rsid w:val="00842E72"/>
    <w:rsid w:val="00845257"/>
    <w:rsid w:val="00853A46"/>
    <w:rsid w:val="00857EE1"/>
    <w:rsid w:val="00872D84"/>
    <w:rsid w:val="00875164"/>
    <w:rsid w:val="0088087A"/>
    <w:rsid w:val="008A1AC2"/>
    <w:rsid w:val="008A376C"/>
    <w:rsid w:val="008A57EA"/>
    <w:rsid w:val="008A7F11"/>
    <w:rsid w:val="008B0E37"/>
    <w:rsid w:val="008B3AE8"/>
    <w:rsid w:val="008B4C82"/>
    <w:rsid w:val="008C603F"/>
    <w:rsid w:val="008C7137"/>
    <w:rsid w:val="008C7B49"/>
    <w:rsid w:val="008D2811"/>
    <w:rsid w:val="008D72A6"/>
    <w:rsid w:val="008E4682"/>
    <w:rsid w:val="008E6AA5"/>
    <w:rsid w:val="00904C06"/>
    <w:rsid w:val="00904D73"/>
    <w:rsid w:val="00907379"/>
    <w:rsid w:val="00910CC7"/>
    <w:rsid w:val="00913DF0"/>
    <w:rsid w:val="009149B8"/>
    <w:rsid w:val="0091552B"/>
    <w:rsid w:val="00935DFA"/>
    <w:rsid w:val="00937873"/>
    <w:rsid w:val="00941F40"/>
    <w:rsid w:val="00944FD2"/>
    <w:rsid w:val="00952F15"/>
    <w:rsid w:val="00953721"/>
    <w:rsid w:val="009546B0"/>
    <w:rsid w:val="009648FF"/>
    <w:rsid w:val="00966188"/>
    <w:rsid w:val="00967718"/>
    <w:rsid w:val="00980550"/>
    <w:rsid w:val="00981F36"/>
    <w:rsid w:val="00987056"/>
    <w:rsid w:val="00997CA4"/>
    <w:rsid w:val="009A46DA"/>
    <w:rsid w:val="009A6505"/>
    <w:rsid w:val="009A66D0"/>
    <w:rsid w:val="009A7CAF"/>
    <w:rsid w:val="009C460F"/>
    <w:rsid w:val="009D1F42"/>
    <w:rsid w:val="009D3D76"/>
    <w:rsid w:val="009D6EB9"/>
    <w:rsid w:val="009E02BD"/>
    <w:rsid w:val="009E1957"/>
    <w:rsid w:val="009E5068"/>
    <w:rsid w:val="009F0979"/>
    <w:rsid w:val="009F1DD4"/>
    <w:rsid w:val="00A02B24"/>
    <w:rsid w:val="00A1426D"/>
    <w:rsid w:val="00A26A77"/>
    <w:rsid w:val="00A464BC"/>
    <w:rsid w:val="00A475E3"/>
    <w:rsid w:val="00A47B07"/>
    <w:rsid w:val="00A6405C"/>
    <w:rsid w:val="00A66AF4"/>
    <w:rsid w:val="00A714D3"/>
    <w:rsid w:val="00A7674C"/>
    <w:rsid w:val="00A76BFC"/>
    <w:rsid w:val="00A80824"/>
    <w:rsid w:val="00A84CFA"/>
    <w:rsid w:val="00A85E23"/>
    <w:rsid w:val="00AA10E8"/>
    <w:rsid w:val="00AA3845"/>
    <w:rsid w:val="00AA432B"/>
    <w:rsid w:val="00AA49FA"/>
    <w:rsid w:val="00AA4F86"/>
    <w:rsid w:val="00AB41E2"/>
    <w:rsid w:val="00AD5E44"/>
    <w:rsid w:val="00AE3B24"/>
    <w:rsid w:val="00AE4032"/>
    <w:rsid w:val="00AE4C68"/>
    <w:rsid w:val="00AF01B3"/>
    <w:rsid w:val="00AF6041"/>
    <w:rsid w:val="00B05C42"/>
    <w:rsid w:val="00B11660"/>
    <w:rsid w:val="00B15547"/>
    <w:rsid w:val="00B227C9"/>
    <w:rsid w:val="00B272A7"/>
    <w:rsid w:val="00B274FE"/>
    <w:rsid w:val="00B27F3B"/>
    <w:rsid w:val="00B62C79"/>
    <w:rsid w:val="00B65047"/>
    <w:rsid w:val="00B71F7F"/>
    <w:rsid w:val="00B72EAF"/>
    <w:rsid w:val="00B84643"/>
    <w:rsid w:val="00B87061"/>
    <w:rsid w:val="00B93B4F"/>
    <w:rsid w:val="00BA63DC"/>
    <w:rsid w:val="00BB02EA"/>
    <w:rsid w:val="00BB29D7"/>
    <w:rsid w:val="00BB4982"/>
    <w:rsid w:val="00BB6394"/>
    <w:rsid w:val="00BC2A0C"/>
    <w:rsid w:val="00BC2FB8"/>
    <w:rsid w:val="00BC52C3"/>
    <w:rsid w:val="00BC7158"/>
    <w:rsid w:val="00BD1914"/>
    <w:rsid w:val="00BD6B39"/>
    <w:rsid w:val="00BE3E16"/>
    <w:rsid w:val="00BE4635"/>
    <w:rsid w:val="00C001A8"/>
    <w:rsid w:val="00C03B9B"/>
    <w:rsid w:val="00C17025"/>
    <w:rsid w:val="00C262A8"/>
    <w:rsid w:val="00C27496"/>
    <w:rsid w:val="00C27891"/>
    <w:rsid w:val="00C32322"/>
    <w:rsid w:val="00C33034"/>
    <w:rsid w:val="00C41BAA"/>
    <w:rsid w:val="00C423F6"/>
    <w:rsid w:val="00C431EA"/>
    <w:rsid w:val="00C436ED"/>
    <w:rsid w:val="00C443CC"/>
    <w:rsid w:val="00C445B3"/>
    <w:rsid w:val="00C548C9"/>
    <w:rsid w:val="00C57711"/>
    <w:rsid w:val="00C616CD"/>
    <w:rsid w:val="00C62FF4"/>
    <w:rsid w:val="00C639EB"/>
    <w:rsid w:val="00C64139"/>
    <w:rsid w:val="00C74B3E"/>
    <w:rsid w:val="00C7674B"/>
    <w:rsid w:val="00C776E4"/>
    <w:rsid w:val="00C84F21"/>
    <w:rsid w:val="00C867DC"/>
    <w:rsid w:val="00CB6507"/>
    <w:rsid w:val="00CC1F1A"/>
    <w:rsid w:val="00CC2BDA"/>
    <w:rsid w:val="00CD5ECC"/>
    <w:rsid w:val="00D00979"/>
    <w:rsid w:val="00D048D0"/>
    <w:rsid w:val="00D04CBF"/>
    <w:rsid w:val="00D12A50"/>
    <w:rsid w:val="00D1576D"/>
    <w:rsid w:val="00D22E5C"/>
    <w:rsid w:val="00D356F2"/>
    <w:rsid w:val="00D47744"/>
    <w:rsid w:val="00D47C81"/>
    <w:rsid w:val="00D55DA9"/>
    <w:rsid w:val="00D618B0"/>
    <w:rsid w:val="00D63A51"/>
    <w:rsid w:val="00D77071"/>
    <w:rsid w:val="00D775EA"/>
    <w:rsid w:val="00D872B7"/>
    <w:rsid w:val="00DB4CAD"/>
    <w:rsid w:val="00DE34F5"/>
    <w:rsid w:val="00DE5111"/>
    <w:rsid w:val="00DE69FF"/>
    <w:rsid w:val="00DE781A"/>
    <w:rsid w:val="00DF0E25"/>
    <w:rsid w:val="00DF2039"/>
    <w:rsid w:val="00DF77FD"/>
    <w:rsid w:val="00E00839"/>
    <w:rsid w:val="00E112C3"/>
    <w:rsid w:val="00E14E58"/>
    <w:rsid w:val="00E21354"/>
    <w:rsid w:val="00E43CD8"/>
    <w:rsid w:val="00E455A8"/>
    <w:rsid w:val="00E52873"/>
    <w:rsid w:val="00E66098"/>
    <w:rsid w:val="00E77ECA"/>
    <w:rsid w:val="00E800A4"/>
    <w:rsid w:val="00E9313B"/>
    <w:rsid w:val="00EA2D12"/>
    <w:rsid w:val="00EA4356"/>
    <w:rsid w:val="00EB3C3E"/>
    <w:rsid w:val="00EB539F"/>
    <w:rsid w:val="00EB6AE0"/>
    <w:rsid w:val="00EB78FA"/>
    <w:rsid w:val="00EC1C9F"/>
    <w:rsid w:val="00EC49B3"/>
    <w:rsid w:val="00ED0775"/>
    <w:rsid w:val="00ED1AAD"/>
    <w:rsid w:val="00ED5131"/>
    <w:rsid w:val="00EF1531"/>
    <w:rsid w:val="00EF5B22"/>
    <w:rsid w:val="00F01EC3"/>
    <w:rsid w:val="00F1192B"/>
    <w:rsid w:val="00F240DF"/>
    <w:rsid w:val="00F56139"/>
    <w:rsid w:val="00F602D4"/>
    <w:rsid w:val="00F66665"/>
    <w:rsid w:val="00F66D09"/>
    <w:rsid w:val="00F83185"/>
    <w:rsid w:val="00F84154"/>
    <w:rsid w:val="00F90224"/>
    <w:rsid w:val="00F919D6"/>
    <w:rsid w:val="00F92530"/>
    <w:rsid w:val="00F96D2C"/>
    <w:rsid w:val="00FA54D6"/>
    <w:rsid w:val="00FB2011"/>
    <w:rsid w:val="00FB6EB5"/>
    <w:rsid w:val="00FC262D"/>
    <w:rsid w:val="00FC6512"/>
    <w:rsid w:val="00FD0EAF"/>
    <w:rsid w:val="00FD1178"/>
    <w:rsid w:val="00FD568D"/>
    <w:rsid w:val="00FE0689"/>
    <w:rsid w:val="00FE5D65"/>
    <w:rsid w:val="00FF5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8AA38"/>
  <w15:chartTrackingRefBased/>
  <w15:docId w15:val="{A307EB05-EC00-423E-A42D-224F47ABB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F56"/>
    <w:pPr>
      <w:spacing w:after="200" w:line="360" w:lineRule="auto"/>
    </w:pPr>
    <w:rPr>
      <w:szCs w:val="20"/>
    </w:rPr>
  </w:style>
  <w:style w:type="paragraph" w:styleId="Heading1">
    <w:name w:val="heading 1"/>
    <w:next w:val="Normal"/>
    <w:link w:val="Heading1Char"/>
    <w:uiPriority w:val="9"/>
    <w:qFormat/>
    <w:rsid w:val="0091552B"/>
    <w:pPr>
      <w:spacing w:after="240"/>
      <w:ind w:left="1267" w:right="1267"/>
      <w:outlineLvl w:val="0"/>
    </w:pPr>
    <w:rPr>
      <w:b/>
      <w:bCs/>
      <w:color w:val="FFFFFF" w:themeColor="background1"/>
      <w:sz w:val="48"/>
      <w:szCs w:val="48"/>
    </w:rPr>
  </w:style>
  <w:style w:type="paragraph" w:styleId="Heading2">
    <w:name w:val="heading 2"/>
    <w:next w:val="Normal"/>
    <w:link w:val="Heading2Char"/>
    <w:uiPriority w:val="9"/>
    <w:unhideWhenUsed/>
    <w:qFormat/>
    <w:rsid w:val="00BB4982"/>
    <w:pPr>
      <w:keepNext/>
      <w:keepLines/>
      <w:widowControl w:val="0"/>
      <w:spacing w:before="240" w:line="336" w:lineRule="auto"/>
      <w:outlineLvl w:val="1"/>
    </w:pPr>
    <w:rPr>
      <w:rFonts w:asciiTheme="majorHAnsi" w:hAnsiTheme="majorHAnsi"/>
      <w:b/>
      <w:color w:val="0056A9"/>
      <w:sz w:val="32"/>
      <w:szCs w:val="32"/>
    </w:rPr>
  </w:style>
  <w:style w:type="paragraph" w:styleId="Heading3">
    <w:name w:val="heading 3"/>
    <w:next w:val="Normal"/>
    <w:link w:val="Heading3Char"/>
    <w:uiPriority w:val="9"/>
    <w:unhideWhenUsed/>
    <w:qFormat/>
    <w:rsid w:val="00BB4982"/>
    <w:pPr>
      <w:keepNext/>
      <w:keepLines/>
      <w:widowControl w:val="0"/>
      <w:spacing w:before="40" w:line="336" w:lineRule="auto"/>
      <w:outlineLvl w:val="2"/>
    </w:pPr>
    <w:rPr>
      <w:rFonts w:asciiTheme="majorHAnsi" w:eastAsiaTheme="majorEastAsia" w:hAnsiTheme="majorHAnsi" w:cstheme="majorBidi"/>
      <w:b/>
      <w:color w:val="002E69"/>
      <w:sz w:val="28"/>
      <w:szCs w:val="32"/>
    </w:rPr>
  </w:style>
  <w:style w:type="paragraph" w:styleId="Heading4">
    <w:name w:val="heading 4"/>
    <w:next w:val="Normal"/>
    <w:link w:val="Heading4Char"/>
    <w:uiPriority w:val="9"/>
    <w:unhideWhenUsed/>
    <w:qFormat/>
    <w:rsid w:val="00BB4982"/>
    <w:pPr>
      <w:keepNext/>
      <w:keepLines/>
      <w:widowControl w:val="0"/>
      <w:spacing w:before="40" w:line="336" w:lineRule="auto"/>
      <w:outlineLvl w:val="3"/>
    </w:pPr>
    <w:rPr>
      <w:rFonts w:asciiTheme="majorHAnsi" w:eastAsiaTheme="majorEastAsia" w:hAnsiTheme="majorHAnsi" w:cstheme="majorBidi"/>
      <w:b/>
      <w:i/>
      <w:color w:val="002E69"/>
      <w:sz w:val="26"/>
      <w:szCs w:val="28"/>
    </w:rPr>
  </w:style>
  <w:style w:type="paragraph" w:styleId="Heading5">
    <w:name w:val="heading 5"/>
    <w:basedOn w:val="Heading4"/>
    <w:next w:val="Normal"/>
    <w:link w:val="Heading5Char"/>
    <w:uiPriority w:val="9"/>
    <w:unhideWhenUsed/>
    <w:qFormat/>
    <w:rsid w:val="00C423F6"/>
    <w:pPr>
      <w:spacing w:before="300"/>
      <w:outlineLvl w:val="4"/>
    </w:pPr>
    <w:rPr>
      <w:i w:val="0"/>
      <w:iCs/>
      <w:color w:val="0056A9" w:themeColor="accent1"/>
      <w:szCs w:val="26"/>
    </w:rPr>
  </w:style>
  <w:style w:type="paragraph" w:styleId="Heading6">
    <w:name w:val="heading 6"/>
    <w:next w:val="Normal"/>
    <w:link w:val="Heading6Char"/>
    <w:uiPriority w:val="9"/>
    <w:unhideWhenUsed/>
    <w:qFormat/>
    <w:rsid w:val="00B93B4F"/>
    <w:pPr>
      <w:spacing w:after="120" w:line="360" w:lineRule="auto"/>
      <w:outlineLvl w:val="5"/>
    </w:pPr>
    <w:rPr>
      <w:rFonts w:asciiTheme="majorHAnsi" w:hAnsiTheme="majorHAnsi"/>
      <w:b/>
      <w:bCs/>
      <w:iCs/>
      <w:color w:val="0056A9" w:themeColor="accent1"/>
    </w:rPr>
  </w:style>
  <w:style w:type="paragraph" w:styleId="Heading7">
    <w:name w:val="heading 7"/>
    <w:basedOn w:val="Normal"/>
    <w:next w:val="Normal"/>
    <w:link w:val="Heading7Char"/>
    <w:uiPriority w:val="9"/>
    <w:unhideWhenUsed/>
    <w:qFormat/>
    <w:rsid w:val="003C2A4C"/>
    <w:pPr>
      <w:pBdr>
        <w:top w:val="single" w:sz="48" w:space="1" w:color="0056A9" w:themeColor="accent1"/>
        <w:left w:val="single" w:sz="48" w:space="4" w:color="0056A9" w:themeColor="accent1"/>
        <w:bottom w:val="single" w:sz="48" w:space="1" w:color="0056A9" w:themeColor="accent1"/>
        <w:right w:val="single" w:sz="48" w:space="4" w:color="0056A9" w:themeColor="accent1"/>
      </w:pBdr>
      <w:shd w:val="clear" w:color="auto" w:fill="0056A9" w:themeFill="accent1"/>
      <w:outlineLvl w:val="6"/>
    </w:pPr>
    <w:rPr>
      <w:b/>
      <w:bCs/>
      <w:color w:val="FFFFFF" w:themeColor="background1"/>
    </w:rPr>
  </w:style>
  <w:style w:type="paragraph" w:styleId="Heading8">
    <w:name w:val="heading 8"/>
    <w:basedOn w:val="Normal"/>
    <w:next w:val="Normal"/>
    <w:link w:val="Heading8Char"/>
    <w:uiPriority w:val="9"/>
    <w:semiHidden/>
    <w:unhideWhenUsed/>
    <w:qFormat/>
    <w:rsid w:val="003D0A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A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52B"/>
    <w:rPr>
      <w:b/>
      <w:bCs/>
      <w:color w:val="FFFFFF" w:themeColor="background1"/>
      <w:sz w:val="48"/>
      <w:szCs w:val="48"/>
    </w:rPr>
  </w:style>
  <w:style w:type="character" w:customStyle="1" w:styleId="Heading2Char">
    <w:name w:val="Heading 2 Char"/>
    <w:basedOn w:val="DefaultParagraphFont"/>
    <w:link w:val="Heading2"/>
    <w:uiPriority w:val="9"/>
    <w:rsid w:val="00BB4982"/>
    <w:rPr>
      <w:rFonts w:asciiTheme="majorHAnsi" w:hAnsiTheme="majorHAnsi"/>
      <w:b/>
      <w:color w:val="0056A9"/>
      <w:sz w:val="32"/>
      <w:szCs w:val="32"/>
    </w:rPr>
  </w:style>
  <w:style w:type="character" w:customStyle="1" w:styleId="Heading3Char">
    <w:name w:val="Heading 3 Char"/>
    <w:basedOn w:val="DefaultParagraphFont"/>
    <w:link w:val="Heading3"/>
    <w:uiPriority w:val="9"/>
    <w:rsid w:val="00BB4982"/>
    <w:rPr>
      <w:rFonts w:asciiTheme="majorHAnsi" w:eastAsiaTheme="majorEastAsia" w:hAnsiTheme="majorHAnsi" w:cstheme="majorBidi"/>
      <w:b/>
      <w:color w:val="002E69"/>
      <w:sz w:val="28"/>
      <w:szCs w:val="32"/>
    </w:rPr>
  </w:style>
  <w:style w:type="character" w:customStyle="1" w:styleId="Heading4Char">
    <w:name w:val="Heading 4 Char"/>
    <w:basedOn w:val="DefaultParagraphFont"/>
    <w:link w:val="Heading4"/>
    <w:uiPriority w:val="9"/>
    <w:rsid w:val="00BB4982"/>
    <w:rPr>
      <w:rFonts w:asciiTheme="majorHAnsi" w:eastAsiaTheme="majorEastAsia" w:hAnsiTheme="majorHAnsi" w:cstheme="majorBidi"/>
      <w:b/>
      <w:i/>
      <w:color w:val="002E69"/>
      <w:sz w:val="26"/>
      <w:szCs w:val="28"/>
    </w:rPr>
  </w:style>
  <w:style w:type="character" w:customStyle="1" w:styleId="Heading5Char">
    <w:name w:val="Heading 5 Char"/>
    <w:basedOn w:val="DefaultParagraphFont"/>
    <w:link w:val="Heading5"/>
    <w:uiPriority w:val="9"/>
    <w:rsid w:val="00C423F6"/>
    <w:rPr>
      <w:rFonts w:asciiTheme="majorHAnsi" w:eastAsiaTheme="majorEastAsia" w:hAnsiTheme="majorHAnsi" w:cstheme="majorBidi"/>
      <w:b/>
      <w:i/>
      <w:iCs/>
      <w:color w:val="0056A9" w:themeColor="accent1"/>
      <w:sz w:val="26"/>
      <w:szCs w:val="26"/>
    </w:rPr>
  </w:style>
  <w:style w:type="character" w:customStyle="1" w:styleId="Heading6Char">
    <w:name w:val="Heading 6 Char"/>
    <w:basedOn w:val="DefaultParagraphFont"/>
    <w:link w:val="Heading6"/>
    <w:uiPriority w:val="9"/>
    <w:rsid w:val="00B93B4F"/>
    <w:rPr>
      <w:rFonts w:asciiTheme="majorHAnsi" w:hAnsiTheme="majorHAnsi"/>
      <w:b/>
      <w:bCs/>
      <w:iCs/>
      <w:color w:val="0056A9" w:themeColor="accent1"/>
    </w:rPr>
  </w:style>
  <w:style w:type="character" w:customStyle="1" w:styleId="Heading7Char">
    <w:name w:val="Heading 7 Char"/>
    <w:basedOn w:val="DefaultParagraphFont"/>
    <w:link w:val="Heading7"/>
    <w:uiPriority w:val="9"/>
    <w:rsid w:val="003C2A4C"/>
    <w:rPr>
      <w:b/>
      <w:bCs/>
      <w:color w:val="FFFFFF" w:themeColor="background1"/>
      <w:szCs w:val="20"/>
      <w:shd w:val="clear" w:color="auto" w:fill="0056A9" w:themeFill="accent1"/>
    </w:rPr>
  </w:style>
  <w:style w:type="character" w:customStyle="1" w:styleId="Heading8Char">
    <w:name w:val="Heading 8 Char"/>
    <w:basedOn w:val="DefaultParagraphFont"/>
    <w:link w:val="Heading8"/>
    <w:uiPriority w:val="9"/>
    <w:semiHidden/>
    <w:rsid w:val="003D0A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A5B"/>
    <w:rPr>
      <w:rFonts w:eastAsiaTheme="majorEastAsia" w:cstheme="majorBidi"/>
      <w:color w:val="272727" w:themeColor="text1" w:themeTint="D8"/>
    </w:rPr>
  </w:style>
  <w:style w:type="paragraph" w:customStyle="1" w:styleId="TableHeadingSingle">
    <w:name w:val="Table Heading (Single"/>
    <w:aliases w:val="No Space After)"/>
    <w:basedOn w:val="Normal"/>
    <w:rsid w:val="005D38BE"/>
    <w:pPr>
      <w:framePr w:wrap="around" w:vAnchor="text" w:hAnchor="text" w:y="1"/>
      <w:spacing w:after="0" w:line="240" w:lineRule="auto"/>
      <w:suppressOverlap/>
    </w:pPr>
    <w:rPr>
      <w:rFonts w:asciiTheme="majorHAnsi" w:hAnsiTheme="majorHAnsi"/>
      <w:b/>
      <w:color w:val="FFFFFF" w:themeColor="background1"/>
    </w:rPr>
  </w:style>
  <w:style w:type="paragraph" w:styleId="Footer">
    <w:name w:val="footer"/>
    <w:basedOn w:val="Normal"/>
    <w:link w:val="FooterChar"/>
    <w:uiPriority w:val="99"/>
    <w:unhideWhenUsed/>
    <w:rsid w:val="00EB78FA"/>
    <w:pPr>
      <w:tabs>
        <w:tab w:val="center" w:pos="4680"/>
        <w:tab w:val="right" w:pos="9360"/>
      </w:tabs>
      <w:spacing w:before="360" w:after="0"/>
    </w:pPr>
    <w:rPr>
      <w:color w:val="0056A9" w:themeColor="accent1"/>
    </w:rPr>
  </w:style>
  <w:style w:type="character" w:customStyle="1" w:styleId="FooterChar">
    <w:name w:val="Footer Char"/>
    <w:basedOn w:val="DefaultParagraphFont"/>
    <w:link w:val="Footer"/>
    <w:uiPriority w:val="99"/>
    <w:rsid w:val="00EB78FA"/>
    <w:rPr>
      <w:color w:val="0056A9" w:themeColor="accent1"/>
      <w:szCs w:val="20"/>
    </w:rPr>
  </w:style>
  <w:style w:type="table" w:customStyle="1" w:styleId="ATFTxDOTTable">
    <w:name w:val="ATF TxDOT Table"/>
    <w:basedOn w:val="TableNormal"/>
    <w:uiPriority w:val="99"/>
    <w:rsid w:val="00211BC0"/>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autoRedefine/>
    <w:uiPriority w:val="35"/>
    <w:unhideWhenUsed/>
    <w:qFormat/>
    <w:rsid w:val="00FF57DC"/>
    <w:pPr>
      <w:spacing w:line="240" w:lineRule="auto"/>
    </w:pPr>
    <w:rPr>
      <w:rFonts w:eastAsia="MS Mincho" w:cs="Traditional Arabic"/>
      <w:iCs/>
      <w:color w:val="000000" w:themeColor="text2"/>
      <w:kern w:val="0"/>
      <w:szCs w:val="18"/>
      <w14:ligatures w14:val="none"/>
    </w:rPr>
  </w:style>
  <w:style w:type="paragraph" w:customStyle="1" w:styleId="SpecialCentered">
    <w:name w:val="Special Centered"/>
    <w:basedOn w:val="Normal"/>
    <w:link w:val="SpecialCenteredChar"/>
    <w:rsid w:val="00145F56"/>
    <w:pPr>
      <w:jc w:val="center"/>
    </w:pPr>
    <w:rPr>
      <w:kern w:val="0"/>
      <w:szCs w:val="28"/>
      <w14:ligatures w14:val="none"/>
    </w:rPr>
  </w:style>
  <w:style w:type="paragraph" w:customStyle="1" w:styleId="TableNormalNoSpaceAfter">
    <w:name w:val="Table Normal (No Space After)"/>
    <w:basedOn w:val="Normal"/>
    <w:rsid w:val="00AB41E2"/>
    <w:pPr>
      <w:spacing w:after="0"/>
    </w:pPr>
  </w:style>
  <w:style w:type="character" w:customStyle="1" w:styleId="SpecialCenteredChar">
    <w:name w:val="Special Centered Char"/>
    <w:basedOn w:val="DefaultParagraphFont"/>
    <w:link w:val="SpecialCentered"/>
    <w:rsid w:val="00145F56"/>
    <w:rPr>
      <w:kern w:val="0"/>
      <w:szCs w:val="28"/>
      <w14:ligatures w14:val="none"/>
    </w:rPr>
  </w:style>
  <w:style w:type="paragraph" w:styleId="NoSpacing">
    <w:name w:val="No Spacing"/>
    <w:basedOn w:val="Normal"/>
    <w:uiPriority w:val="1"/>
    <w:rsid w:val="00B11660"/>
    <w:rPr>
      <w:sz w:val="18"/>
    </w:rPr>
  </w:style>
  <w:style w:type="table" w:customStyle="1" w:styleId="TxDOTsimpleleftaxistable">
    <w:name w:val="TxDOT simple left axis table"/>
    <w:basedOn w:val="TableNormal"/>
    <w:uiPriority w:val="99"/>
    <w:rsid w:val="00953721"/>
    <w:rPr>
      <w:sz w:val="18"/>
    </w:rPr>
    <w:tblPr>
      <w:tblCellMar>
        <w:top w:w="115" w:type="dxa"/>
        <w:left w:w="58" w:type="dxa"/>
        <w:bottom w:w="115" w:type="dxa"/>
        <w:right w:w="58" w:type="dxa"/>
      </w:tblCellMar>
    </w:tblPr>
    <w:tblStylePr w:type="firstRow">
      <w:rPr>
        <w:b/>
        <w:sz w:val="18"/>
      </w:rPr>
      <w:tblPr/>
      <w:tcPr>
        <w:tcBorders>
          <w:top w:val="nil"/>
          <w:left w:val="nil"/>
          <w:bottom w:val="single" w:sz="24" w:space="0" w:color="000000" w:themeColor="text1"/>
          <w:right w:val="nil"/>
          <w:insideH w:val="nil"/>
          <w:insideV w:val="nil"/>
          <w:tl2br w:val="nil"/>
          <w:tr2bl w:val="nil"/>
        </w:tcBorders>
      </w:tcPr>
    </w:tblStylePr>
    <w:tblStylePr w:type="firstCol">
      <w:rPr>
        <w:b/>
        <w:sz w:val="18"/>
      </w:rPr>
    </w:tblStylePr>
  </w:style>
  <w:style w:type="paragraph" w:styleId="TOC1">
    <w:name w:val="toc 1"/>
    <w:basedOn w:val="Normal"/>
    <w:next w:val="Normal"/>
    <w:autoRedefine/>
    <w:uiPriority w:val="39"/>
    <w:rsid w:val="00295654"/>
    <w:pPr>
      <w:tabs>
        <w:tab w:val="right" w:leader="dot" w:pos="9360"/>
      </w:tabs>
      <w:spacing w:before="120" w:after="120" w:line="312" w:lineRule="auto"/>
    </w:pPr>
    <w:rPr>
      <w:rFonts w:ascii="Verdana" w:eastAsia="MS Mincho" w:hAnsi="Verdana" w:cs="Traditional Arabic"/>
      <w:b/>
      <w:noProof/>
      <w:color w:val="0056A9"/>
      <w:kern w:val="0"/>
      <w:szCs w:val="28"/>
      <w14:ligatures w14:val="none"/>
    </w:rPr>
  </w:style>
  <w:style w:type="character" w:styleId="Hyperlink">
    <w:name w:val="Hyperlink"/>
    <w:basedOn w:val="DefaultParagraphFont"/>
    <w:uiPriority w:val="99"/>
    <w:rsid w:val="00BC7158"/>
    <w:rPr>
      <w:rFonts w:cs="Times New Roman"/>
      <w:color w:val="0056A9" w:themeColor="accent1"/>
      <w:u w:val="single"/>
    </w:rPr>
  </w:style>
  <w:style w:type="paragraph" w:styleId="TOCHeading">
    <w:name w:val="TOC Heading"/>
    <w:basedOn w:val="Heading1"/>
    <w:next w:val="Normal"/>
    <w:uiPriority w:val="39"/>
    <w:unhideWhenUsed/>
    <w:qFormat/>
    <w:rsid w:val="00AA10E8"/>
    <w:pPr>
      <w:spacing w:after="200" w:line="259" w:lineRule="auto"/>
      <w:ind w:left="0" w:right="0"/>
      <w:outlineLvl w:val="9"/>
    </w:pPr>
    <w:rPr>
      <w:rFonts w:asciiTheme="majorHAnsi" w:hAnsiTheme="majorHAnsi"/>
      <w:color w:val="0056A9" w:themeColor="accent1"/>
      <w:kern w:val="0"/>
      <w:szCs w:val="32"/>
      <w14:ligatures w14:val="none"/>
    </w:rPr>
  </w:style>
  <w:style w:type="table" w:styleId="TableGrid">
    <w:name w:val="Table Grid"/>
    <w:basedOn w:val="TableNormal"/>
    <w:uiPriority w:val="39"/>
    <w:rsid w:val="00C44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EB3C3E"/>
    <w:pPr>
      <w:spacing w:after="100"/>
      <w:ind w:left="360"/>
    </w:pPr>
    <w:rPr>
      <w:bCs/>
      <w:noProof/>
    </w:rPr>
  </w:style>
  <w:style w:type="paragraph" w:customStyle="1" w:styleId="NormalSingleSpaceNoSpaceAfter">
    <w:name w:val="Normal Single Space (No Space After)"/>
    <w:basedOn w:val="Normal"/>
    <w:rsid w:val="0046726C"/>
    <w:pPr>
      <w:spacing w:after="0"/>
    </w:pPr>
    <w:rPr>
      <w:noProof/>
    </w:rPr>
  </w:style>
  <w:style w:type="paragraph" w:styleId="TOC2">
    <w:name w:val="toc 2"/>
    <w:basedOn w:val="Normal"/>
    <w:next w:val="Normal"/>
    <w:autoRedefine/>
    <w:uiPriority w:val="39"/>
    <w:unhideWhenUsed/>
    <w:rsid w:val="00B84643"/>
    <w:pPr>
      <w:spacing w:after="100"/>
      <w:ind w:left="180"/>
    </w:pPr>
  </w:style>
  <w:style w:type="paragraph" w:styleId="Header">
    <w:name w:val="header"/>
    <w:basedOn w:val="Normal"/>
    <w:link w:val="HeaderChar"/>
    <w:uiPriority w:val="99"/>
    <w:unhideWhenUsed/>
    <w:rsid w:val="00505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CA3"/>
    <w:rPr>
      <w:sz w:val="18"/>
      <w:szCs w:val="20"/>
    </w:rPr>
  </w:style>
  <w:style w:type="character" w:styleId="PageNumber">
    <w:name w:val="page number"/>
    <w:basedOn w:val="DefaultParagraphFont"/>
    <w:uiPriority w:val="99"/>
    <w:semiHidden/>
    <w:unhideWhenUsed/>
    <w:rsid w:val="00505CA3"/>
  </w:style>
  <w:style w:type="paragraph" w:styleId="ListBullet">
    <w:name w:val="List Bullet"/>
    <w:basedOn w:val="Normal"/>
    <w:uiPriority w:val="1"/>
    <w:qFormat/>
    <w:rsid w:val="003F7E90"/>
    <w:pPr>
      <w:numPr>
        <w:numId w:val="2"/>
      </w:numPr>
      <w:contextualSpacing/>
    </w:pPr>
    <w:rPr>
      <w:rFonts w:ascii="Verdana" w:eastAsia="MS Mincho" w:hAnsi="Verdana" w:cs="Times New Roman"/>
      <w:color w:val="000000"/>
      <w:kern w:val="0"/>
      <w:szCs w:val="22"/>
      <w14:ligatures w14:val="none"/>
    </w:rPr>
  </w:style>
  <w:style w:type="paragraph" w:styleId="ListNumber">
    <w:name w:val="List Number"/>
    <w:basedOn w:val="BodyText"/>
    <w:uiPriority w:val="1"/>
    <w:qFormat/>
    <w:rsid w:val="00163EC9"/>
    <w:pPr>
      <w:numPr>
        <w:numId w:val="24"/>
      </w:numPr>
      <w:spacing w:after="200"/>
      <w:contextualSpacing/>
    </w:pPr>
    <w:rPr>
      <w:rFonts w:ascii="Verdana" w:eastAsia="MS Mincho" w:hAnsi="Verdana" w:cs="Times New Roman"/>
      <w:color w:val="000000"/>
      <w:kern w:val="0"/>
      <w:szCs w:val="22"/>
      <w14:ligatures w14:val="none"/>
    </w:rPr>
  </w:style>
  <w:style w:type="paragraph" w:styleId="BodyText">
    <w:name w:val="Body Text"/>
    <w:basedOn w:val="Normal"/>
    <w:link w:val="BodyTextChar"/>
    <w:uiPriority w:val="99"/>
    <w:semiHidden/>
    <w:unhideWhenUsed/>
    <w:rsid w:val="00F96D2C"/>
    <w:pPr>
      <w:spacing w:after="120"/>
    </w:pPr>
  </w:style>
  <w:style w:type="character" w:customStyle="1" w:styleId="BodyTextChar">
    <w:name w:val="Body Text Char"/>
    <w:basedOn w:val="DefaultParagraphFont"/>
    <w:link w:val="BodyText"/>
    <w:uiPriority w:val="99"/>
    <w:semiHidden/>
    <w:rsid w:val="00F96D2C"/>
    <w:rPr>
      <w:sz w:val="18"/>
      <w:szCs w:val="20"/>
    </w:rPr>
  </w:style>
  <w:style w:type="paragraph" w:customStyle="1" w:styleId="CVRTxDOTLogoSpacing">
    <w:name w:val="CVR TxDOT Logo Spacing"/>
    <w:rsid w:val="004D3590"/>
    <w:pPr>
      <w:spacing w:before="1000" w:after="360"/>
      <w:ind w:left="1267" w:right="1267"/>
    </w:pPr>
    <w:rPr>
      <w:noProof/>
      <w:color w:val="FFFFFF" w:themeColor="background1"/>
      <w:sz w:val="32"/>
      <w:szCs w:val="32"/>
    </w:rPr>
  </w:style>
  <w:style w:type="paragraph" w:styleId="FootnoteText">
    <w:name w:val="footnote text"/>
    <w:basedOn w:val="Normal"/>
    <w:link w:val="FootnoteTextChar"/>
    <w:uiPriority w:val="99"/>
    <w:semiHidden/>
    <w:unhideWhenUsed/>
    <w:rsid w:val="00E9313B"/>
    <w:pPr>
      <w:spacing w:after="0" w:line="240" w:lineRule="auto"/>
    </w:pPr>
    <w:rPr>
      <w:sz w:val="20"/>
    </w:rPr>
  </w:style>
  <w:style w:type="character" w:customStyle="1" w:styleId="FootnoteTextChar">
    <w:name w:val="Footnote Text Char"/>
    <w:basedOn w:val="DefaultParagraphFont"/>
    <w:link w:val="FootnoteText"/>
    <w:uiPriority w:val="99"/>
    <w:semiHidden/>
    <w:rsid w:val="00E9313B"/>
    <w:rPr>
      <w:sz w:val="20"/>
      <w:szCs w:val="20"/>
    </w:rPr>
  </w:style>
  <w:style w:type="character" w:styleId="FootnoteReference">
    <w:name w:val="footnote reference"/>
    <w:basedOn w:val="DefaultParagraphFont"/>
    <w:uiPriority w:val="99"/>
    <w:semiHidden/>
    <w:unhideWhenUsed/>
    <w:rsid w:val="00E9313B"/>
    <w:rPr>
      <w:vertAlign w:val="superscript"/>
    </w:rPr>
  </w:style>
  <w:style w:type="paragraph" w:styleId="EndnoteText">
    <w:name w:val="endnote text"/>
    <w:basedOn w:val="Normal"/>
    <w:link w:val="EndnoteTextChar"/>
    <w:uiPriority w:val="99"/>
    <w:semiHidden/>
    <w:unhideWhenUsed/>
    <w:rsid w:val="00E9313B"/>
    <w:pPr>
      <w:spacing w:after="0" w:line="240" w:lineRule="auto"/>
    </w:pPr>
    <w:rPr>
      <w:sz w:val="20"/>
    </w:rPr>
  </w:style>
  <w:style w:type="character" w:customStyle="1" w:styleId="EndnoteTextChar">
    <w:name w:val="Endnote Text Char"/>
    <w:basedOn w:val="DefaultParagraphFont"/>
    <w:link w:val="EndnoteText"/>
    <w:uiPriority w:val="99"/>
    <w:semiHidden/>
    <w:rsid w:val="00E9313B"/>
    <w:rPr>
      <w:sz w:val="20"/>
      <w:szCs w:val="20"/>
    </w:rPr>
  </w:style>
  <w:style w:type="character" w:styleId="EndnoteReference">
    <w:name w:val="endnote reference"/>
    <w:basedOn w:val="DefaultParagraphFont"/>
    <w:uiPriority w:val="99"/>
    <w:semiHidden/>
    <w:unhideWhenUsed/>
    <w:rsid w:val="00E9313B"/>
    <w:rPr>
      <w:vertAlign w:val="superscript"/>
    </w:rPr>
  </w:style>
  <w:style w:type="paragraph" w:customStyle="1" w:styleId="CoverPageNormal">
    <w:name w:val="Cover Page Normal"/>
    <w:qFormat/>
    <w:rsid w:val="00F92530"/>
    <w:pPr>
      <w:widowControl w:val="0"/>
      <w:spacing w:before="480" w:line="360" w:lineRule="auto"/>
      <w:ind w:left="1267" w:right="1267"/>
    </w:pPr>
    <w:rPr>
      <w:rFonts w:ascii="Verdana" w:eastAsia="MS Mincho" w:hAnsi="Verdana" w:cs="Traditional Arabic"/>
      <w:bCs/>
      <w:noProof/>
      <w:color w:val="FFFFFF" w:themeColor="background1"/>
      <w:kern w:val="0"/>
      <w:sz w:val="32"/>
      <w:szCs w:val="28"/>
      <w14:ligatures w14:val="none"/>
    </w:rPr>
  </w:style>
  <w:style w:type="paragraph" w:styleId="TOC9">
    <w:name w:val="toc 9"/>
    <w:basedOn w:val="Normal"/>
    <w:next w:val="Normal"/>
    <w:autoRedefine/>
    <w:uiPriority w:val="39"/>
    <w:semiHidden/>
    <w:unhideWhenUsed/>
    <w:rsid w:val="00295654"/>
    <w:pPr>
      <w:spacing w:after="100"/>
      <w:ind w:left="1920"/>
    </w:pPr>
  </w:style>
  <w:style w:type="paragraph" w:styleId="TOC4">
    <w:name w:val="toc 4"/>
    <w:basedOn w:val="Normal"/>
    <w:next w:val="Normal"/>
    <w:autoRedefine/>
    <w:uiPriority w:val="39"/>
    <w:unhideWhenUsed/>
    <w:rsid w:val="00295654"/>
    <w:pPr>
      <w:spacing w:after="100"/>
      <w:ind w:left="720"/>
    </w:pPr>
  </w:style>
  <w:style w:type="character" w:styleId="UnresolvedMention">
    <w:name w:val="Unresolved Mention"/>
    <w:basedOn w:val="DefaultParagraphFont"/>
    <w:uiPriority w:val="99"/>
    <w:semiHidden/>
    <w:unhideWhenUsed/>
    <w:rsid w:val="00537FDD"/>
    <w:rPr>
      <w:color w:val="605E5C"/>
      <w:shd w:val="clear" w:color="auto" w:fill="E1DFDD"/>
    </w:rPr>
  </w:style>
  <w:style w:type="paragraph" w:customStyle="1" w:styleId="ENVH2-Bullet">
    <w:name w:val="ENV_H2-Bullet"/>
    <w:basedOn w:val="Normal"/>
    <w:link w:val="ENVH2-BulletChar"/>
    <w:rsid w:val="009648FF"/>
  </w:style>
  <w:style w:type="character" w:customStyle="1" w:styleId="ENVH2-BulletChar">
    <w:name w:val="ENV_H2-Bullet Char"/>
    <w:basedOn w:val="DefaultParagraphFont"/>
    <w:link w:val="ENVH2-Bullet"/>
    <w:rsid w:val="009648FF"/>
    <w:rPr>
      <w:szCs w:val="20"/>
    </w:rPr>
  </w:style>
  <w:style w:type="character" w:styleId="CommentReference">
    <w:name w:val="annotation reference"/>
    <w:basedOn w:val="DefaultParagraphFont"/>
    <w:uiPriority w:val="99"/>
    <w:semiHidden/>
    <w:unhideWhenUsed/>
    <w:rsid w:val="00E52873"/>
    <w:rPr>
      <w:sz w:val="16"/>
      <w:szCs w:val="16"/>
    </w:rPr>
  </w:style>
  <w:style w:type="paragraph" w:styleId="CommentText">
    <w:name w:val="annotation text"/>
    <w:basedOn w:val="Normal"/>
    <w:link w:val="CommentTextChar"/>
    <w:uiPriority w:val="99"/>
    <w:unhideWhenUsed/>
    <w:rsid w:val="00E52873"/>
    <w:pPr>
      <w:spacing w:line="240" w:lineRule="auto"/>
    </w:pPr>
    <w:rPr>
      <w:sz w:val="20"/>
    </w:rPr>
  </w:style>
  <w:style w:type="character" w:customStyle="1" w:styleId="CommentTextChar">
    <w:name w:val="Comment Text Char"/>
    <w:basedOn w:val="DefaultParagraphFont"/>
    <w:link w:val="CommentText"/>
    <w:uiPriority w:val="99"/>
    <w:rsid w:val="00E52873"/>
    <w:rPr>
      <w:sz w:val="20"/>
      <w:szCs w:val="20"/>
    </w:rPr>
  </w:style>
  <w:style w:type="paragraph" w:styleId="CommentSubject">
    <w:name w:val="annotation subject"/>
    <w:basedOn w:val="CommentText"/>
    <w:next w:val="CommentText"/>
    <w:link w:val="CommentSubjectChar"/>
    <w:uiPriority w:val="99"/>
    <w:semiHidden/>
    <w:unhideWhenUsed/>
    <w:rsid w:val="00E52873"/>
    <w:rPr>
      <w:b/>
      <w:bCs/>
    </w:rPr>
  </w:style>
  <w:style w:type="character" w:customStyle="1" w:styleId="CommentSubjectChar">
    <w:name w:val="Comment Subject Char"/>
    <w:basedOn w:val="CommentTextChar"/>
    <w:link w:val="CommentSubject"/>
    <w:uiPriority w:val="99"/>
    <w:semiHidden/>
    <w:rsid w:val="00E52873"/>
    <w:rPr>
      <w:b/>
      <w:bCs/>
      <w:sz w:val="20"/>
      <w:szCs w:val="20"/>
    </w:rPr>
  </w:style>
  <w:style w:type="paragraph" w:customStyle="1" w:styleId="SOPTableHeader">
    <w:name w:val="SOP Table Header"/>
    <w:basedOn w:val="Normal"/>
    <w:rsid w:val="00BD6B39"/>
    <w:pPr>
      <w:keepNext/>
      <w:keepLines/>
      <w:spacing w:before="240" w:after="60" w:line="240" w:lineRule="auto"/>
    </w:pPr>
    <w:rPr>
      <w:rFonts w:ascii="Arial" w:eastAsia="Times New Roman" w:hAnsi="Arial" w:cs="Arial"/>
      <w:b/>
      <w:kern w:val="0"/>
      <w:sz w:val="20"/>
      <w14:ligatures w14:val="none"/>
    </w:rPr>
  </w:style>
  <w:style w:type="character" w:styleId="FollowedHyperlink">
    <w:name w:val="FollowedHyperlink"/>
    <w:basedOn w:val="DefaultParagraphFont"/>
    <w:uiPriority w:val="99"/>
    <w:semiHidden/>
    <w:unhideWhenUsed/>
    <w:rsid w:val="00F240DF"/>
    <w:rPr>
      <w:color w:val="5F0F4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txdot.gov/business/resources/environmental/compliance-toolkits/historic-resources.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txdot.gov/business/resources/environmental/compliance-toolkits/historic-resources.html"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txdot.gov/business/resources/environmental/compliance-toolkits/historic-resources.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txdot.gov/business/resources/environmental/compliance-toolkits/historic-resources.html" TargetMode="External"/><Relationship Id="rId20" Type="http://schemas.openxmlformats.org/officeDocument/2006/relationships/hyperlink" Target="https://www.txdot.gov/business/resources/environmental/compliance-toolkits/historic-resource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txdot.gov/business/resources/environmental/compliance-toolkits.html"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txdot.gov/business/resources/environmental/compliance-toolkits/historic-resource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txdot.gov/inside-txdot/division/environmental/compliance-toolkits/historic-resources.html"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notes.xml.rels><?xml version="1.0" encoding="UTF-8" standalone="yes"?>
<Relationships xmlns="http://schemas.openxmlformats.org/package/2006/relationships"><Relationship Id="rId1" Type="http://schemas.openxmlformats.org/officeDocument/2006/relationships/hyperlink" Target="https://www.txdot.gov/inside-txdot/division/environmental/compliance-toolkits/historic-resource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txdot.sharepoint.com/sites/ENVATF/Shared%20Documents/00%20-%20Resources/env-coverpage-word-accessible-template.dotx?OR=81dd2b71-fb82-4b33-ac71-fed46bf0f87a&amp;CID=9562fea1-b0b6-1000-59eb-49d62c156b98&amp;CT=1773083069858" TargetMode="External"/></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ef7c20-eb6f-4e1b-9e04-31bde27da1d8">
      <Terms xmlns="http://schemas.microsoft.com/office/infopath/2007/PartnerControls"/>
    </lcf76f155ced4ddcb4097134ff3c332f>
    <TaxCatchAll xmlns="4f546ee9-1892-45b9-9ba2-985592e037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11" ma:contentTypeDescription="Create a new document." ma:contentTypeScope="" ma:versionID="bb7ab03890c48a8b4061d5457e23cd69">
  <xsd:schema xmlns:xsd="http://www.w3.org/2001/XMLSchema" xmlns:xs="http://www.w3.org/2001/XMLSchema" xmlns:p="http://schemas.microsoft.com/office/2006/metadata/properties" xmlns:ns2="7fef7c20-eb6f-4e1b-9e04-31bde27da1d8" xmlns:ns3="4f546ee9-1892-45b9-9ba2-985592e03772" targetNamespace="http://schemas.microsoft.com/office/2006/metadata/properties" ma:root="true" ma:fieldsID="26c2e92895f5f411ac7e0a90eb3a753c" ns2:_="" ns3:_="">
    <xsd:import namespace="7fef7c20-eb6f-4e1b-9e04-31bde27da1d8"/>
    <xsd:import namespace="4f546ee9-1892-45b9-9ba2-985592e037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46ee9-1892-45b9-9ba2-985592e037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95cf50-e9f2-4e56-bbde-0b0411142929}" ma:internalName="TaxCatchAll" ma:showField="CatchAllData" ma:web="4f546ee9-1892-45b9-9ba2-985592e03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F02DA-8656-4BD8-A5E4-F6F7AB09512D}">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4f546ee9-1892-45b9-9ba2-985592e03772"/>
    <ds:schemaRef ds:uri="http://purl.org/dc/terms/"/>
    <ds:schemaRef ds:uri="http://schemas.microsoft.com/office/2006/documentManagement/types"/>
    <ds:schemaRef ds:uri="7fef7c20-eb6f-4e1b-9e04-31bde27da1d8"/>
    <ds:schemaRef ds:uri="http://www.w3.org/XML/1998/namespace"/>
    <ds:schemaRef ds:uri="http://purl.org/dc/dcmitype/"/>
  </ds:schemaRefs>
</ds:datastoreItem>
</file>

<file path=customXml/itemProps2.xml><?xml version="1.0" encoding="utf-8"?>
<ds:datastoreItem xmlns:ds="http://schemas.openxmlformats.org/officeDocument/2006/customXml" ds:itemID="{623F433B-7D0F-409B-8615-66E6631FD8B3}">
  <ds:schemaRefs>
    <ds:schemaRef ds:uri="http://schemas.microsoft.com/sharepoint/v3/contenttype/forms"/>
  </ds:schemaRefs>
</ds:datastoreItem>
</file>

<file path=customXml/itemProps3.xml><?xml version="1.0" encoding="utf-8"?>
<ds:datastoreItem xmlns:ds="http://schemas.openxmlformats.org/officeDocument/2006/customXml" ds:itemID="{640B7005-AB4A-499C-AB48-03684AF9D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7c20-eb6f-4e1b-9e04-31bde27da1d8"/>
    <ds:schemaRef ds:uri="4f546ee9-1892-45b9-9ba2-985592e03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C90A6F-B384-4748-91F7-A9CF2E650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env-coverpage-word-accessible-template.dotx?OR=81dd2b71-fb82-4b33-ac71-fed46bf0f87a&amp;CID=9562fea1-b0b6-1000-59eb-49d62c156b98&amp;CT=1773083069858</Template>
  <TotalTime>350</TotalTime>
  <Pages>25</Pages>
  <Words>4390</Words>
  <Characters>25024</Characters>
  <Application>Microsoft Office Word</Application>
  <DocSecurity>8</DocSecurity>
  <Lines>208</Lines>
  <Paragraphs>58</Paragraphs>
  <ScaleCrop>false</ScaleCrop>
  <HeadingPairs>
    <vt:vector size="2" baseType="variant">
      <vt:variant>
        <vt:lpstr>Title</vt:lpstr>
      </vt:variant>
      <vt:variant>
        <vt:i4>1</vt:i4>
      </vt:variant>
    </vt:vector>
  </HeadingPairs>
  <TitlesOfParts>
    <vt:vector size="1" baseType="lpstr">
      <vt:lpstr>Instructions: Completing Project Coordination Request for Historical Studies</vt:lpstr>
    </vt:vector>
  </TitlesOfParts>
  <Company/>
  <LinksUpToDate>false</LinksUpToDate>
  <CharactersWithSpaces>29356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Completing Project Coordination Request for Historical Studies</dc:title>
  <dc:subject>Provides instructions for completing the Project Coordination Request (PCR) form</dc:subject>
  <dc:creator>TxDOT</dc:creator>
  <cp:keywords>421-01-gui; historical studies; pcr; instructions</cp:keywords>
  <dc:description/>
  <cp:lastModifiedBy>Lauren Miller</cp:lastModifiedBy>
  <cp:revision>188</cp:revision>
  <dcterms:created xsi:type="dcterms:W3CDTF">2026-03-09T19:04:00Z</dcterms:created>
  <dcterms:modified xsi:type="dcterms:W3CDTF">2026-03-13T13:06:00Z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y fmtid="{D5CDD505-2E9C-101B-9397-08002B2CF9AE}" pid="3" name="MediaServiceImageTags">
    <vt:lpwstr/>
  </property>
</Properties>
</file>