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EC131" w14:textId="64FE0BDA" w:rsidR="004F697B" w:rsidRPr="00917F65" w:rsidRDefault="002B69EC" w:rsidP="595A1EA0">
      <w:pPr>
        <w:pStyle w:val="Heading1"/>
      </w:pPr>
      <w:r>
        <w:t>Guidance</w:t>
      </w:r>
      <w:r w:rsidR="000D7B21">
        <w:t xml:space="preserve">: </w:t>
      </w:r>
      <w:r>
        <w:t>Historic</w:t>
      </w:r>
      <w:r w:rsidR="25141F36">
        <w:t xml:space="preserve"> Resources</w:t>
      </w:r>
      <w:r>
        <w:t xml:space="preserve"> Desktop Surveys</w:t>
      </w:r>
    </w:p>
    <w:p w14:paraId="1E62FE00" w14:textId="2533763A" w:rsidR="00F34B67" w:rsidRDefault="00F34B67" w:rsidP="00F34B67">
      <w:r>
        <w:t>T</w:t>
      </w:r>
      <w:r w:rsidR="00D840FE">
        <w:t>exas Department of Transportation (T</w:t>
      </w:r>
      <w:r>
        <w:t>xDOT</w:t>
      </w:r>
      <w:r w:rsidR="00D840FE">
        <w:t>)</w:t>
      </w:r>
      <w:r>
        <w:t xml:space="preserve"> continues to implement methods to streamline the Section 106 project review process and reduce project development costs. One such method is to conduct a digital search of online resources to identify and document historic-age properties. This is commonly called a desktop survey.</w:t>
      </w:r>
    </w:p>
    <w:p w14:paraId="56B6F8CD" w14:textId="4DB2BF06" w:rsidR="00F34B67" w:rsidRDefault="00F34B67" w:rsidP="00F34B67">
      <w:r>
        <w:t xml:space="preserve">A desktop survey may be used to update an existing Historic Resources Survey Report (HRSR), or to create a new HRSR report. Desktop survey requests must be approved by the TxDOT Historical Studies Project Planner and the State Historic Preservation Officer (SHPO). Consultants wishing to perform a </w:t>
      </w:r>
      <w:r w:rsidR="003629A9">
        <w:t>desktop</w:t>
      </w:r>
      <w:r>
        <w:t xml:space="preserve"> survey must submit their request during the scoping phase of Section 106 project review on TxDOT’s Project Coordination Request (PCR) form.</w:t>
      </w:r>
    </w:p>
    <w:p w14:paraId="4473B028" w14:textId="7611E404" w:rsidR="00F34B67" w:rsidRDefault="00F34B67" w:rsidP="00F34B67">
      <w:r>
        <w:t xml:space="preserve">Do not assume that the use of a desktop survey will shorten project development schedules. Any time savings from a </w:t>
      </w:r>
      <w:r w:rsidR="003629A9">
        <w:t>desktop</w:t>
      </w:r>
      <w:r>
        <w:t xml:space="preserve"> survey should be viewed as a “bonus” rather than the default. If the TxDOT Historical Studies Project Planner determines that additional in-person fieldwork is required, it should not be viewed as unnecessary or as an obstacle to the project’s environmental schedule.</w:t>
      </w:r>
    </w:p>
    <w:p w14:paraId="075EA1A1" w14:textId="5EC2E9D2" w:rsidR="000B321B" w:rsidRDefault="00F34B67" w:rsidP="000B321B">
      <w:r>
        <w:t xml:space="preserve">After completion of a </w:t>
      </w:r>
      <w:r w:rsidR="003629A9">
        <w:t>desktop</w:t>
      </w:r>
      <w:r>
        <w:t xml:space="preserve"> survey, the TxDOT Historical Studies Project Planner or SHPO may require limited fieldwork or a Reconnaissance Survey, depending on the </w:t>
      </w:r>
      <w:r w:rsidR="003629A9">
        <w:t>desktop</w:t>
      </w:r>
      <w:r>
        <w:t xml:space="preserve"> survey results and</w:t>
      </w:r>
      <w:r w:rsidR="00D840FE">
        <w:t xml:space="preserve"> </w:t>
      </w:r>
      <w:r>
        <w:t>or based on the project, the number of historic-age resources present, nature of potential effects to historic resources, stakeholder input, and project controversy.</w:t>
      </w:r>
      <w:r w:rsidR="000B321B">
        <w:br w:type="page"/>
      </w:r>
    </w:p>
    <w:p w14:paraId="52DB3698" w14:textId="3DCC2B29" w:rsidR="005456F3" w:rsidRDefault="0030094E" w:rsidP="000B321B">
      <w:pPr>
        <w:pStyle w:val="Heading2"/>
        <w:widowControl/>
      </w:pPr>
      <w:r>
        <w:t>Update</w:t>
      </w:r>
      <w:r w:rsidR="00AC3C94">
        <w:t xml:space="preserve"> an</w:t>
      </w:r>
      <w:r>
        <w:t xml:space="preserve"> Existing Historic Resources Survey Report </w:t>
      </w:r>
      <w:r w:rsidR="00AC3C94">
        <w:t xml:space="preserve">with a </w:t>
      </w:r>
      <w:r w:rsidR="003629A9">
        <w:t>Desktop</w:t>
      </w:r>
      <w:r w:rsidR="00AC3C94">
        <w:t xml:space="preserve"> Survey</w:t>
      </w:r>
    </w:p>
    <w:p w14:paraId="260FED2D" w14:textId="54725B39" w:rsidR="000A04A8" w:rsidRDefault="000A04A8" w:rsidP="000B321B">
      <w:r>
        <w:t>Updates to Historic Resources Survey Reports (HRSRs) happen as part of the project re</w:t>
      </w:r>
      <w:r w:rsidR="000D7B21">
        <w:t>-</w:t>
      </w:r>
      <w:r>
        <w:t>coordination (pre-</w:t>
      </w:r>
      <w:r w:rsidR="00D840FE">
        <w:t>National Environmental Policy Act (</w:t>
      </w:r>
      <w:r>
        <w:t>NEPA</w:t>
      </w:r>
      <w:r w:rsidR="00D840FE">
        <w:t>)</w:t>
      </w:r>
      <w:r>
        <w:t xml:space="preserve"> decision) or reevaluation (post-NEPA decision) process, due to design changes or the passage of time. Projects requiring updates to existing HRSRs may be completed </w:t>
      </w:r>
      <w:r w:rsidR="00E060F4">
        <w:t xml:space="preserve">with a </w:t>
      </w:r>
      <w:r w:rsidR="003629A9">
        <w:t>desktop</w:t>
      </w:r>
      <w:r>
        <w:t xml:space="preserve"> </w:t>
      </w:r>
      <w:r w:rsidR="00E060F4">
        <w:t xml:space="preserve">survey </w:t>
      </w:r>
      <w:r>
        <w:t>in certain instances.</w:t>
      </w:r>
    </w:p>
    <w:p w14:paraId="3ECA43B4" w14:textId="348E6BA7" w:rsidR="0064565C" w:rsidRDefault="000A04A8" w:rsidP="000A04A8">
      <w:r>
        <w:t xml:space="preserve">In addition to surveying resources in the project’s updated Area of Potential Effect (APE), the </w:t>
      </w:r>
      <w:r w:rsidR="003629A9">
        <w:t>desktop</w:t>
      </w:r>
      <w:r>
        <w:t xml:space="preserve"> survey update shall consider the original HRSR’s historical context statement and Period(s) of Significance and update it, as appropriate.</w:t>
      </w:r>
    </w:p>
    <w:p w14:paraId="70942C1A" w14:textId="5DCDF726" w:rsidR="005456F3" w:rsidRPr="0032481A" w:rsidRDefault="009B4CAD" w:rsidP="00D840FE">
      <w:pPr>
        <w:pStyle w:val="Heading3"/>
        <w:rPr>
          <w:rFonts w:hint="eastAsia"/>
        </w:rPr>
      </w:pPr>
      <w:r>
        <w:t>Applicability</w:t>
      </w:r>
    </w:p>
    <w:p w14:paraId="7F6CC7DE" w14:textId="51253BBD" w:rsidR="0064565C" w:rsidRDefault="008E6E9E" w:rsidP="005456F3">
      <w:r w:rsidRPr="008E6E9E">
        <w:t xml:space="preserve">Existing HRSRs may be updated using </w:t>
      </w:r>
      <w:r w:rsidR="003629A9">
        <w:t>desktop</w:t>
      </w:r>
      <w:r w:rsidRPr="008E6E9E">
        <w:t xml:space="preserve"> survey methods when all following conditions are met:</w:t>
      </w:r>
    </w:p>
    <w:p w14:paraId="55526807" w14:textId="14E03B8A" w:rsidR="00D406A3" w:rsidRPr="001B6E92" w:rsidRDefault="00D406A3" w:rsidP="00D406A3">
      <w:pPr>
        <w:pStyle w:val="ListBullet"/>
        <w:contextualSpacing w:val="0"/>
      </w:pPr>
      <w:r w:rsidRPr="001B6E92">
        <w:t>Recent</w:t>
      </w:r>
      <w:r>
        <w:t xml:space="preserve"> </w:t>
      </w:r>
      <w:r w:rsidRPr="001B6E92">
        <w:t xml:space="preserve">online street view data </w:t>
      </w:r>
      <w:r>
        <w:t xml:space="preserve">(within the past </w:t>
      </w:r>
      <w:r w:rsidR="006F47C5">
        <w:t xml:space="preserve">one to three </w:t>
      </w:r>
      <w:r>
        <w:t xml:space="preserve">years) </w:t>
      </w:r>
      <w:r w:rsidRPr="001B6E92">
        <w:t xml:space="preserve">is available in the </w:t>
      </w:r>
      <w:r>
        <w:t xml:space="preserve">project </w:t>
      </w:r>
      <w:r w:rsidRPr="001B6E92">
        <w:t xml:space="preserve">area that accurately captures previous and </w:t>
      </w:r>
      <w:r>
        <w:t>to-be-</w:t>
      </w:r>
      <w:r w:rsidRPr="001B6E92">
        <w:t>surveyed resources, and historic-age resource</w:t>
      </w:r>
      <w:r>
        <w:t>s are</w:t>
      </w:r>
      <w:r w:rsidRPr="001B6E92">
        <w:t xml:space="preserve"> clearly visible.</w:t>
      </w:r>
    </w:p>
    <w:p w14:paraId="556DB739" w14:textId="4FBA5467" w:rsidR="00D406A3" w:rsidRDefault="00D406A3" w:rsidP="00D406A3">
      <w:pPr>
        <w:pStyle w:val="ListBullet"/>
        <w:contextualSpacing w:val="0"/>
      </w:pPr>
      <w:r>
        <w:t xml:space="preserve">A limited number of historic-age resources are present in the APE (usually ten or less). Consult with the TxDOT Historical Studies Project Planner should there be more than ten to determine whether a </w:t>
      </w:r>
      <w:r w:rsidR="003629A9">
        <w:t>desktop</w:t>
      </w:r>
      <w:r>
        <w:t xml:space="preserve"> survey is appropriate.</w:t>
      </w:r>
    </w:p>
    <w:p w14:paraId="6D1AE803" w14:textId="253EB9B9" w:rsidR="00D406A3" w:rsidRDefault="00D406A3" w:rsidP="00D406A3">
      <w:pPr>
        <w:pStyle w:val="ListBullet"/>
        <w:contextualSpacing w:val="0"/>
      </w:pPr>
      <w:r>
        <w:t>Online Central</w:t>
      </w:r>
      <w:r w:rsidR="00D840FE">
        <w:t xml:space="preserve"> - </w:t>
      </w:r>
      <w:r>
        <w:t>County Appraisal District (CAD) information is available to confirm the presence of historic-age resources in the APE. CAD information must be considered a baseline for research as it is not always accurate. CAD information must be used with other sources such as online street view applications, historic aerials, and historic maps (such as those available in the Texas Historic Overlay) to refine estimated build dates.</w:t>
      </w:r>
    </w:p>
    <w:p w14:paraId="06B127D9" w14:textId="2939850A" w:rsidR="00D406A3" w:rsidRDefault="00D406A3">
      <w:pPr>
        <w:pStyle w:val="ListBullet"/>
        <w:contextualSpacing w:val="0"/>
      </w:pPr>
      <w:r>
        <w:t xml:space="preserve">The TxDOT Historical Studies Project Planner and SHPO concur that the </w:t>
      </w:r>
      <w:r w:rsidR="003629A9">
        <w:t>desktop</w:t>
      </w:r>
      <w:r>
        <w:t xml:space="preserve"> survey method is appropriate. The TxDOT Historical Studies Project Planner will review any </w:t>
      </w:r>
      <w:r w:rsidR="003629A9">
        <w:t>desktop</w:t>
      </w:r>
      <w:r>
        <w:t xml:space="preserve"> survey requests from consultants submitted via the PCR. If the TxDOT Historical Studies Project Planner agrees with the approach, he</w:t>
      </w:r>
      <w:r w:rsidR="00B759AA">
        <w:t xml:space="preserve"> and or </w:t>
      </w:r>
      <w:r>
        <w:t>she will then submit a written request to SHPO (email is acceptable) for their review and approval.</w:t>
      </w:r>
    </w:p>
    <w:p w14:paraId="0B3C9B8B" w14:textId="3A858939" w:rsidR="005456F3" w:rsidRPr="0064565C" w:rsidRDefault="002C17F8" w:rsidP="000A5D0B">
      <w:pPr>
        <w:pStyle w:val="Heading4"/>
      </w:pPr>
      <w:r>
        <w:t>Research Design</w:t>
      </w:r>
    </w:p>
    <w:p w14:paraId="724E13EB" w14:textId="60674752" w:rsidR="0099297E" w:rsidRDefault="003629A9" w:rsidP="0099297E">
      <w:pPr>
        <w:ind w:left="720"/>
      </w:pPr>
      <w:r>
        <w:t>Desktop</w:t>
      </w:r>
      <w:r w:rsidR="0099297E">
        <w:t xml:space="preserve"> survey updates to existing HRSRs do not require a new Research Design. Any updates to the original HRSR’s historical context statement and Period(s) of Significance are covered exclusively in the </w:t>
      </w:r>
      <w:r>
        <w:t>desktop</w:t>
      </w:r>
      <w:r w:rsidR="0099297E">
        <w:t xml:space="preserve"> HRSR.</w:t>
      </w:r>
    </w:p>
    <w:p w14:paraId="2726D7DB" w14:textId="24DAFF45" w:rsidR="00FE4D24" w:rsidRDefault="006B49EE" w:rsidP="00300FA7">
      <w:pPr>
        <w:pStyle w:val="Heading2"/>
      </w:pPr>
      <w:r>
        <w:t xml:space="preserve">Complete a New </w:t>
      </w:r>
      <w:r w:rsidR="003A5E23">
        <w:t>Desktop</w:t>
      </w:r>
      <w:r w:rsidR="00300FA7">
        <w:t xml:space="preserve"> Historic Resources Survey Report</w:t>
      </w:r>
    </w:p>
    <w:p w14:paraId="29778191" w14:textId="4A1FFD44" w:rsidR="00AF5935" w:rsidRPr="00AF5935" w:rsidRDefault="00AF5935" w:rsidP="00AF5935">
      <w:r w:rsidRPr="00AF5935">
        <w:t xml:space="preserve">Projects requiring historic resources survey work may be completed at the </w:t>
      </w:r>
      <w:r w:rsidR="003629A9">
        <w:t>desktop</w:t>
      </w:r>
      <w:r w:rsidRPr="00AF5935">
        <w:t xml:space="preserve"> in certain instances.</w:t>
      </w:r>
    </w:p>
    <w:p w14:paraId="6CEB94AE" w14:textId="36FDC118" w:rsidR="008905E4" w:rsidRDefault="00441D99" w:rsidP="00441D99">
      <w:pPr>
        <w:pStyle w:val="Heading3"/>
        <w:rPr>
          <w:rFonts w:hint="eastAsia"/>
        </w:rPr>
      </w:pPr>
      <w:r>
        <w:t>Applicability</w:t>
      </w:r>
    </w:p>
    <w:p w14:paraId="17CEC0A5" w14:textId="1426DE2D" w:rsidR="00F60E58" w:rsidRDefault="00F60E58" w:rsidP="00F60E58">
      <w:r>
        <w:t xml:space="preserve">New Historic Resources Survey Reports (HRSRs) may be completed at the </w:t>
      </w:r>
      <w:r w:rsidR="003629A9">
        <w:t>desktop</w:t>
      </w:r>
      <w:r>
        <w:t xml:space="preserve"> when all following conditions are met:</w:t>
      </w:r>
    </w:p>
    <w:p w14:paraId="7985CD1C" w14:textId="65B92F71" w:rsidR="00101031" w:rsidRDefault="00101031" w:rsidP="00101031">
      <w:pPr>
        <w:pStyle w:val="ListBullet"/>
        <w:contextualSpacing w:val="0"/>
      </w:pPr>
      <w:r>
        <w:t xml:space="preserve">Recent online street view data (within the past </w:t>
      </w:r>
      <w:r w:rsidR="006F47C5">
        <w:t xml:space="preserve">one to three </w:t>
      </w:r>
      <w:r>
        <w:t>years) is available for the project’s APE to accurately document surveyed resources, and historic-age resources are clearly visible.</w:t>
      </w:r>
    </w:p>
    <w:p w14:paraId="1D1AA72E" w14:textId="7AD446AA" w:rsidR="00101031" w:rsidRDefault="00101031" w:rsidP="00101031">
      <w:pPr>
        <w:pStyle w:val="ListBullet"/>
        <w:contextualSpacing w:val="0"/>
      </w:pPr>
      <w:r>
        <w:t xml:space="preserve">A limited number of historic-age resources are present in the APE (usually ten or less). Consult with the TxDOT Historical Studies Project Planner should there be more than ten to determine whether a </w:t>
      </w:r>
      <w:r w:rsidR="003629A9">
        <w:t>desktop</w:t>
      </w:r>
      <w:r>
        <w:t xml:space="preserve"> survey is appropriate.</w:t>
      </w:r>
    </w:p>
    <w:p w14:paraId="228C5ADE" w14:textId="27042CDE" w:rsidR="00101031" w:rsidRDefault="00101031" w:rsidP="00101031">
      <w:pPr>
        <w:pStyle w:val="ListBullet"/>
        <w:contextualSpacing w:val="0"/>
      </w:pPr>
      <w:r>
        <w:t>Online Central</w:t>
      </w:r>
      <w:r w:rsidR="00D840FE">
        <w:t xml:space="preserve"> - </w:t>
      </w:r>
      <w:r>
        <w:t>County Appraisal District (CAD) data is available to confirm the presence of historic-age resources in the APE. CAD information must be considered a baseline for research as it is not always accurate. CAD data must be used with other sources such as online street view data, historic aerials, and historic maps (such as those available in the Texas Historic Overlay) to refine estimated build dates for the resources.</w:t>
      </w:r>
    </w:p>
    <w:p w14:paraId="7D86B13D" w14:textId="3FCAAAEC" w:rsidR="00101031" w:rsidRDefault="00101031" w:rsidP="00101031">
      <w:pPr>
        <w:pStyle w:val="ListBullet"/>
        <w:contextualSpacing w:val="0"/>
      </w:pPr>
      <w:r>
        <w:t xml:space="preserve">The TxDOT Historical Studies Project Planner and SHPO concur that the </w:t>
      </w:r>
      <w:r w:rsidR="003629A9">
        <w:t>desktop</w:t>
      </w:r>
      <w:r>
        <w:t xml:space="preserve"> survey method is appropriate. The TxDOT Historical Studies Project Planner will review any </w:t>
      </w:r>
      <w:r w:rsidR="003629A9">
        <w:t>desktop</w:t>
      </w:r>
      <w:r>
        <w:t xml:space="preserve"> survey requests from consultants submitted via the PCR. If the TxDOT Historical Studies Project Planner agrees with the approach, he</w:t>
      </w:r>
      <w:r w:rsidR="00D840FE">
        <w:t xml:space="preserve"> or </w:t>
      </w:r>
      <w:r>
        <w:t>she will then submit a written request to SHPO (email is acceptable) for their review and approval.</w:t>
      </w:r>
    </w:p>
    <w:p w14:paraId="1FBDA745" w14:textId="68976ED5" w:rsidR="00C141A7" w:rsidRDefault="00C141A7" w:rsidP="00C141A7">
      <w:pPr>
        <w:pStyle w:val="Heading4"/>
      </w:pPr>
      <w:r>
        <w:t>Research Design</w:t>
      </w:r>
    </w:p>
    <w:p w14:paraId="07F17C67" w14:textId="5BE4A9AE" w:rsidR="005022CE" w:rsidRDefault="005022CE" w:rsidP="005022CE">
      <w:r>
        <w:t xml:space="preserve">TxDOT requires a Historic </w:t>
      </w:r>
      <w:r w:rsidR="00B10720">
        <w:t>Reso</w:t>
      </w:r>
      <w:r w:rsidR="00C9773A">
        <w:t>urces</w:t>
      </w:r>
      <w:r>
        <w:t xml:space="preserve"> Research Design (H</w:t>
      </w:r>
      <w:r w:rsidR="0027735F">
        <w:t>R</w:t>
      </w:r>
      <w:r>
        <w:t xml:space="preserve">RD) for any new </w:t>
      </w:r>
      <w:r w:rsidR="00C16EAF">
        <w:t xml:space="preserve">desktop </w:t>
      </w:r>
      <w:r>
        <w:t>Historic Resources Survey Report (HRSR)</w:t>
      </w:r>
      <w:r w:rsidR="00C16EAF">
        <w:t xml:space="preserve">. </w:t>
      </w:r>
      <w:r>
        <w:t>In the H</w:t>
      </w:r>
      <w:r w:rsidR="00FA2FD3">
        <w:t>R</w:t>
      </w:r>
      <w:r>
        <w:t xml:space="preserve">RD, state the reasons why </w:t>
      </w:r>
      <w:r w:rsidR="0024011B">
        <w:t xml:space="preserve">traditional </w:t>
      </w:r>
      <w:r>
        <w:t>field survey methods are not necessary or recommended. For example:</w:t>
      </w:r>
    </w:p>
    <w:p w14:paraId="563E27ED" w14:textId="77777777" w:rsidR="005022CE" w:rsidRDefault="005022CE" w:rsidP="005022CE">
      <w:pPr>
        <w:pStyle w:val="ListBullet"/>
        <w:contextualSpacing w:val="0"/>
      </w:pPr>
      <w:r>
        <w:t>“Based on aerials, street view, and other knowledge gleaned from desktop investigations, an on-the-ground survey is not recommended.”</w:t>
      </w:r>
    </w:p>
    <w:p w14:paraId="298E84E4" w14:textId="77777777" w:rsidR="005022CE" w:rsidRDefault="005022CE" w:rsidP="005022CE">
      <w:pPr>
        <w:pStyle w:val="ListBullet"/>
        <w:contextualSpacing w:val="0"/>
      </w:pPr>
      <w:r>
        <w:t>“Based on aerials, street view, and other knowledge gleaned from desktop investigations, only one resource requires on-the-ground survey, because the resource represents a high-style ranch property.”</w:t>
      </w:r>
    </w:p>
    <w:p w14:paraId="1EC93F92" w14:textId="1CE3DD51" w:rsidR="000B321B" w:rsidRPr="000B321B" w:rsidRDefault="005022CE" w:rsidP="000B321B">
      <w:pPr>
        <w:rPr>
          <w:rFonts w:asciiTheme="majorHAnsi" w:hAnsiTheme="majorHAnsi"/>
          <w:b/>
          <w:szCs w:val="24"/>
        </w:rPr>
      </w:pPr>
      <w:r>
        <w:t xml:space="preserve">Develop a Period of Significance (POS) appropriate to the survey area. Develop a good historical context of the survey area using appropriate sources. In addition to using </w:t>
      </w:r>
      <w:r w:rsidRPr="00737AA7">
        <w:t>the Handbook of Texas</w:t>
      </w:r>
      <w:r>
        <w:t>, u</w:t>
      </w:r>
      <w:r w:rsidRPr="00737AA7">
        <w:t>se primary sources such as</w:t>
      </w:r>
      <w:r>
        <w:t xml:space="preserve"> newspapers, magazines, historic maps, and aerial photos. </w:t>
      </w:r>
      <w:r w:rsidRPr="00B01A25">
        <w:t xml:space="preserve">Refer to </w:t>
      </w:r>
      <w:r>
        <w:t xml:space="preserve">TxDOT’s </w:t>
      </w:r>
      <w:r w:rsidRPr="00B01A25">
        <w:rPr>
          <w:i/>
          <w:iCs/>
        </w:rPr>
        <w:t>Documentation Standard for</w:t>
      </w:r>
      <w:r>
        <w:rPr>
          <w:i/>
          <w:iCs/>
        </w:rPr>
        <w:t xml:space="preserve"> Preparing </w:t>
      </w:r>
      <w:r w:rsidRPr="00B01A25">
        <w:rPr>
          <w:i/>
          <w:iCs/>
        </w:rPr>
        <w:t xml:space="preserve">a Historic </w:t>
      </w:r>
      <w:r w:rsidR="003A375A">
        <w:rPr>
          <w:i/>
          <w:iCs/>
        </w:rPr>
        <w:t>Res</w:t>
      </w:r>
      <w:r w:rsidR="004C3A88">
        <w:rPr>
          <w:i/>
          <w:iCs/>
        </w:rPr>
        <w:t>ources</w:t>
      </w:r>
      <w:r w:rsidRPr="00B01A25">
        <w:rPr>
          <w:i/>
          <w:iCs/>
        </w:rPr>
        <w:t xml:space="preserve"> Research Design </w:t>
      </w:r>
      <w:r w:rsidRPr="00B01A25">
        <w:t xml:space="preserve">in </w:t>
      </w:r>
      <w:r>
        <w:t xml:space="preserve">the </w:t>
      </w:r>
      <w:r w:rsidRPr="00B01A25">
        <w:t>toolkit for more information.</w:t>
      </w:r>
      <w:r w:rsidR="000B321B">
        <w:br w:type="page"/>
      </w:r>
    </w:p>
    <w:p w14:paraId="65A44867" w14:textId="33BE18C6" w:rsidR="00441D99" w:rsidRDefault="00380DA0" w:rsidP="00A134E7">
      <w:pPr>
        <w:pStyle w:val="Heading2"/>
      </w:pPr>
      <w:r>
        <w:t>Hybrid Method</w:t>
      </w:r>
    </w:p>
    <w:p w14:paraId="47A25954" w14:textId="4757CE45" w:rsidR="00A134E7" w:rsidRDefault="00A134E7" w:rsidP="00A134E7">
      <w:r>
        <w:t xml:space="preserve">A </w:t>
      </w:r>
      <w:r w:rsidR="003629A9">
        <w:t>desktop</w:t>
      </w:r>
      <w:r>
        <w:t xml:space="preserve"> survey may reveal data gaps that require field verification, particularly if online data is found to be insufficient or incomplete. The TxDOT Historical Studies Project Planner may require fieldwork for any historic-age resources not visible from street view applications. In these instances, a </w:t>
      </w:r>
      <w:r w:rsidR="003629A9">
        <w:t>desktop</w:t>
      </w:r>
      <w:r>
        <w:t xml:space="preserve"> survey and limited fieldwork could be combined.</w:t>
      </w:r>
    </w:p>
    <w:p w14:paraId="3A49C4FB" w14:textId="77777777" w:rsidR="00A134E7" w:rsidRDefault="00A134E7" w:rsidP="00A134E7">
      <w:r>
        <w:t>If, while completing limited fieldwork, surveyors notice that a resource initially recorded at the desktop appears different in the field, they must document the resource in the field to capture its current condition.</w:t>
      </w:r>
    </w:p>
    <w:p w14:paraId="50D8A0DD" w14:textId="6CF3A1C1" w:rsidR="009260DC" w:rsidRDefault="00A134E7" w:rsidP="00A134E7">
      <w:r>
        <w:t xml:space="preserve">The </w:t>
      </w:r>
      <w:r w:rsidR="003629A9">
        <w:t>desktop</w:t>
      </w:r>
      <w:r>
        <w:t xml:space="preserve"> survey’s h</w:t>
      </w:r>
      <w:r w:rsidRPr="00B01A25">
        <w:t>istoric</w:t>
      </w:r>
      <w:r>
        <w:t>al</w:t>
      </w:r>
      <w:r w:rsidRPr="00B01A25">
        <w:t xml:space="preserve"> context and </w:t>
      </w:r>
      <w:r>
        <w:t xml:space="preserve">Period </w:t>
      </w:r>
      <w:r w:rsidRPr="00B01A25">
        <w:t xml:space="preserve">of </w:t>
      </w:r>
      <w:r>
        <w:t>S</w:t>
      </w:r>
      <w:r w:rsidRPr="00B01A25">
        <w:t>ignificance (POS)</w:t>
      </w:r>
      <w:r>
        <w:t xml:space="preserve"> statements</w:t>
      </w:r>
      <w:r w:rsidRPr="00B01A25">
        <w:t xml:space="preserve"> must be updated to reflect </w:t>
      </w:r>
      <w:r>
        <w:t xml:space="preserve">any </w:t>
      </w:r>
      <w:r w:rsidRPr="00B01A25">
        <w:t xml:space="preserve">new data obtained </w:t>
      </w:r>
      <w:r>
        <w:t xml:space="preserve">during field </w:t>
      </w:r>
      <w:r w:rsidRPr="00B01A25">
        <w:t>investigations</w:t>
      </w:r>
      <w:r>
        <w:t>.</w:t>
      </w:r>
      <w:r w:rsidR="009260DC">
        <w:br w:type="page"/>
      </w:r>
    </w:p>
    <w:p w14:paraId="21A01F65" w14:textId="77777777" w:rsidR="005D638D" w:rsidRDefault="005D638D" w:rsidP="000A5D0B">
      <w:pPr>
        <w:pStyle w:val="Heading2"/>
      </w:pPr>
      <w:r>
        <w:t>Revision History</w:t>
      </w:r>
    </w:p>
    <w:p w14:paraId="16E128C1" w14:textId="77777777" w:rsidR="000A5D0B" w:rsidRPr="000A5D0B" w:rsidRDefault="000A5D0B" w:rsidP="00756B8F">
      <w:pPr>
        <w:pStyle w:val="CaptionTable"/>
      </w:pPr>
      <w:r w:rsidRPr="000A5D0B">
        <w:t xml:space="preserve">Table </w:t>
      </w:r>
      <w:r>
        <w:fldChar w:fldCharType="begin"/>
      </w:r>
      <w:r>
        <w:instrText>SEQ Table \* ARABIC</w:instrText>
      </w:r>
      <w:r>
        <w:fldChar w:fldCharType="separate"/>
      </w:r>
      <w:r w:rsidR="00DD0886">
        <w:rPr>
          <w:noProof/>
        </w:rPr>
        <w:t>2</w:t>
      </w:r>
      <w:r>
        <w:fldChar w:fldCharType="end"/>
      </w:r>
      <w:r w:rsidRPr="000A5D0B">
        <w:t>. Document revision history</w:t>
      </w:r>
    </w:p>
    <w:tbl>
      <w:tblPr>
        <w:tblStyle w:val="ATFTxDOTTable"/>
        <w:tblW w:w="0" w:type="auto"/>
        <w:tblLook w:val="0420" w:firstRow="1" w:lastRow="0" w:firstColumn="0" w:lastColumn="0" w:noHBand="0" w:noVBand="1"/>
        <w:tblCaption w:val="Document revision history"/>
        <w:tblDescription w:val="This table presents the full revision history of the document, organized from the most current to the oldest revision month, with a corresponding description of the changes made."/>
      </w:tblPr>
      <w:tblGrid>
        <w:gridCol w:w="2425"/>
        <w:gridCol w:w="8365"/>
      </w:tblGrid>
      <w:tr w:rsidR="003F3CC1" w14:paraId="14AE7B9E" w14:textId="77777777" w:rsidTr="00EA5454">
        <w:trPr>
          <w:cnfStyle w:val="100000000000" w:firstRow="1" w:lastRow="0" w:firstColumn="0" w:lastColumn="0" w:oddVBand="0" w:evenVBand="0" w:oddHBand="0" w:evenHBand="0" w:firstRowFirstColumn="0" w:firstRowLastColumn="0" w:lastRowFirstColumn="0" w:lastRowLastColumn="0"/>
        </w:trPr>
        <w:tc>
          <w:tcPr>
            <w:tcW w:w="2425" w:type="dxa"/>
          </w:tcPr>
          <w:p w14:paraId="56E53D64" w14:textId="77777777" w:rsidR="003F3CC1" w:rsidRPr="00A07348" w:rsidRDefault="003F3CC1" w:rsidP="005D638D">
            <w:r w:rsidRPr="00A07348">
              <w:t xml:space="preserve">Effective </w:t>
            </w:r>
            <w:r w:rsidR="002A12D5" w:rsidRPr="00A07348">
              <w:t>d</w:t>
            </w:r>
            <w:r w:rsidRPr="00A07348">
              <w:t>ate</w:t>
            </w:r>
            <w:r w:rsidR="002A12D5" w:rsidRPr="00A07348">
              <w:t xml:space="preserve"> (month year)</w:t>
            </w:r>
          </w:p>
        </w:tc>
        <w:tc>
          <w:tcPr>
            <w:tcW w:w="8365" w:type="dxa"/>
          </w:tcPr>
          <w:p w14:paraId="337117E5" w14:textId="77777777" w:rsidR="003F3CC1" w:rsidRPr="00A07348" w:rsidRDefault="002A12D5" w:rsidP="005D638D">
            <w:r w:rsidRPr="00A07348">
              <w:t>Reason for and description of change</w:t>
            </w:r>
          </w:p>
        </w:tc>
      </w:tr>
      <w:tr w:rsidR="00756B8F" w14:paraId="5BFFD668" w14:textId="77777777" w:rsidTr="00EA5454">
        <w:trPr>
          <w:cnfStyle w:val="000000100000" w:firstRow="0" w:lastRow="0" w:firstColumn="0" w:lastColumn="0" w:oddVBand="0" w:evenVBand="0" w:oddHBand="1" w:evenHBand="0" w:firstRowFirstColumn="0" w:firstRowLastColumn="0" w:lastRowFirstColumn="0" w:lastRowLastColumn="0"/>
        </w:trPr>
        <w:tc>
          <w:tcPr>
            <w:tcW w:w="2425" w:type="dxa"/>
          </w:tcPr>
          <w:p w14:paraId="16B8E7D7" w14:textId="26333FB4" w:rsidR="00756B8F" w:rsidRPr="000B321B" w:rsidRDefault="00756B8F" w:rsidP="00756B8F">
            <w:r>
              <w:rPr>
                <w:color w:val="auto"/>
              </w:rPr>
              <w:t>August</w:t>
            </w:r>
            <w:r w:rsidRPr="000B321B">
              <w:rPr>
                <w:color w:val="auto"/>
              </w:rPr>
              <w:t xml:space="preserve"> 2026</w:t>
            </w:r>
          </w:p>
        </w:tc>
        <w:tc>
          <w:tcPr>
            <w:tcW w:w="8365" w:type="dxa"/>
          </w:tcPr>
          <w:p w14:paraId="65669B54" w14:textId="3426638F" w:rsidR="00756B8F" w:rsidRPr="000B321B" w:rsidRDefault="00756B8F" w:rsidP="00756B8F">
            <w:pPr>
              <w:rPr>
                <w:color w:val="auto"/>
              </w:rPr>
            </w:pPr>
            <w:r w:rsidRPr="000B321B">
              <w:rPr>
                <w:color w:val="auto"/>
              </w:rPr>
              <w:t xml:space="preserve">Version </w:t>
            </w:r>
            <w:r>
              <w:rPr>
                <w:color w:val="auto"/>
              </w:rPr>
              <w:t>3</w:t>
            </w:r>
          </w:p>
          <w:p w14:paraId="4EA2F0E1" w14:textId="2AB057D0" w:rsidR="00756B8F" w:rsidRPr="000B321B" w:rsidRDefault="00D76F3B" w:rsidP="00DF6EF5">
            <w:pPr>
              <w:pStyle w:val="ListBullet"/>
              <w:tabs>
                <w:tab w:val="clear" w:pos="1080"/>
              </w:tabs>
              <w:ind w:left="398"/>
            </w:pPr>
            <w:r w:rsidRPr="00D76F3B">
              <w:t>Completed text edits to provide clarification on survey process and standards.</w:t>
            </w:r>
          </w:p>
        </w:tc>
      </w:tr>
      <w:tr w:rsidR="00756B8F" w14:paraId="29CA90CE" w14:textId="77777777" w:rsidTr="00EA5454">
        <w:trPr>
          <w:cnfStyle w:val="000000010000" w:firstRow="0" w:lastRow="0" w:firstColumn="0" w:lastColumn="0" w:oddVBand="0" w:evenVBand="0" w:oddHBand="0" w:evenHBand="1" w:firstRowFirstColumn="0" w:firstRowLastColumn="0" w:lastRowFirstColumn="0" w:lastRowLastColumn="0"/>
        </w:trPr>
        <w:tc>
          <w:tcPr>
            <w:tcW w:w="2425" w:type="dxa"/>
          </w:tcPr>
          <w:p w14:paraId="7EA2CCDE" w14:textId="73EB4A96" w:rsidR="00756B8F" w:rsidRPr="000B321B" w:rsidRDefault="00756B8F" w:rsidP="00756B8F">
            <w:pPr>
              <w:rPr>
                <w:b/>
                <w:bCs/>
                <w:color w:val="auto"/>
              </w:rPr>
            </w:pPr>
            <w:r w:rsidRPr="000B321B">
              <w:rPr>
                <w:color w:val="auto"/>
              </w:rPr>
              <w:t>July 2026</w:t>
            </w:r>
          </w:p>
        </w:tc>
        <w:tc>
          <w:tcPr>
            <w:tcW w:w="8365" w:type="dxa"/>
          </w:tcPr>
          <w:p w14:paraId="3300DDC6" w14:textId="2B8BDB63" w:rsidR="00756B8F" w:rsidRPr="000B321B" w:rsidRDefault="00756B8F" w:rsidP="00756B8F">
            <w:pPr>
              <w:rPr>
                <w:color w:val="auto"/>
              </w:rPr>
            </w:pPr>
            <w:r w:rsidRPr="000B321B">
              <w:rPr>
                <w:color w:val="auto"/>
              </w:rPr>
              <w:t>Version 2</w:t>
            </w:r>
          </w:p>
          <w:p w14:paraId="469A5563" w14:textId="51D34B74" w:rsidR="00756B8F" w:rsidRPr="000B321B" w:rsidRDefault="00DF6EF5" w:rsidP="00DF6EF5">
            <w:pPr>
              <w:pStyle w:val="ListBullet"/>
              <w:tabs>
                <w:tab w:val="clear" w:pos="1080"/>
              </w:tabs>
              <w:ind w:left="398"/>
              <w:rPr>
                <w:color w:val="auto"/>
              </w:rPr>
            </w:pPr>
            <w:r w:rsidRPr="00DF6EF5">
              <w:rPr>
                <w:color w:val="auto"/>
              </w:rPr>
              <w:t>Updated to comply with accessibility and TxDOT branding standards</w:t>
            </w:r>
            <w:r>
              <w:rPr>
                <w:color w:val="auto"/>
              </w:rPr>
              <w:t>.</w:t>
            </w:r>
          </w:p>
        </w:tc>
      </w:tr>
      <w:tr w:rsidR="00756B8F" w14:paraId="266802F1" w14:textId="77777777" w:rsidTr="00EA5454">
        <w:trPr>
          <w:cnfStyle w:val="000000100000" w:firstRow="0" w:lastRow="0" w:firstColumn="0" w:lastColumn="0" w:oddVBand="0" w:evenVBand="0" w:oddHBand="1" w:evenHBand="0" w:firstRowFirstColumn="0" w:firstRowLastColumn="0" w:lastRowFirstColumn="0" w:lastRowLastColumn="0"/>
        </w:trPr>
        <w:tc>
          <w:tcPr>
            <w:tcW w:w="2425" w:type="dxa"/>
          </w:tcPr>
          <w:p w14:paraId="04C9248F" w14:textId="61F8EA25" w:rsidR="00756B8F" w:rsidRPr="000B321B" w:rsidRDefault="00756B8F" w:rsidP="00756B8F">
            <w:pPr>
              <w:rPr>
                <w:b/>
                <w:bCs/>
                <w:color w:val="auto"/>
              </w:rPr>
            </w:pPr>
            <w:r w:rsidRPr="000B321B">
              <w:rPr>
                <w:color w:val="auto"/>
              </w:rPr>
              <w:t>May 2022</w:t>
            </w:r>
          </w:p>
        </w:tc>
        <w:tc>
          <w:tcPr>
            <w:tcW w:w="8365" w:type="dxa"/>
          </w:tcPr>
          <w:p w14:paraId="338C325B" w14:textId="64648B8A" w:rsidR="00756B8F" w:rsidRPr="000B321B" w:rsidRDefault="00756B8F" w:rsidP="00756B8F">
            <w:pPr>
              <w:rPr>
                <w:color w:val="auto"/>
              </w:rPr>
            </w:pPr>
            <w:r w:rsidRPr="000B321B">
              <w:rPr>
                <w:color w:val="auto"/>
              </w:rPr>
              <w:t>Version 1</w:t>
            </w:r>
          </w:p>
          <w:p w14:paraId="24748D93" w14:textId="28E97737" w:rsidR="00756B8F" w:rsidRPr="000B321B" w:rsidRDefault="00923910" w:rsidP="00DF6EF5">
            <w:pPr>
              <w:pStyle w:val="ListBullet"/>
              <w:tabs>
                <w:tab w:val="clear" w:pos="1080"/>
              </w:tabs>
              <w:ind w:left="398"/>
              <w:rPr>
                <w:color w:val="auto"/>
              </w:rPr>
            </w:pPr>
            <w:r w:rsidRPr="00923910">
              <w:rPr>
                <w:color w:val="auto"/>
              </w:rPr>
              <w:t>Guidance on how to conduct a digital search of online resources to identify and document historic-age properties.</w:t>
            </w:r>
          </w:p>
        </w:tc>
      </w:tr>
    </w:tbl>
    <w:p w14:paraId="7F459669" w14:textId="77777777" w:rsidR="003F3CC1" w:rsidRPr="005D638D" w:rsidRDefault="003F3CC1" w:rsidP="00781A58"/>
    <w:sectPr w:rsidR="003F3CC1" w:rsidRPr="005D638D" w:rsidSect="0010454F">
      <w:headerReference w:type="default" r:id="rId10"/>
      <w:footerReference w:type="default" r:id="rId11"/>
      <w:headerReference w:type="first" r:id="rId12"/>
      <w:pgSz w:w="12240" w:h="15840" w:code="1"/>
      <w:pgMar w:top="720" w:right="720" w:bottom="720" w:left="720"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444E0" w14:textId="77777777" w:rsidR="00EE1B51" w:rsidRDefault="00EE1B51" w:rsidP="00CE2B96">
      <w:pPr>
        <w:spacing w:after="0"/>
      </w:pPr>
      <w:r>
        <w:separator/>
      </w:r>
    </w:p>
  </w:endnote>
  <w:endnote w:type="continuationSeparator" w:id="0">
    <w:p w14:paraId="46C88DAE" w14:textId="77777777" w:rsidR="00EE1B51" w:rsidRDefault="00EE1B51" w:rsidP="00CE2B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erdana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aditional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F063A" w14:textId="2041C824" w:rsidR="00E15D9F" w:rsidRPr="00A07068" w:rsidRDefault="00C02127" w:rsidP="000B321B">
    <w:pPr>
      <w:pStyle w:val="Footer"/>
      <w:spacing w:before="240" w:line="360" w:lineRule="auto"/>
      <w:jc w:val="right"/>
      <w:rPr>
        <w:b/>
        <w:bCs/>
        <w:color w:val="0056A9"/>
      </w:rPr>
    </w:pPr>
    <w:r w:rsidRPr="00781A58">
      <mc:AlternateContent>
        <mc:Choice Requires="wps">
          <w:drawing>
            <wp:anchor distT="0" distB="0" distL="114300" distR="114300" simplePos="0" relativeHeight="251658240" behindDoc="0" locked="0" layoutInCell="1" allowOverlap="1" wp14:anchorId="73ADB556" wp14:editId="6A1292FC">
              <wp:simplePos x="0" y="0"/>
              <wp:positionH relativeFrom="margin">
                <wp:posOffset>0</wp:posOffset>
              </wp:positionH>
              <wp:positionV relativeFrom="paragraph">
                <wp:posOffset>86065</wp:posOffset>
              </wp:positionV>
              <wp:extent cx="6844381" cy="6795"/>
              <wp:effectExtent l="0" t="0" r="13970" b="31750"/>
              <wp:wrapNone/>
              <wp:docPr id="2" name="AutoShape 12">
                <a:extLst xmlns:a="http://schemas.openxmlformats.org/drawingml/2006/main">
                  <a:ext uri="{FF2B5EF4-FFF2-40B4-BE49-F238E27FC236}">
                    <a16:creationId xmlns:a16="http://schemas.microsoft.com/office/drawing/2014/main" id="{E7E3B710-1823-4CF1-8E79-F0B0B1E1FF9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44381" cy="6795"/>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32D16220" id="_x0000_t32" coordsize="21600,21600" o:spt="32" o:oned="t" path="m,l21600,21600e" filled="f">
              <v:path arrowok="t" fillok="f" o:connecttype="none"/>
              <o:lock v:ext="edit" shapetype="t"/>
            </v:shapetype>
            <v:shape id="AutoShape 12" o:spid="_x0000_s1026" type="#_x0000_t32" alt="&quot;&quot;" style="position:absolute;margin-left:0;margin-top:6.8pt;width:538.95pt;height:.55pt;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" strokecolor="#d81f26">
              <w10:wrap anchorx="margin"/>
            </v:shape>
          </w:pict>
        </mc:Fallback>
      </mc:AlternateContent>
    </w:r>
    <w:r w:rsidR="00CD011E">
      <w:rPr>
        <w:color w:val="0056A9"/>
      </w:rPr>
      <w:t>Guidance for Historic</w:t>
    </w:r>
    <w:r w:rsidR="002F746B">
      <w:rPr>
        <w:color w:val="0056A9"/>
      </w:rPr>
      <w:t xml:space="preserve"> Resources</w:t>
    </w:r>
    <w:r w:rsidR="00CD011E">
      <w:rPr>
        <w:color w:val="0056A9"/>
      </w:rPr>
      <w:t xml:space="preserve"> Desktop Surveys</w:t>
    </w:r>
    <w:r w:rsidR="0032481A" w:rsidRPr="00305F76">
      <w:rPr>
        <w:color w:val="0056A9"/>
      </w:rPr>
      <w:t xml:space="preserve"> </w:t>
    </w:r>
    <w:r w:rsidR="00BD2218" w:rsidRPr="00305F76">
      <w:rPr>
        <w:color w:val="0056A9"/>
      </w:rPr>
      <w:t>|</w:t>
    </w:r>
    <w:r w:rsidR="00BD2218" w:rsidRPr="00BD2218">
      <w:rPr>
        <w:b/>
        <w:bCs/>
        <w:color w:val="0056A9"/>
      </w:rPr>
      <w:t xml:space="preserve"> </w:t>
    </w:r>
    <w:r w:rsidR="00BD2218" w:rsidRPr="00BD2218">
      <w:rPr>
        <w:b/>
        <w:bCs/>
        <w:noProof w:val="0"/>
        <w:color w:val="0056A9"/>
      </w:rPr>
      <w:fldChar w:fldCharType="begin"/>
    </w:r>
    <w:r w:rsidR="00BD2218" w:rsidRPr="00BD2218">
      <w:rPr>
        <w:b/>
        <w:bCs/>
        <w:color w:val="0056A9"/>
      </w:rPr>
      <w:instrText xml:space="preserve"> PAGE   \* MERGEFORMAT </w:instrText>
    </w:r>
    <w:r w:rsidR="00BD2218" w:rsidRPr="00BD2218">
      <w:rPr>
        <w:b/>
        <w:bCs/>
        <w:noProof w:val="0"/>
        <w:color w:val="0056A9"/>
      </w:rPr>
      <w:fldChar w:fldCharType="separate"/>
    </w:r>
    <w:r w:rsidR="00BD2218" w:rsidRPr="00BD2218">
      <w:rPr>
        <w:b/>
        <w:bCs/>
        <w:color w:val="0056A9"/>
      </w:rPr>
      <w:t>1</w:t>
    </w:r>
    <w:r w:rsidR="00BD2218" w:rsidRPr="00BD2218">
      <w:rPr>
        <w:b/>
        <w:bCs/>
        <w:color w:val="0056A9"/>
      </w:rPr>
      <w:fldChar w:fldCharType="end"/>
    </w:r>
  </w:p>
  <w:p w14:paraId="110EC0EE" w14:textId="77777777" w:rsidR="002376C2" w:rsidRDefault="002376C2" w:rsidP="00305F76">
    <w:pPr>
      <w:pStyle w:val="Footer"/>
      <w:spacing w:before="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F12ED" w14:textId="77777777" w:rsidR="00EE1B51" w:rsidRDefault="00EE1B51" w:rsidP="00CE2B96">
      <w:pPr>
        <w:spacing w:after="0"/>
      </w:pPr>
      <w:r>
        <w:separator/>
      </w:r>
    </w:p>
  </w:footnote>
  <w:footnote w:type="continuationSeparator" w:id="0">
    <w:p w14:paraId="7EC4301F" w14:textId="77777777" w:rsidR="00EE1B51" w:rsidRDefault="00EE1B51" w:rsidP="00CE2B9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1A8D" w14:textId="3F203E6B" w:rsidR="001705BC" w:rsidRDefault="00592FDC" w:rsidP="001705BC">
    <w:pPr>
      <w:pStyle w:val="Header"/>
      <w:spacing w:after="400"/>
      <w:jc w:val="right"/>
    </w:pPr>
    <w:r>
      <w:rPr>
        <w:noProof/>
      </w:rPr>
      <w:drawing>
        <wp:inline distT="0" distB="0" distL="0" distR="0" wp14:anchorId="695BEF75" wp14:editId="06FE4262">
          <wp:extent cx="2020824" cy="384048"/>
          <wp:effectExtent l="0" t="0" r="0" b="0"/>
          <wp:docPr id="1517796457" name="Picture 1" descr="Texas Department of Transportation logo">
            <a:extLst xmlns:a="http://schemas.openxmlformats.org/drawingml/2006/main">
              <a:ext uri="{FF2B5EF4-FFF2-40B4-BE49-F238E27FC236}">
                <a16:creationId xmlns:a16="http://schemas.microsoft.com/office/drawing/2014/main" id="{50A7C5F7-2A35-41ED-A897-BE9B75A251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796457" name="Picture 1" descr="Texas Department of Transportation logo"/>
                  <pic:cNvPicPr/>
                </pic:nvPicPr>
                <pic:blipFill>
                  <a:blip r:embed="rId1">
                    <a:extLst>
                      <a:ext uri="{28A0092B-C50C-407E-A947-70E740481C1C}">
                        <a14:useLocalDpi xmlns:a14="http://schemas.microsoft.com/office/drawing/2010/main" val="0"/>
                      </a:ext>
                    </a:extLst>
                  </a:blip>
                  <a:stretch>
                    <a:fillRect/>
                  </a:stretch>
                </pic:blipFill>
                <pic:spPr>
                  <a:xfrm>
                    <a:off x="0" y="0"/>
                    <a:ext cx="2020824" cy="38404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2C2DC" w14:textId="77777777" w:rsidR="00CE2B96" w:rsidRPr="002A75F2" w:rsidRDefault="00CE2B96" w:rsidP="002A75F2">
    <w:pPr>
      <w:spacing w:after="2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E4E5E9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6D1CBD"/>
    <w:multiLevelType w:val="multilevel"/>
    <w:tmpl w:val="8832466A"/>
    <w:lvl w:ilvl="0">
      <w:start w:val="1"/>
      <w:numFmt w:val="decimal"/>
      <w:lvlText w:val="%1"/>
      <w:lvlJc w:val="left"/>
      <w:pPr>
        <w:ind w:left="900" w:hanging="900"/>
      </w:pPr>
      <w:rPr>
        <w:rFonts w:hint="default"/>
      </w:rPr>
    </w:lvl>
    <w:lvl w:ilvl="1">
      <w:start w:val="1"/>
      <w:numFmt w:val="decimal"/>
      <w:lvlText w:val="%1.%2"/>
      <w:lvlJc w:val="left"/>
      <w:pPr>
        <w:ind w:left="1260" w:hanging="90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2" w15:restartNumberingAfterBreak="0">
    <w:nsid w:val="09FD5140"/>
    <w:multiLevelType w:val="hybridMultilevel"/>
    <w:tmpl w:val="3FEA4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E9558B"/>
    <w:multiLevelType w:val="hybridMultilevel"/>
    <w:tmpl w:val="4A400704"/>
    <w:lvl w:ilvl="0" w:tplc="6E006816">
      <w:start w:val="1"/>
      <w:numFmt w:val="bullet"/>
      <w:lvlText w:val=""/>
      <w:lvlJc w:val="left"/>
      <w:pPr>
        <w:ind w:left="1440" w:hanging="360"/>
      </w:pPr>
      <w:rPr>
        <w:rFonts w:ascii="Symbol" w:hAnsi="Symbol" w:hint="default"/>
        <w:color w:val="0056A9" w:themeColor="accent1"/>
      </w:rPr>
    </w:lvl>
    <w:lvl w:ilvl="1" w:tplc="91AE6AB2">
      <w:start w:val="1"/>
      <w:numFmt w:val="bullet"/>
      <w:lvlText w:val="o"/>
      <w:lvlJc w:val="left"/>
      <w:pPr>
        <w:ind w:left="2160" w:hanging="360"/>
      </w:pPr>
      <w:rPr>
        <w:rFonts w:ascii="Courier New" w:hAnsi="Courier New" w:cs="Courier New" w:hint="default"/>
        <w:color w:val="0056A9" w:themeColor="accent1"/>
      </w:rPr>
    </w:lvl>
    <w:lvl w:ilvl="2" w:tplc="D8FCEF8A">
      <w:start w:val="1"/>
      <w:numFmt w:val="bullet"/>
      <w:lvlText w:val=""/>
      <w:lvlJc w:val="left"/>
      <w:pPr>
        <w:ind w:left="2880" w:hanging="360"/>
      </w:pPr>
      <w:rPr>
        <w:rFonts w:ascii="Wingdings" w:hAnsi="Wingdings" w:hint="default"/>
        <w:color w:val="0056A9" w:themeColor="accent1"/>
      </w:rPr>
    </w:lvl>
    <w:lvl w:ilvl="3" w:tplc="CFEAE114">
      <w:start w:val="1"/>
      <w:numFmt w:val="bullet"/>
      <w:lvlText w:val=""/>
      <w:lvlJc w:val="left"/>
      <w:pPr>
        <w:ind w:left="3600" w:hanging="360"/>
      </w:pPr>
      <w:rPr>
        <w:rFonts w:ascii="Symbol" w:hAnsi="Symbol" w:hint="default"/>
        <w:color w:val="0056A9" w:themeColor="accent1"/>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955EDD"/>
    <w:multiLevelType w:val="multilevel"/>
    <w:tmpl w:val="16EEE856"/>
    <w:lvl w:ilvl="0">
      <w:start w:val="1"/>
      <w:numFmt w:val="decimal"/>
      <w:lvlText w:val="%1"/>
      <w:lvlJc w:val="left"/>
      <w:pPr>
        <w:ind w:left="900" w:hanging="900"/>
      </w:pPr>
      <w:rPr>
        <w:rFonts w:hint="default"/>
      </w:rPr>
    </w:lvl>
    <w:lvl w:ilvl="1">
      <w:start w:val="1"/>
      <w:numFmt w:val="decimal"/>
      <w:lvlText w:val="%1.%2"/>
      <w:lvlJc w:val="left"/>
      <w:pPr>
        <w:ind w:left="1260" w:hanging="90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5" w15:restartNumberingAfterBreak="0">
    <w:nsid w:val="250B538D"/>
    <w:multiLevelType w:val="hybridMultilevel"/>
    <w:tmpl w:val="0C8EE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4C12DE"/>
    <w:multiLevelType w:val="multilevel"/>
    <w:tmpl w:val="A2B6B6B8"/>
    <w:lvl w:ilvl="0">
      <w:start w:val="1"/>
      <w:numFmt w:val="decimal"/>
      <w:pStyle w:val="ListNumber"/>
      <w:lvlText w:val="%1."/>
      <w:lvlJc w:val="left"/>
      <w:pPr>
        <w:ind w:left="936" w:hanging="576"/>
      </w:pPr>
      <w:rPr>
        <w:rFonts w:hint="default"/>
      </w:rPr>
    </w:lvl>
    <w:lvl w:ilvl="1">
      <w:start w:val="1"/>
      <w:numFmt w:val="lowerLetter"/>
      <w:lvlText w:val="%2)"/>
      <w:lvlJc w:val="left"/>
      <w:pPr>
        <w:ind w:left="1512" w:hanging="576"/>
      </w:pPr>
      <w:rPr>
        <w:rFonts w:hint="default"/>
      </w:rPr>
    </w:lvl>
    <w:lvl w:ilvl="2">
      <w:start w:val="1"/>
      <w:numFmt w:val="lowerRoman"/>
      <w:lvlText w:val="%3)"/>
      <w:lvlJc w:val="left"/>
      <w:pPr>
        <w:ind w:left="2088" w:hanging="576"/>
      </w:pPr>
      <w:rPr>
        <w:rFonts w:hint="default"/>
      </w:rPr>
    </w:lvl>
    <w:lvl w:ilvl="3">
      <w:start w:val="1"/>
      <w:numFmt w:val="decimal"/>
      <w:lvlText w:val="(%4)"/>
      <w:lvlJc w:val="left"/>
      <w:pPr>
        <w:ind w:left="2664" w:hanging="576"/>
      </w:pPr>
      <w:rPr>
        <w:rFonts w:hint="default"/>
      </w:rPr>
    </w:lvl>
    <w:lvl w:ilvl="4">
      <w:start w:val="1"/>
      <w:numFmt w:val="lowerLetter"/>
      <w:lvlText w:val="(%5)"/>
      <w:lvlJc w:val="left"/>
      <w:pPr>
        <w:ind w:left="3240" w:hanging="576"/>
      </w:pPr>
      <w:rPr>
        <w:rFonts w:hint="default"/>
      </w:rPr>
    </w:lvl>
    <w:lvl w:ilvl="5">
      <w:start w:val="1"/>
      <w:numFmt w:val="lowerRoman"/>
      <w:lvlText w:val="(%6)"/>
      <w:lvlJc w:val="left"/>
      <w:pPr>
        <w:ind w:left="3816" w:hanging="576"/>
      </w:pPr>
      <w:rPr>
        <w:rFonts w:hint="default"/>
      </w:rPr>
    </w:lvl>
    <w:lvl w:ilvl="6">
      <w:start w:val="1"/>
      <w:numFmt w:val="decimal"/>
      <w:lvlText w:val="%7."/>
      <w:lvlJc w:val="left"/>
      <w:pPr>
        <w:ind w:left="4392" w:hanging="576"/>
      </w:pPr>
      <w:rPr>
        <w:rFonts w:hint="default"/>
      </w:rPr>
    </w:lvl>
    <w:lvl w:ilvl="7">
      <w:start w:val="1"/>
      <w:numFmt w:val="lowerLetter"/>
      <w:lvlText w:val="%8."/>
      <w:lvlJc w:val="left"/>
      <w:pPr>
        <w:ind w:left="4968" w:hanging="576"/>
      </w:pPr>
      <w:rPr>
        <w:rFonts w:hint="default"/>
      </w:rPr>
    </w:lvl>
    <w:lvl w:ilvl="8">
      <w:start w:val="1"/>
      <w:numFmt w:val="lowerRoman"/>
      <w:lvlText w:val="%9."/>
      <w:lvlJc w:val="left"/>
      <w:pPr>
        <w:ind w:left="5544" w:hanging="576"/>
      </w:pPr>
      <w:rPr>
        <w:rFonts w:hint="default"/>
      </w:rPr>
    </w:lvl>
  </w:abstractNum>
  <w:abstractNum w:abstractNumId="7" w15:restartNumberingAfterBreak="0">
    <w:nsid w:val="2F7E28AC"/>
    <w:multiLevelType w:val="multilevel"/>
    <w:tmpl w:val="14148A2E"/>
    <w:lvl w:ilvl="0">
      <w:start w:val="1"/>
      <w:numFmt w:val="decimal"/>
      <w:lvlText w:val="%1"/>
      <w:lvlJc w:val="left"/>
      <w:pPr>
        <w:ind w:left="840" w:hanging="840"/>
      </w:pPr>
      <w:rPr>
        <w:rFonts w:hint="default"/>
      </w:rPr>
    </w:lvl>
    <w:lvl w:ilvl="1">
      <w:start w:val="1"/>
      <w:numFmt w:val="decimal"/>
      <w:lvlText w:val="%1.%2"/>
      <w:lvlJc w:val="left"/>
      <w:pPr>
        <w:ind w:left="1200" w:hanging="84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680" w:hanging="2520"/>
      </w:pPr>
      <w:rPr>
        <w:rFonts w:hint="default"/>
      </w:rPr>
    </w:lvl>
    <w:lvl w:ilvl="7">
      <w:start w:val="1"/>
      <w:numFmt w:val="decimal"/>
      <w:lvlText w:val="%1.%2.%3.%4.%5.%6.%7.%8"/>
      <w:lvlJc w:val="left"/>
      <w:pPr>
        <w:ind w:left="5400" w:hanging="2880"/>
      </w:pPr>
      <w:rPr>
        <w:rFonts w:hint="default"/>
      </w:rPr>
    </w:lvl>
    <w:lvl w:ilvl="8">
      <w:start w:val="1"/>
      <w:numFmt w:val="decimal"/>
      <w:lvlText w:val="%1.%2.%3.%4.%5.%6.%7.%8.%9"/>
      <w:lvlJc w:val="left"/>
      <w:pPr>
        <w:ind w:left="6120" w:hanging="3240"/>
      </w:pPr>
      <w:rPr>
        <w:rFonts w:hint="default"/>
      </w:rPr>
    </w:lvl>
  </w:abstractNum>
  <w:abstractNum w:abstractNumId="8" w15:restartNumberingAfterBreak="0">
    <w:nsid w:val="326753F9"/>
    <w:multiLevelType w:val="hybridMultilevel"/>
    <w:tmpl w:val="07BC067C"/>
    <w:lvl w:ilvl="0" w:tplc="077ED25E">
      <w:start w:val="1"/>
      <w:numFmt w:val="bullet"/>
      <w:lvlText w:val=""/>
      <w:lvlJc w:val="left"/>
      <w:pPr>
        <w:ind w:left="2880" w:hanging="360"/>
      </w:pPr>
      <w:rPr>
        <w:rFonts w:ascii="Symbol" w:hAnsi="Symbol" w:hint="default"/>
        <w:color w:val="0056A9" w:themeColor="accent1"/>
      </w:rPr>
    </w:lvl>
    <w:lvl w:ilvl="1" w:tplc="5CEC31AA">
      <w:start w:val="1"/>
      <w:numFmt w:val="bullet"/>
      <w:lvlText w:val="o"/>
      <w:lvlJc w:val="left"/>
      <w:pPr>
        <w:ind w:left="1440" w:hanging="360"/>
      </w:pPr>
      <w:rPr>
        <w:rFonts w:ascii="Courier New" w:hAnsi="Courier New" w:cs="Courier New" w:hint="default"/>
        <w:color w:val="0056A9" w:themeColor="accent1"/>
      </w:rPr>
    </w:lvl>
    <w:lvl w:ilvl="2" w:tplc="D0167520">
      <w:start w:val="1"/>
      <w:numFmt w:val="bullet"/>
      <w:lvlText w:val=""/>
      <w:lvlJc w:val="left"/>
      <w:pPr>
        <w:ind w:left="2160" w:hanging="360"/>
      </w:pPr>
      <w:rPr>
        <w:rFonts w:ascii="Wingdings" w:hAnsi="Wingdings" w:hint="default"/>
        <w:color w:val="0056A9" w:themeColor="accent1"/>
      </w:rPr>
    </w:lvl>
    <w:lvl w:ilvl="3" w:tplc="CFEAE114">
      <w:start w:val="1"/>
      <w:numFmt w:val="bullet"/>
      <w:lvlText w:val=""/>
      <w:lvlJc w:val="left"/>
      <w:pPr>
        <w:ind w:left="2880" w:hanging="360"/>
      </w:pPr>
      <w:rPr>
        <w:rFonts w:ascii="Symbol" w:hAnsi="Symbol" w:hint="default"/>
        <w:color w:val="0056A9" w:themeColor="accent1"/>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9A78D6"/>
    <w:multiLevelType w:val="multilevel"/>
    <w:tmpl w:val="D952B632"/>
    <w:lvl w:ilvl="0">
      <w:start w:val="1"/>
      <w:numFmt w:val="decimal"/>
      <w:lvlText w:val="%1"/>
      <w:lvlJc w:val="left"/>
      <w:pPr>
        <w:ind w:left="1110" w:hanging="1110"/>
      </w:pPr>
      <w:rPr>
        <w:rFonts w:hint="default"/>
      </w:rPr>
    </w:lvl>
    <w:lvl w:ilvl="1">
      <w:start w:val="1"/>
      <w:numFmt w:val="decimal"/>
      <w:lvlText w:val="%1.%2"/>
      <w:lvlJc w:val="left"/>
      <w:pPr>
        <w:ind w:left="1470" w:hanging="1110"/>
      </w:pPr>
      <w:rPr>
        <w:rFonts w:hint="default"/>
      </w:rPr>
    </w:lvl>
    <w:lvl w:ilvl="2">
      <w:start w:val="1"/>
      <w:numFmt w:val="decimal"/>
      <w:lvlText w:val="%1.%2.%3"/>
      <w:lvlJc w:val="left"/>
      <w:pPr>
        <w:ind w:left="1830" w:hanging="1110"/>
      </w:pPr>
      <w:rPr>
        <w:rFonts w:hint="default"/>
      </w:rPr>
    </w:lvl>
    <w:lvl w:ilvl="3">
      <w:start w:val="1"/>
      <w:numFmt w:val="decimal"/>
      <w:lvlText w:val="%1.%2.%3.%4"/>
      <w:lvlJc w:val="left"/>
      <w:pPr>
        <w:ind w:left="2190" w:hanging="111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10" w15:restartNumberingAfterBreak="0">
    <w:nsid w:val="3B8651A1"/>
    <w:multiLevelType w:val="multilevel"/>
    <w:tmpl w:val="BE5410DA"/>
    <w:lvl w:ilvl="0">
      <w:start w:val="1"/>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1" w15:restartNumberingAfterBreak="0">
    <w:nsid w:val="3ED063B8"/>
    <w:multiLevelType w:val="hybridMultilevel"/>
    <w:tmpl w:val="8C16BCC4"/>
    <w:lvl w:ilvl="0" w:tplc="CFEAE114">
      <w:start w:val="1"/>
      <w:numFmt w:val="bullet"/>
      <w:lvlText w:val=""/>
      <w:lvlJc w:val="left"/>
      <w:pPr>
        <w:ind w:left="1080" w:hanging="360"/>
      </w:pPr>
      <w:rPr>
        <w:rFonts w:ascii="Symbol" w:hAnsi="Symbol" w:hint="default"/>
        <w:color w:val="0056A9"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12" w15:restartNumberingAfterBreak="0">
    <w:nsid w:val="45B62058"/>
    <w:multiLevelType w:val="multilevel"/>
    <w:tmpl w:val="1DE64A46"/>
    <w:lvl w:ilvl="0">
      <w:start w:val="1"/>
      <w:numFmt w:val="decimal"/>
      <w:lvlText w:val="%1."/>
      <w:lvlJc w:val="left"/>
      <w:pPr>
        <w:ind w:left="945" w:hanging="945"/>
      </w:pPr>
      <w:rPr>
        <w:rFonts w:hint="default"/>
      </w:rPr>
    </w:lvl>
    <w:lvl w:ilvl="1">
      <w:start w:val="1"/>
      <w:numFmt w:val="decimal"/>
      <w:lvlText w:val="%1.%2."/>
      <w:lvlJc w:val="left"/>
      <w:pPr>
        <w:ind w:left="1845" w:hanging="945"/>
      </w:pPr>
      <w:rPr>
        <w:rFonts w:hint="default"/>
      </w:rPr>
    </w:lvl>
    <w:lvl w:ilvl="2">
      <w:start w:val="1"/>
      <w:numFmt w:val="decimal"/>
      <w:lvlText w:val="%1.%2.%3."/>
      <w:lvlJc w:val="left"/>
      <w:pPr>
        <w:ind w:left="2880" w:hanging="1080"/>
      </w:pPr>
      <w:rPr>
        <w:rFonts w:hint="default"/>
      </w:rPr>
    </w:lvl>
    <w:lvl w:ilvl="3">
      <w:start w:val="1"/>
      <w:numFmt w:val="decimal"/>
      <w:lvlText w:val="%1.%2.%3.%4."/>
      <w:lvlJc w:val="left"/>
      <w:pPr>
        <w:ind w:left="4140" w:hanging="1440"/>
      </w:pPr>
      <w:rPr>
        <w:rFonts w:hint="default"/>
      </w:rPr>
    </w:lvl>
    <w:lvl w:ilvl="4">
      <w:start w:val="1"/>
      <w:numFmt w:val="decimal"/>
      <w:lvlText w:val="%1.%2.%3.%4.%5."/>
      <w:lvlJc w:val="left"/>
      <w:pPr>
        <w:ind w:left="5400" w:hanging="1800"/>
      </w:pPr>
      <w:rPr>
        <w:rFonts w:hint="default"/>
      </w:rPr>
    </w:lvl>
    <w:lvl w:ilvl="5">
      <w:start w:val="1"/>
      <w:numFmt w:val="decimal"/>
      <w:lvlText w:val="%1.%2.%3.%4.%5.%6."/>
      <w:lvlJc w:val="left"/>
      <w:pPr>
        <w:ind w:left="6660" w:hanging="2160"/>
      </w:pPr>
      <w:rPr>
        <w:rFonts w:hint="default"/>
      </w:rPr>
    </w:lvl>
    <w:lvl w:ilvl="6">
      <w:start w:val="1"/>
      <w:numFmt w:val="decimal"/>
      <w:lvlText w:val="%1.%2.%3.%4.%5.%6.%7."/>
      <w:lvlJc w:val="left"/>
      <w:pPr>
        <w:ind w:left="7920" w:hanging="2520"/>
      </w:pPr>
      <w:rPr>
        <w:rFonts w:hint="default"/>
      </w:rPr>
    </w:lvl>
    <w:lvl w:ilvl="7">
      <w:start w:val="1"/>
      <w:numFmt w:val="decimal"/>
      <w:lvlText w:val="%1.%2.%3.%4.%5.%6.%7.%8."/>
      <w:lvlJc w:val="left"/>
      <w:pPr>
        <w:ind w:left="9180" w:hanging="2880"/>
      </w:pPr>
      <w:rPr>
        <w:rFonts w:hint="default"/>
      </w:rPr>
    </w:lvl>
    <w:lvl w:ilvl="8">
      <w:start w:val="1"/>
      <w:numFmt w:val="decimal"/>
      <w:lvlText w:val="%1.%2.%3.%4.%5.%6.%7.%8.%9."/>
      <w:lvlJc w:val="left"/>
      <w:pPr>
        <w:ind w:left="10440" w:hanging="3240"/>
      </w:pPr>
      <w:rPr>
        <w:rFonts w:hint="default"/>
      </w:rPr>
    </w:lvl>
  </w:abstractNum>
  <w:abstractNum w:abstractNumId="13" w15:restartNumberingAfterBreak="0">
    <w:nsid w:val="49075E67"/>
    <w:multiLevelType w:val="multilevel"/>
    <w:tmpl w:val="D01A240E"/>
    <w:lvl w:ilvl="0">
      <w:start w:val="1"/>
      <w:numFmt w:val="decimal"/>
      <w:lvlText w:val="%1."/>
      <w:lvlJc w:val="left"/>
      <w:pPr>
        <w:ind w:left="810" w:hanging="810"/>
      </w:pPr>
      <w:rPr>
        <w:rFonts w:hint="default"/>
      </w:rPr>
    </w:lvl>
    <w:lvl w:ilvl="1">
      <w:start w:val="1"/>
      <w:numFmt w:val="decimal"/>
      <w:lvlText w:val="%1.%2."/>
      <w:lvlJc w:val="left"/>
      <w:pPr>
        <w:ind w:left="810" w:hanging="81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14" w15:restartNumberingAfterBreak="0">
    <w:nsid w:val="4955787F"/>
    <w:multiLevelType w:val="hybridMultilevel"/>
    <w:tmpl w:val="0FAEF158"/>
    <w:lvl w:ilvl="0" w:tplc="6A1E9478">
      <w:start w:val="1"/>
      <w:numFmt w:val="bullet"/>
      <w:lvlText w:val=""/>
      <w:lvlJc w:val="left"/>
      <w:pPr>
        <w:ind w:left="0" w:hanging="360"/>
      </w:pPr>
      <w:rPr>
        <w:rFonts w:ascii="Symbol" w:hAnsi="Symbol" w:hint="default"/>
        <w:color w:val="0056A9" w:themeColor="accent1"/>
      </w:rPr>
    </w:lvl>
    <w:lvl w:ilvl="1" w:tplc="25C68A64">
      <w:start w:val="1"/>
      <w:numFmt w:val="bullet"/>
      <w:lvlText w:val="o"/>
      <w:lvlJc w:val="left"/>
      <w:pPr>
        <w:ind w:left="-2160" w:hanging="360"/>
      </w:pPr>
      <w:rPr>
        <w:rFonts w:ascii="Courier New" w:hAnsi="Courier New" w:cs="Courier New" w:hint="default"/>
        <w:color w:val="0056A9" w:themeColor="accent1"/>
      </w:rPr>
    </w:lvl>
    <w:lvl w:ilvl="2" w:tplc="FD3A4FCC">
      <w:start w:val="1"/>
      <w:numFmt w:val="bullet"/>
      <w:lvlText w:val=""/>
      <w:lvlJc w:val="left"/>
      <w:pPr>
        <w:ind w:left="-1440" w:hanging="360"/>
      </w:pPr>
      <w:rPr>
        <w:rFonts w:ascii="Wingdings" w:hAnsi="Wingdings" w:hint="default"/>
        <w:color w:val="0056A9" w:themeColor="accent1"/>
      </w:rPr>
    </w:lvl>
    <w:lvl w:ilvl="3" w:tplc="AD341C6A">
      <w:start w:val="1"/>
      <w:numFmt w:val="bullet"/>
      <w:lvlText w:val=""/>
      <w:lvlJc w:val="left"/>
      <w:pPr>
        <w:ind w:left="-720" w:hanging="360"/>
      </w:pPr>
      <w:rPr>
        <w:rFonts w:ascii="Symbol" w:hAnsi="Symbol" w:hint="default"/>
        <w:color w:val="0056A9" w:themeColor="accent1"/>
      </w:rPr>
    </w:lvl>
    <w:lvl w:ilvl="4" w:tplc="FFFFFFFF" w:tentative="1">
      <w:start w:val="1"/>
      <w:numFmt w:val="bullet"/>
      <w:lvlText w:val="o"/>
      <w:lvlJc w:val="left"/>
      <w:pPr>
        <w:ind w:left="0" w:hanging="360"/>
      </w:pPr>
      <w:rPr>
        <w:rFonts w:ascii="Courier New" w:hAnsi="Courier New" w:cs="Courier New" w:hint="default"/>
      </w:rPr>
    </w:lvl>
    <w:lvl w:ilvl="5" w:tplc="FFFFFFFF" w:tentative="1">
      <w:start w:val="1"/>
      <w:numFmt w:val="bullet"/>
      <w:lvlText w:val=""/>
      <w:lvlJc w:val="left"/>
      <w:pPr>
        <w:ind w:left="720" w:hanging="360"/>
      </w:pPr>
      <w:rPr>
        <w:rFonts w:ascii="Wingdings" w:hAnsi="Wingdings" w:hint="default"/>
      </w:rPr>
    </w:lvl>
    <w:lvl w:ilvl="6" w:tplc="FFFFFFFF" w:tentative="1">
      <w:start w:val="1"/>
      <w:numFmt w:val="bullet"/>
      <w:lvlText w:val=""/>
      <w:lvlJc w:val="left"/>
      <w:pPr>
        <w:ind w:left="1440" w:hanging="360"/>
      </w:pPr>
      <w:rPr>
        <w:rFonts w:ascii="Symbol" w:hAnsi="Symbol" w:hint="default"/>
      </w:rPr>
    </w:lvl>
    <w:lvl w:ilvl="7" w:tplc="FFFFFFFF" w:tentative="1">
      <w:start w:val="1"/>
      <w:numFmt w:val="bullet"/>
      <w:lvlText w:val="o"/>
      <w:lvlJc w:val="left"/>
      <w:pPr>
        <w:ind w:left="2160" w:hanging="360"/>
      </w:pPr>
      <w:rPr>
        <w:rFonts w:ascii="Courier New" w:hAnsi="Courier New" w:cs="Courier New" w:hint="default"/>
      </w:rPr>
    </w:lvl>
    <w:lvl w:ilvl="8" w:tplc="FFFFFFFF" w:tentative="1">
      <w:start w:val="1"/>
      <w:numFmt w:val="bullet"/>
      <w:lvlText w:val=""/>
      <w:lvlJc w:val="left"/>
      <w:pPr>
        <w:ind w:left="2880" w:hanging="360"/>
      </w:pPr>
      <w:rPr>
        <w:rFonts w:ascii="Wingdings" w:hAnsi="Wingdings" w:hint="default"/>
      </w:rPr>
    </w:lvl>
  </w:abstractNum>
  <w:abstractNum w:abstractNumId="15" w15:restartNumberingAfterBreak="0">
    <w:nsid w:val="5AC7528B"/>
    <w:multiLevelType w:val="multilevel"/>
    <w:tmpl w:val="C85AB6CC"/>
    <w:lvl w:ilvl="0">
      <w:start w:val="1"/>
      <w:numFmt w:val="decimal"/>
      <w:lvlText w:val="%1"/>
      <w:lvlJc w:val="left"/>
      <w:pPr>
        <w:ind w:left="840" w:hanging="840"/>
      </w:pPr>
      <w:rPr>
        <w:rFonts w:hint="default"/>
      </w:rPr>
    </w:lvl>
    <w:lvl w:ilvl="1">
      <w:start w:val="1"/>
      <w:numFmt w:val="decimal"/>
      <w:lvlText w:val="%1.%2"/>
      <w:lvlJc w:val="left"/>
      <w:pPr>
        <w:ind w:left="1200" w:hanging="84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680" w:hanging="2520"/>
      </w:pPr>
      <w:rPr>
        <w:rFonts w:hint="default"/>
      </w:rPr>
    </w:lvl>
    <w:lvl w:ilvl="7">
      <w:start w:val="1"/>
      <w:numFmt w:val="decimal"/>
      <w:lvlText w:val="%1.%2.%3.%4.%5.%6.%7.%8"/>
      <w:lvlJc w:val="left"/>
      <w:pPr>
        <w:ind w:left="5400" w:hanging="2880"/>
      </w:pPr>
      <w:rPr>
        <w:rFonts w:hint="default"/>
      </w:rPr>
    </w:lvl>
    <w:lvl w:ilvl="8">
      <w:start w:val="1"/>
      <w:numFmt w:val="decimal"/>
      <w:lvlText w:val="%1.%2.%3.%4.%5.%6.%7.%8.%9"/>
      <w:lvlJc w:val="left"/>
      <w:pPr>
        <w:ind w:left="6120" w:hanging="3240"/>
      </w:pPr>
      <w:rPr>
        <w:rFonts w:hint="default"/>
      </w:rPr>
    </w:lvl>
  </w:abstractNum>
  <w:abstractNum w:abstractNumId="16" w15:restartNumberingAfterBreak="0">
    <w:nsid w:val="61F001BC"/>
    <w:multiLevelType w:val="multilevel"/>
    <w:tmpl w:val="6444F842"/>
    <w:lvl w:ilvl="0">
      <w:start w:val="1"/>
      <w:numFmt w:val="decimal"/>
      <w:lvlText w:val="%1"/>
      <w:lvlJc w:val="left"/>
      <w:pPr>
        <w:ind w:left="840" w:hanging="840"/>
      </w:pPr>
      <w:rPr>
        <w:rFonts w:hint="default"/>
      </w:rPr>
    </w:lvl>
    <w:lvl w:ilvl="1">
      <w:start w:val="1"/>
      <w:numFmt w:val="decimal"/>
      <w:lvlText w:val="%1.%2"/>
      <w:lvlJc w:val="left"/>
      <w:pPr>
        <w:ind w:left="1425" w:hanging="840"/>
      </w:pPr>
      <w:rPr>
        <w:rFonts w:hint="default"/>
      </w:rPr>
    </w:lvl>
    <w:lvl w:ilvl="2">
      <w:start w:val="1"/>
      <w:numFmt w:val="decimal"/>
      <w:lvlText w:val="%1.%2.%3"/>
      <w:lvlJc w:val="left"/>
      <w:pPr>
        <w:ind w:left="2250" w:hanging="1080"/>
      </w:pPr>
      <w:rPr>
        <w:rFonts w:hint="default"/>
      </w:rPr>
    </w:lvl>
    <w:lvl w:ilvl="3">
      <w:start w:val="1"/>
      <w:numFmt w:val="decimal"/>
      <w:lvlText w:val="%1.%2.%3.%4"/>
      <w:lvlJc w:val="left"/>
      <w:pPr>
        <w:ind w:left="3195" w:hanging="1440"/>
      </w:pPr>
      <w:rPr>
        <w:rFonts w:hint="default"/>
      </w:rPr>
    </w:lvl>
    <w:lvl w:ilvl="4">
      <w:start w:val="1"/>
      <w:numFmt w:val="decimal"/>
      <w:lvlText w:val="%1.%2.%3.%4.%5"/>
      <w:lvlJc w:val="left"/>
      <w:pPr>
        <w:ind w:left="4140" w:hanging="1800"/>
      </w:pPr>
      <w:rPr>
        <w:rFonts w:hint="default"/>
      </w:rPr>
    </w:lvl>
    <w:lvl w:ilvl="5">
      <w:start w:val="1"/>
      <w:numFmt w:val="decimal"/>
      <w:lvlText w:val="%1.%2.%3.%4.%5.%6"/>
      <w:lvlJc w:val="left"/>
      <w:pPr>
        <w:ind w:left="5085" w:hanging="2160"/>
      </w:pPr>
      <w:rPr>
        <w:rFonts w:hint="default"/>
      </w:rPr>
    </w:lvl>
    <w:lvl w:ilvl="6">
      <w:start w:val="1"/>
      <w:numFmt w:val="decimal"/>
      <w:lvlText w:val="%1.%2.%3.%4.%5.%6.%7"/>
      <w:lvlJc w:val="left"/>
      <w:pPr>
        <w:ind w:left="6030" w:hanging="2520"/>
      </w:pPr>
      <w:rPr>
        <w:rFonts w:hint="default"/>
      </w:rPr>
    </w:lvl>
    <w:lvl w:ilvl="7">
      <w:start w:val="1"/>
      <w:numFmt w:val="decimal"/>
      <w:lvlText w:val="%1.%2.%3.%4.%5.%6.%7.%8"/>
      <w:lvlJc w:val="left"/>
      <w:pPr>
        <w:ind w:left="6975" w:hanging="2880"/>
      </w:pPr>
      <w:rPr>
        <w:rFonts w:hint="default"/>
      </w:rPr>
    </w:lvl>
    <w:lvl w:ilvl="8">
      <w:start w:val="1"/>
      <w:numFmt w:val="decimal"/>
      <w:lvlText w:val="%1.%2.%3.%4.%5.%6.%7.%8.%9"/>
      <w:lvlJc w:val="left"/>
      <w:pPr>
        <w:ind w:left="7920" w:hanging="3240"/>
      </w:pPr>
      <w:rPr>
        <w:rFonts w:hint="default"/>
      </w:rPr>
    </w:lvl>
  </w:abstractNum>
  <w:abstractNum w:abstractNumId="17" w15:restartNumberingAfterBreak="0">
    <w:nsid w:val="68501F4D"/>
    <w:multiLevelType w:val="hybridMultilevel"/>
    <w:tmpl w:val="F246EB98"/>
    <w:lvl w:ilvl="0" w:tplc="CFEAE114">
      <w:start w:val="1"/>
      <w:numFmt w:val="bullet"/>
      <w:lvlText w:val=""/>
      <w:lvlJc w:val="left"/>
      <w:pPr>
        <w:ind w:left="3600" w:hanging="360"/>
      </w:pPr>
      <w:rPr>
        <w:rFonts w:ascii="Symbol" w:hAnsi="Symbol" w:hint="default"/>
        <w:color w:val="0056A9"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9F2327"/>
    <w:multiLevelType w:val="hybridMultilevel"/>
    <w:tmpl w:val="AAC48AD4"/>
    <w:lvl w:ilvl="0" w:tplc="8968D310">
      <w:start w:val="1"/>
      <w:numFmt w:val="bullet"/>
      <w:lvlText w:val=""/>
      <w:lvlJc w:val="left"/>
      <w:pPr>
        <w:ind w:left="720" w:hanging="360"/>
      </w:pPr>
      <w:rPr>
        <w:rFonts w:ascii="Symbol" w:hAnsi="Symbol" w:hint="default"/>
        <w:color w:val="0056A9" w:themeColor="accent1"/>
      </w:rPr>
    </w:lvl>
    <w:lvl w:ilvl="1" w:tplc="4036E000">
      <w:start w:val="1"/>
      <w:numFmt w:val="bullet"/>
      <w:lvlText w:val="o"/>
      <w:lvlJc w:val="left"/>
      <w:pPr>
        <w:ind w:left="1440" w:hanging="360"/>
      </w:pPr>
      <w:rPr>
        <w:rFonts w:ascii="Courier New" w:hAnsi="Courier New" w:cs="Courier New" w:hint="default"/>
      </w:rPr>
    </w:lvl>
    <w:lvl w:ilvl="2" w:tplc="7F5EBBBC">
      <w:start w:val="1"/>
      <w:numFmt w:val="bullet"/>
      <w:lvlText w:val=""/>
      <w:lvlJc w:val="left"/>
      <w:pPr>
        <w:ind w:left="2160" w:hanging="360"/>
      </w:pPr>
      <w:rPr>
        <w:rFonts w:ascii="Wingdings" w:hAnsi="Wingdings" w:hint="default"/>
      </w:rPr>
    </w:lvl>
    <w:lvl w:ilvl="3" w:tplc="413C0620">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936BF8"/>
    <w:multiLevelType w:val="hybridMultilevel"/>
    <w:tmpl w:val="9F5E5DE2"/>
    <w:lvl w:ilvl="0" w:tplc="AD341C6A">
      <w:start w:val="1"/>
      <w:numFmt w:val="bullet"/>
      <w:lvlText w:val=""/>
      <w:lvlJc w:val="left"/>
      <w:pPr>
        <w:ind w:left="72" w:hanging="360"/>
      </w:pPr>
      <w:rPr>
        <w:rFonts w:ascii="Symbol" w:hAnsi="Symbol" w:hint="default"/>
        <w:color w:val="0056A9" w:themeColor="accent1"/>
      </w:rPr>
    </w:lvl>
    <w:lvl w:ilvl="1" w:tplc="02D85806">
      <w:start w:val="1"/>
      <w:numFmt w:val="bullet"/>
      <w:lvlText w:val=""/>
      <w:lvlJc w:val="left"/>
      <w:pPr>
        <w:ind w:left="2232" w:hanging="360"/>
      </w:pPr>
      <w:rPr>
        <w:rFonts w:ascii="Symbol" w:hAnsi="Symbol" w:hint="default"/>
        <w:color w:val="0056A9" w:themeColor="accent1"/>
      </w:rPr>
    </w:lvl>
    <w:lvl w:ilvl="2" w:tplc="D78E1D58">
      <w:start w:val="1"/>
      <w:numFmt w:val="bullet"/>
      <w:lvlText w:val="o"/>
      <w:lvlJc w:val="left"/>
      <w:pPr>
        <w:ind w:left="2952" w:hanging="360"/>
      </w:pPr>
      <w:rPr>
        <w:rFonts w:ascii="Courier New" w:hAnsi="Courier New" w:cs="Courier New" w:hint="default"/>
        <w:color w:val="0056A9" w:themeColor="accent1"/>
      </w:rPr>
    </w:lvl>
    <w:lvl w:ilvl="3" w:tplc="1464AA94">
      <w:start w:val="1"/>
      <w:numFmt w:val="bullet"/>
      <w:lvlText w:val=""/>
      <w:lvlJc w:val="left"/>
      <w:pPr>
        <w:ind w:left="3672" w:hanging="360"/>
      </w:pPr>
      <w:rPr>
        <w:rFonts w:ascii="Wingdings" w:hAnsi="Wingdings" w:hint="default"/>
        <w:color w:val="0056A9" w:themeColor="accent1"/>
      </w:rPr>
    </w:lvl>
    <w:lvl w:ilvl="4" w:tplc="F49A6F44">
      <w:start w:val="1"/>
      <w:numFmt w:val="bullet"/>
      <w:lvlText w:val=""/>
      <w:lvlJc w:val="left"/>
      <w:pPr>
        <w:ind w:left="2700" w:hanging="360"/>
      </w:pPr>
      <w:rPr>
        <w:rFonts w:ascii="Symbol" w:hAnsi="Symbol" w:hint="default"/>
        <w:color w:val="0056A9" w:themeColor="accent1"/>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0" w15:restartNumberingAfterBreak="0">
    <w:nsid w:val="7597034E"/>
    <w:multiLevelType w:val="hybridMultilevel"/>
    <w:tmpl w:val="C59EE530"/>
    <w:lvl w:ilvl="0" w:tplc="FFAE4EFA">
      <w:start w:val="1"/>
      <w:numFmt w:val="bullet"/>
      <w:lvlText w:val=""/>
      <w:lvlJc w:val="left"/>
      <w:pPr>
        <w:ind w:left="720" w:hanging="360"/>
      </w:pPr>
      <w:rPr>
        <w:rFonts w:ascii="Symbol" w:hAnsi="Symbol" w:hint="default"/>
        <w:color w:val="0056A9" w:themeColor="accent1"/>
      </w:rPr>
    </w:lvl>
    <w:lvl w:ilvl="1" w:tplc="5486ECBE">
      <w:start w:val="1"/>
      <w:numFmt w:val="bullet"/>
      <w:lvlText w:val="o"/>
      <w:lvlJc w:val="left"/>
      <w:pPr>
        <w:ind w:left="1440" w:hanging="360"/>
      </w:pPr>
      <w:rPr>
        <w:rFonts w:ascii="Courier New" w:hAnsi="Courier New" w:cs="Courier New" w:hint="default"/>
        <w:color w:val="0056A9" w:themeColor="accent1"/>
      </w:rPr>
    </w:lvl>
    <w:lvl w:ilvl="2" w:tplc="2C30A452">
      <w:start w:val="1"/>
      <w:numFmt w:val="bullet"/>
      <w:lvlText w:val=""/>
      <w:lvlJc w:val="left"/>
      <w:pPr>
        <w:ind w:left="2160" w:hanging="360"/>
      </w:pPr>
      <w:rPr>
        <w:rFonts w:ascii="Wingdings" w:hAnsi="Wingdings" w:hint="default"/>
        <w:color w:val="0056A9" w:themeColor="accent1"/>
      </w:rPr>
    </w:lvl>
    <w:lvl w:ilvl="3" w:tplc="483C9CF6">
      <w:start w:val="1"/>
      <w:numFmt w:val="bullet"/>
      <w:lvlText w:val=""/>
      <w:lvlJc w:val="left"/>
      <w:pPr>
        <w:ind w:left="2880" w:hanging="360"/>
      </w:pPr>
      <w:rPr>
        <w:rFonts w:ascii="Symbol" w:hAnsi="Symbol" w:hint="default"/>
        <w:color w:val="0056A9" w:themeColor="accent1"/>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FD11F3"/>
    <w:multiLevelType w:val="multilevel"/>
    <w:tmpl w:val="0A42F6A4"/>
    <w:lvl w:ilvl="0">
      <w:start w:val="1"/>
      <w:numFmt w:val="bullet"/>
      <w:pStyle w:val="ListBullet"/>
      <w:lvlText w:val=""/>
      <w:lvlJc w:val="left"/>
      <w:pPr>
        <w:tabs>
          <w:tab w:val="num" w:pos="1080"/>
        </w:tabs>
        <w:ind w:left="1368" w:hanging="288"/>
      </w:pPr>
      <w:rPr>
        <w:rFonts w:ascii="Symbol" w:hAnsi="Symbol" w:hint="default"/>
        <w:color w:val="0056A9" w:themeColor="accent1"/>
      </w:rPr>
    </w:lvl>
    <w:lvl w:ilvl="1">
      <w:start w:val="1"/>
      <w:numFmt w:val="bullet"/>
      <w:lvlText w:val="o"/>
      <w:lvlJc w:val="left"/>
      <w:pPr>
        <w:tabs>
          <w:tab w:val="num" w:pos="1224"/>
        </w:tabs>
        <w:ind w:left="1512" w:hanging="288"/>
      </w:pPr>
      <w:rPr>
        <w:rFonts w:ascii="Courier New" w:hAnsi="Courier New" w:hint="default"/>
        <w:color w:val="0056A9" w:themeColor="accent1"/>
      </w:rPr>
    </w:lvl>
    <w:lvl w:ilvl="2">
      <w:start w:val="1"/>
      <w:numFmt w:val="bullet"/>
      <w:lvlText w:val=""/>
      <w:lvlJc w:val="left"/>
      <w:pPr>
        <w:tabs>
          <w:tab w:val="num" w:pos="1368"/>
        </w:tabs>
        <w:ind w:left="1656" w:hanging="288"/>
      </w:pPr>
      <w:rPr>
        <w:rFonts w:ascii="Wingdings" w:hAnsi="Wingdings" w:hint="default"/>
        <w:color w:val="0056A9" w:themeColor="accent1"/>
      </w:rPr>
    </w:lvl>
    <w:lvl w:ilvl="3">
      <w:start w:val="1"/>
      <w:numFmt w:val="bullet"/>
      <w:lvlText w:val=""/>
      <w:lvlJc w:val="left"/>
      <w:pPr>
        <w:tabs>
          <w:tab w:val="num" w:pos="1512"/>
        </w:tabs>
        <w:ind w:left="1800" w:hanging="288"/>
      </w:pPr>
      <w:rPr>
        <w:rFonts w:ascii="Symbol" w:hAnsi="Symbol" w:hint="default"/>
        <w:color w:val="0056A9" w:themeColor="accent1"/>
      </w:rPr>
    </w:lvl>
    <w:lvl w:ilvl="4">
      <w:start w:val="1"/>
      <w:numFmt w:val="bullet"/>
      <w:lvlText w:val="°"/>
      <w:lvlJc w:val="left"/>
      <w:pPr>
        <w:tabs>
          <w:tab w:val="num" w:pos="1656"/>
        </w:tabs>
        <w:ind w:left="1944" w:hanging="288"/>
      </w:pPr>
      <w:rPr>
        <w:rFonts w:ascii="Verdana" w:hAnsi="Verdana" w:hint="default"/>
        <w:color w:val="0056A9" w:themeColor="accent1"/>
      </w:rPr>
    </w:lvl>
    <w:lvl w:ilvl="5">
      <w:start w:val="1"/>
      <w:numFmt w:val="bullet"/>
      <w:lvlText w:val=""/>
      <w:lvlJc w:val="left"/>
      <w:pPr>
        <w:tabs>
          <w:tab w:val="num" w:pos="1800"/>
        </w:tabs>
        <w:ind w:left="2088" w:hanging="288"/>
      </w:pPr>
      <w:rPr>
        <w:rFonts w:ascii="Wingdings" w:hAnsi="Wingdings" w:hint="default"/>
      </w:rPr>
    </w:lvl>
    <w:lvl w:ilvl="6">
      <w:start w:val="1"/>
      <w:numFmt w:val="bullet"/>
      <w:lvlText w:val=""/>
      <w:lvlJc w:val="left"/>
      <w:pPr>
        <w:tabs>
          <w:tab w:val="num" w:pos="1944"/>
        </w:tabs>
        <w:ind w:left="2232" w:hanging="288"/>
      </w:pPr>
      <w:rPr>
        <w:rFonts w:ascii="Wingdings" w:hAnsi="Wingdings" w:hint="default"/>
      </w:rPr>
    </w:lvl>
    <w:lvl w:ilvl="7">
      <w:start w:val="1"/>
      <w:numFmt w:val="bullet"/>
      <w:lvlText w:val=""/>
      <w:lvlJc w:val="left"/>
      <w:pPr>
        <w:tabs>
          <w:tab w:val="num" w:pos="2088"/>
        </w:tabs>
        <w:ind w:left="2376" w:hanging="288"/>
      </w:pPr>
      <w:rPr>
        <w:rFonts w:ascii="Symbol" w:hAnsi="Symbol" w:hint="default"/>
      </w:rPr>
    </w:lvl>
    <w:lvl w:ilvl="8">
      <w:start w:val="1"/>
      <w:numFmt w:val="bullet"/>
      <w:lvlText w:val=""/>
      <w:lvlJc w:val="left"/>
      <w:pPr>
        <w:tabs>
          <w:tab w:val="num" w:pos="2232"/>
        </w:tabs>
        <w:ind w:left="2520" w:hanging="288"/>
      </w:pPr>
      <w:rPr>
        <w:rFonts w:ascii="Symbol" w:hAnsi="Symbol" w:hint="default"/>
      </w:rPr>
    </w:lvl>
  </w:abstractNum>
  <w:num w:numId="1" w16cid:durableId="486940803">
    <w:abstractNumId w:val="21"/>
  </w:num>
  <w:num w:numId="2" w16cid:durableId="945039576">
    <w:abstractNumId w:val="6"/>
  </w:num>
  <w:num w:numId="3" w16cid:durableId="1131048890">
    <w:abstractNumId w:val="13"/>
  </w:num>
  <w:num w:numId="4" w16cid:durableId="222251917">
    <w:abstractNumId w:val="5"/>
  </w:num>
  <w:num w:numId="5" w16cid:durableId="2033070563">
    <w:abstractNumId w:val="2"/>
  </w:num>
  <w:num w:numId="6" w16cid:durableId="1427189449">
    <w:abstractNumId w:val="4"/>
  </w:num>
  <w:num w:numId="7" w16cid:durableId="1942908512">
    <w:abstractNumId w:val="1"/>
  </w:num>
  <w:num w:numId="8" w16cid:durableId="1474175729">
    <w:abstractNumId w:val="12"/>
  </w:num>
  <w:num w:numId="9" w16cid:durableId="1460957834">
    <w:abstractNumId w:val="7"/>
  </w:num>
  <w:num w:numId="10" w16cid:durableId="1740984280">
    <w:abstractNumId w:val="10"/>
  </w:num>
  <w:num w:numId="11" w16cid:durableId="1429078049">
    <w:abstractNumId w:val="16"/>
  </w:num>
  <w:num w:numId="12" w16cid:durableId="431317070">
    <w:abstractNumId w:val="15"/>
  </w:num>
  <w:num w:numId="13" w16cid:durableId="413824661">
    <w:abstractNumId w:val="21"/>
    <w:lvlOverride w:ilvl="0">
      <w:lvl w:ilvl="0">
        <w:start w:val="1"/>
        <w:numFmt w:val="bullet"/>
        <w:pStyle w:val="ListBullet"/>
        <w:lvlText w:val=""/>
        <w:lvlJc w:val="left"/>
        <w:pPr>
          <w:ind w:left="2376" w:hanging="360"/>
        </w:pPr>
        <w:rPr>
          <w:rFonts w:ascii="Symbol" w:hAnsi="Symbol" w:hint="default"/>
          <w:color w:val="0056A9" w:themeColor="accent1"/>
        </w:rPr>
      </w:lvl>
    </w:lvlOverride>
    <w:lvlOverride w:ilvl="1">
      <w:lvl w:ilvl="1">
        <w:start w:val="1"/>
        <w:numFmt w:val="bullet"/>
        <w:lvlText w:val="o"/>
        <w:lvlJc w:val="left"/>
        <w:pPr>
          <w:ind w:left="2736" w:hanging="360"/>
        </w:pPr>
        <w:rPr>
          <w:rFonts w:ascii="Courier New" w:hAnsi="Courier New" w:hint="default"/>
          <w:color w:val="0056A9"/>
        </w:rPr>
      </w:lvl>
    </w:lvlOverride>
    <w:lvlOverride w:ilvl="2">
      <w:lvl w:ilvl="2">
        <w:start w:val="1"/>
        <w:numFmt w:val="bullet"/>
        <w:lvlText w:val=""/>
        <w:lvlJc w:val="left"/>
        <w:pPr>
          <w:ind w:left="3096" w:hanging="360"/>
        </w:pPr>
        <w:rPr>
          <w:rFonts w:ascii="Wingdings" w:hAnsi="Wingdings" w:hint="default"/>
          <w:color w:val="0056A9" w:themeColor="accent1"/>
        </w:rPr>
      </w:lvl>
    </w:lvlOverride>
    <w:lvlOverride w:ilvl="3">
      <w:lvl w:ilvl="3">
        <w:start w:val="1"/>
        <w:numFmt w:val="bullet"/>
        <w:lvlText w:val=""/>
        <w:lvlJc w:val="left"/>
        <w:pPr>
          <w:ind w:left="3456" w:hanging="360"/>
        </w:pPr>
        <w:rPr>
          <w:rFonts w:ascii="Symbol" w:hAnsi="Symbol" w:hint="default"/>
          <w:color w:val="0056A9" w:themeColor="accent1"/>
        </w:rPr>
      </w:lvl>
    </w:lvlOverride>
    <w:lvlOverride w:ilvl="4">
      <w:lvl w:ilvl="4">
        <w:start w:val="1"/>
        <w:numFmt w:val="bullet"/>
        <w:lvlText w:val="°"/>
        <w:lvlJc w:val="left"/>
        <w:pPr>
          <w:ind w:left="3816" w:hanging="360"/>
        </w:pPr>
        <w:rPr>
          <w:rFonts w:ascii="Verdana" w:hAnsi="Verdana" w:hint="default"/>
          <w:color w:val="0056A9" w:themeColor="accent1"/>
        </w:rPr>
      </w:lvl>
    </w:lvlOverride>
    <w:lvlOverride w:ilvl="5">
      <w:lvl w:ilvl="5">
        <w:start w:val="1"/>
        <w:numFmt w:val="bullet"/>
        <w:lvlText w:val=""/>
        <w:lvlJc w:val="left"/>
        <w:pPr>
          <w:ind w:left="4176" w:hanging="360"/>
        </w:pPr>
        <w:rPr>
          <w:rFonts w:ascii="Wingdings" w:hAnsi="Wingdings" w:hint="default"/>
        </w:rPr>
      </w:lvl>
    </w:lvlOverride>
    <w:lvlOverride w:ilvl="6">
      <w:lvl w:ilvl="6">
        <w:start w:val="1"/>
        <w:numFmt w:val="bullet"/>
        <w:lvlText w:val=""/>
        <w:lvlJc w:val="left"/>
        <w:pPr>
          <w:ind w:left="4536" w:hanging="360"/>
        </w:pPr>
        <w:rPr>
          <w:rFonts w:ascii="Wingdings" w:hAnsi="Wingdings" w:hint="default"/>
        </w:rPr>
      </w:lvl>
    </w:lvlOverride>
    <w:lvlOverride w:ilvl="7">
      <w:lvl w:ilvl="7">
        <w:start w:val="1"/>
        <w:numFmt w:val="bullet"/>
        <w:lvlText w:val=""/>
        <w:lvlJc w:val="left"/>
        <w:pPr>
          <w:ind w:left="4896" w:hanging="360"/>
        </w:pPr>
        <w:rPr>
          <w:rFonts w:ascii="Symbol" w:hAnsi="Symbol" w:hint="default"/>
        </w:rPr>
      </w:lvl>
    </w:lvlOverride>
    <w:lvlOverride w:ilvl="8">
      <w:lvl w:ilvl="8">
        <w:start w:val="1"/>
        <w:numFmt w:val="bullet"/>
        <w:lvlText w:val=""/>
        <w:lvlJc w:val="left"/>
        <w:pPr>
          <w:ind w:left="5256" w:hanging="360"/>
        </w:pPr>
        <w:rPr>
          <w:rFonts w:ascii="Symbol" w:hAnsi="Symbol" w:hint="default"/>
        </w:rPr>
      </w:lvl>
    </w:lvlOverride>
  </w:num>
  <w:num w:numId="14" w16cid:durableId="688485580">
    <w:abstractNumId w:val="9"/>
  </w:num>
  <w:num w:numId="15" w16cid:durableId="604967028">
    <w:abstractNumId w:val="18"/>
  </w:num>
  <w:num w:numId="16" w16cid:durableId="1641494522">
    <w:abstractNumId w:val="3"/>
  </w:num>
  <w:num w:numId="17" w16cid:durableId="1575041375">
    <w:abstractNumId w:val="0"/>
  </w:num>
  <w:num w:numId="18" w16cid:durableId="204024362">
    <w:abstractNumId w:val="11"/>
  </w:num>
  <w:num w:numId="19" w16cid:durableId="1670906848">
    <w:abstractNumId w:val="17"/>
  </w:num>
  <w:num w:numId="20" w16cid:durableId="1751190812">
    <w:abstractNumId w:val="14"/>
  </w:num>
  <w:num w:numId="21" w16cid:durableId="1620069720">
    <w:abstractNumId w:val="19"/>
  </w:num>
  <w:num w:numId="22" w16cid:durableId="2134975669">
    <w:abstractNumId w:val="20"/>
  </w:num>
  <w:num w:numId="23" w16cid:durableId="1341470677">
    <w:abstractNumId w:val="8"/>
  </w:num>
  <w:num w:numId="24" w16cid:durableId="1596477208">
    <w:abstractNumId w:val="21"/>
    <w:lvlOverride w:ilvl="0">
      <w:lvl w:ilvl="0">
        <w:start w:val="1"/>
        <w:numFmt w:val="bullet"/>
        <w:pStyle w:val="ListBullet"/>
        <w:lvlText w:val=""/>
        <w:lvlJc w:val="left"/>
        <w:pPr>
          <w:ind w:left="360" w:hanging="360"/>
        </w:pPr>
        <w:rPr>
          <w:rFonts w:ascii="Symbol" w:hAnsi="Symbol" w:hint="default"/>
          <w:color w:val="0056A9" w:themeColor="accent1"/>
        </w:rPr>
      </w:lvl>
    </w:lvlOverride>
    <w:lvlOverride w:ilvl="1">
      <w:lvl w:ilvl="1">
        <w:start w:val="1"/>
        <w:numFmt w:val="bullet"/>
        <w:lvlText w:val="o"/>
        <w:lvlJc w:val="left"/>
        <w:pPr>
          <w:ind w:left="360" w:firstLine="720"/>
        </w:pPr>
        <w:rPr>
          <w:rFonts w:ascii="Courier New" w:hAnsi="Courier New" w:hint="default"/>
          <w:color w:val="0056A9" w:themeColor="accent1"/>
        </w:rPr>
      </w:lvl>
    </w:lvlOverride>
    <w:lvlOverride w:ilvl="2">
      <w:lvl w:ilvl="2">
        <w:start w:val="1"/>
        <w:numFmt w:val="bullet"/>
        <w:lvlText w:val=""/>
        <w:lvlJc w:val="left"/>
        <w:pPr>
          <w:ind w:left="1440" w:hanging="720"/>
        </w:pPr>
        <w:rPr>
          <w:rFonts w:ascii="Wingdings" w:hAnsi="Wingdings" w:hint="default"/>
          <w:color w:val="0056A9" w:themeColor="accent1"/>
        </w:rPr>
      </w:lvl>
    </w:lvlOverride>
    <w:lvlOverride w:ilvl="3">
      <w:lvl w:ilvl="3">
        <w:start w:val="1"/>
        <w:numFmt w:val="bullet"/>
        <w:lvlText w:val=""/>
        <w:lvlJc w:val="left"/>
        <w:pPr>
          <w:ind w:left="1800" w:hanging="720"/>
        </w:pPr>
        <w:rPr>
          <w:rFonts w:ascii="Symbol" w:hAnsi="Symbol" w:hint="default"/>
          <w:color w:val="0056A9" w:themeColor="accent1"/>
        </w:rPr>
      </w:lvl>
    </w:lvlOverride>
    <w:lvlOverride w:ilvl="4">
      <w:lvl w:ilvl="4">
        <w:start w:val="1"/>
        <w:numFmt w:val="bullet"/>
        <w:lvlText w:val="°"/>
        <w:lvlJc w:val="left"/>
        <w:pPr>
          <w:ind w:left="1800" w:hanging="360"/>
        </w:pPr>
        <w:rPr>
          <w:rFonts w:ascii="Verdana" w:hAnsi="Verdana" w:hint="default"/>
          <w:color w:val="0056A9" w:themeColor="accent1"/>
        </w:rPr>
      </w:lvl>
    </w:lvlOverride>
    <w:lvlOverride w:ilvl="5">
      <w:lvl w:ilvl="5">
        <w:start w:val="1"/>
        <w:numFmt w:val="bullet"/>
        <w:lvlText w:val=""/>
        <w:lvlJc w:val="left"/>
        <w:pPr>
          <w:ind w:left="2160" w:hanging="360"/>
        </w:pPr>
        <w:rPr>
          <w:rFonts w:ascii="Wingdings" w:hAnsi="Wingdings" w:hint="default"/>
        </w:rPr>
      </w:lvl>
    </w:lvlOverride>
    <w:lvlOverride w:ilvl="6">
      <w:lvl w:ilvl="6">
        <w:start w:val="1"/>
        <w:numFmt w:val="bullet"/>
        <w:lvlText w:val=""/>
        <w:lvlJc w:val="left"/>
        <w:pPr>
          <w:ind w:left="2520" w:hanging="360"/>
        </w:pPr>
        <w:rPr>
          <w:rFonts w:ascii="Wingdings" w:hAnsi="Wingdings" w:hint="default"/>
        </w:rPr>
      </w:lvl>
    </w:lvlOverride>
    <w:lvlOverride w:ilvl="7">
      <w:lvl w:ilvl="7">
        <w:start w:val="1"/>
        <w:numFmt w:val="bullet"/>
        <w:lvlText w:val=""/>
        <w:lvlJc w:val="left"/>
        <w:pPr>
          <w:ind w:left="2880" w:hanging="360"/>
        </w:pPr>
        <w:rPr>
          <w:rFonts w:ascii="Symbol" w:hAnsi="Symbol" w:hint="default"/>
        </w:rPr>
      </w:lvl>
    </w:lvlOverride>
    <w:lvlOverride w:ilvl="8">
      <w:lvl w:ilvl="8">
        <w:start w:val="1"/>
        <w:numFmt w:val="bullet"/>
        <w:lvlText w:val=""/>
        <w:lvlJc w:val="left"/>
        <w:pPr>
          <w:ind w:left="324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linkStyle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886"/>
    <w:rsid w:val="00010FF8"/>
    <w:rsid w:val="000132E4"/>
    <w:rsid w:val="00013446"/>
    <w:rsid w:val="0003040F"/>
    <w:rsid w:val="00042206"/>
    <w:rsid w:val="00051E7A"/>
    <w:rsid w:val="0005583F"/>
    <w:rsid w:val="000725FF"/>
    <w:rsid w:val="00073C60"/>
    <w:rsid w:val="00074844"/>
    <w:rsid w:val="00075AE3"/>
    <w:rsid w:val="000940FB"/>
    <w:rsid w:val="000A04A8"/>
    <w:rsid w:val="000A5D0B"/>
    <w:rsid w:val="000A7469"/>
    <w:rsid w:val="000B2945"/>
    <w:rsid w:val="000B321B"/>
    <w:rsid w:val="000B5A5C"/>
    <w:rsid w:val="000C7AD7"/>
    <w:rsid w:val="000D00EF"/>
    <w:rsid w:val="000D7B21"/>
    <w:rsid w:val="000E0386"/>
    <w:rsid w:val="00101031"/>
    <w:rsid w:val="0010454F"/>
    <w:rsid w:val="00105532"/>
    <w:rsid w:val="001468A0"/>
    <w:rsid w:val="00146BE0"/>
    <w:rsid w:val="0015290F"/>
    <w:rsid w:val="001705BC"/>
    <w:rsid w:val="001761D7"/>
    <w:rsid w:val="00181735"/>
    <w:rsid w:val="0018272E"/>
    <w:rsid w:val="0018694B"/>
    <w:rsid w:val="00190DCD"/>
    <w:rsid w:val="00191AFD"/>
    <w:rsid w:val="00194AC4"/>
    <w:rsid w:val="001A0145"/>
    <w:rsid w:val="001A69C9"/>
    <w:rsid w:val="001B5185"/>
    <w:rsid w:val="001B6C26"/>
    <w:rsid w:val="001C3E75"/>
    <w:rsid w:val="001C4549"/>
    <w:rsid w:val="001D1D6A"/>
    <w:rsid w:val="001D3B42"/>
    <w:rsid w:val="001E5E7E"/>
    <w:rsid w:val="001F4FAC"/>
    <w:rsid w:val="002340C7"/>
    <w:rsid w:val="00234E34"/>
    <w:rsid w:val="002376C2"/>
    <w:rsid w:val="0024011B"/>
    <w:rsid w:val="002531E4"/>
    <w:rsid w:val="00273031"/>
    <w:rsid w:val="0027735F"/>
    <w:rsid w:val="002805FC"/>
    <w:rsid w:val="00284504"/>
    <w:rsid w:val="00290571"/>
    <w:rsid w:val="00290A05"/>
    <w:rsid w:val="00292C17"/>
    <w:rsid w:val="002934DC"/>
    <w:rsid w:val="00294D7C"/>
    <w:rsid w:val="002A05A5"/>
    <w:rsid w:val="002A12D5"/>
    <w:rsid w:val="002A5571"/>
    <w:rsid w:val="002A75F2"/>
    <w:rsid w:val="002B1115"/>
    <w:rsid w:val="002B69EC"/>
    <w:rsid w:val="002C17F8"/>
    <w:rsid w:val="002C57BC"/>
    <w:rsid w:val="002D0309"/>
    <w:rsid w:val="002D4270"/>
    <w:rsid w:val="002F746B"/>
    <w:rsid w:val="003000DF"/>
    <w:rsid w:val="0030094E"/>
    <w:rsid w:val="00300FA7"/>
    <w:rsid w:val="00305001"/>
    <w:rsid w:val="00305F76"/>
    <w:rsid w:val="0032481A"/>
    <w:rsid w:val="00326888"/>
    <w:rsid w:val="00332E4F"/>
    <w:rsid w:val="003419DA"/>
    <w:rsid w:val="003629A9"/>
    <w:rsid w:val="00380DA0"/>
    <w:rsid w:val="003A375A"/>
    <w:rsid w:val="003A504F"/>
    <w:rsid w:val="003A5E23"/>
    <w:rsid w:val="003B2B5D"/>
    <w:rsid w:val="003D1552"/>
    <w:rsid w:val="003D41C5"/>
    <w:rsid w:val="003D6291"/>
    <w:rsid w:val="003E1328"/>
    <w:rsid w:val="003F3CC1"/>
    <w:rsid w:val="004112F8"/>
    <w:rsid w:val="0042061E"/>
    <w:rsid w:val="00422704"/>
    <w:rsid w:val="00427DBB"/>
    <w:rsid w:val="00437A34"/>
    <w:rsid w:val="00441D99"/>
    <w:rsid w:val="0045062D"/>
    <w:rsid w:val="00456B53"/>
    <w:rsid w:val="004863C2"/>
    <w:rsid w:val="00487276"/>
    <w:rsid w:val="004A1071"/>
    <w:rsid w:val="004B325C"/>
    <w:rsid w:val="004C3A88"/>
    <w:rsid w:val="004D4CDC"/>
    <w:rsid w:val="004E496F"/>
    <w:rsid w:val="004E7B23"/>
    <w:rsid w:val="004F697B"/>
    <w:rsid w:val="00501A04"/>
    <w:rsid w:val="005022CE"/>
    <w:rsid w:val="005456F3"/>
    <w:rsid w:val="005555C5"/>
    <w:rsid w:val="00581867"/>
    <w:rsid w:val="005902BC"/>
    <w:rsid w:val="00592FDC"/>
    <w:rsid w:val="005962B6"/>
    <w:rsid w:val="005A2EF2"/>
    <w:rsid w:val="005B233F"/>
    <w:rsid w:val="005B4F71"/>
    <w:rsid w:val="005D35F1"/>
    <w:rsid w:val="005D638D"/>
    <w:rsid w:val="005D6FD8"/>
    <w:rsid w:val="005E451D"/>
    <w:rsid w:val="006125F2"/>
    <w:rsid w:val="00624C21"/>
    <w:rsid w:val="006258E9"/>
    <w:rsid w:val="00626A92"/>
    <w:rsid w:val="00640ADD"/>
    <w:rsid w:val="0064565C"/>
    <w:rsid w:val="00687A4D"/>
    <w:rsid w:val="006950F1"/>
    <w:rsid w:val="00695F01"/>
    <w:rsid w:val="006B1D34"/>
    <w:rsid w:val="006B34EF"/>
    <w:rsid w:val="006B49EE"/>
    <w:rsid w:val="006C38BC"/>
    <w:rsid w:val="006F47C5"/>
    <w:rsid w:val="0070413E"/>
    <w:rsid w:val="00711832"/>
    <w:rsid w:val="0072002A"/>
    <w:rsid w:val="007414D4"/>
    <w:rsid w:val="00744AA4"/>
    <w:rsid w:val="007524CB"/>
    <w:rsid w:val="00756B8F"/>
    <w:rsid w:val="00763838"/>
    <w:rsid w:val="00767521"/>
    <w:rsid w:val="00771021"/>
    <w:rsid w:val="00781A58"/>
    <w:rsid w:val="00791127"/>
    <w:rsid w:val="007A3B26"/>
    <w:rsid w:val="007B00A8"/>
    <w:rsid w:val="007C06C2"/>
    <w:rsid w:val="007E4B7F"/>
    <w:rsid w:val="00826B94"/>
    <w:rsid w:val="00852769"/>
    <w:rsid w:val="008557A9"/>
    <w:rsid w:val="00864F07"/>
    <w:rsid w:val="0086528F"/>
    <w:rsid w:val="0087110F"/>
    <w:rsid w:val="00885A03"/>
    <w:rsid w:val="008905E4"/>
    <w:rsid w:val="00893375"/>
    <w:rsid w:val="00894429"/>
    <w:rsid w:val="008B49EB"/>
    <w:rsid w:val="008B6288"/>
    <w:rsid w:val="008E61AD"/>
    <w:rsid w:val="008E6E9E"/>
    <w:rsid w:val="00900F14"/>
    <w:rsid w:val="00915FFB"/>
    <w:rsid w:val="009160AB"/>
    <w:rsid w:val="0091704D"/>
    <w:rsid w:val="00917F65"/>
    <w:rsid w:val="009230DF"/>
    <w:rsid w:val="00923910"/>
    <w:rsid w:val="009260DC"/>
    <w:rsid w:val="00955095"/>
    <w:rsid w:val="00967F5A"/>
    <w:rsid w:val="00976A16"/>
    <w:rsid w:val="0099297E"/>
    <w:rsid w:val="009929F8"/>
    <w:rsid w:val="00995A37"/>
    <w:rsid w:val="009B0174"/>
    <w:rsid w:val="009B4CAD"/>
    <w:rsid w:val="009C6226"/>
    <w:rsid w:val="009F72F5"/>
    <w:rsid w:val="00A07068"/>
    <w:rsid w:val="00A07348"/>
    <w:rsid w:val="00A134E7"/>
    <w:rsid w:val="00A166DE"/>
    <w:rsid w:val="00A22F82"/>
    <w:rsid w:val="00A328C3"/>
    <w:rsid w:val="00A44609"/>
    <w:rsid w:val="00A47D0D"/>
    <w:rsid w:val="00A517D8"/>
    <w:rsid w:val="00A70747"/>
    <w:rsid w:val="00A71049"/>
    <w:rsid w:val="00A8298C"/>
    <w:rsid w:val="00A858D7"/>
    <w:rsid w:val="00AC3C94"/>
    <w:rsid w:val="00AD4351"/>
    <w:rsid w:val="00AE1A16"/>
    <w:rsid w:val="00AF1071"/>
    <w:rsid w:val="00AF5935"/>
    <w:rsid w:val="00B05737"/>
    <w:rsid w:val="00B10720"/>
    <w:rsid w:val="00B14A31"/>
    <w:rsid w:val="00B20CD4"/>
    <w:rsid w:val="00B2403F"/>
    <w:rsid w:val="00B406D5"/>
    <w:rsid w:val="00B54043"/>
    <w:rsid w:val="00B55323"/>
    <w:rsid w:val="00B63CB8"/>
    <w:rsid w:val="00B74F2C"/>
    <w:rsid w:val="00B759AA"/>
    <w:rsid w:val="00B84690"/>
    <w:rsid w:val="00B85D46"/>
    <w:rsid w:val="00B86214"/>
    <w:rsid w:val="00B878CC"/>
    <w:rsid w:val="00B900B0"/>
    <w:rsid w:val="00BA1A8C"/>
    <w:rsid w:val="00BC355D"/>
    <w:rsid w:val="00BC7A84"/>
    <w:rsid w:val="00BD2218"/>
    <w:rsid w:val="00BD7E0B"/>
    <w:rsid w:val="00C02127"/>
    <w:rsid w:val="00C10F1E"/>
    <w:rsid w:val="00C141A7"/>
    <w:rsid w:val="00C16EAF"/>
    <w:rsid w:val="00C27E67"/>
    <w:rsid w:val="00C31BC5"/>
    <w:rsid w:val="00C575AE"/>
    <w:rsid w:val="00C65287"/>
    <w:rsid w:val="00C6706D"/>
    <w:rsid w:val="00C75AB3"/>
    <w:rsid w:val="00C923ED"/>
    <w:rsid w:val="00C9773A"/>
    <w:rsid w:val="00CB2FFC"/>
    <w:rsid w:val="00CC00DC"/>
    <w:rsid w:val="00CD011E"/>
    <w:rsid w:val="00CE2B96"/>
    <w:rsid w:val="00CE6274"/>
    <w:rsid w:val="00CE6A5A"/>
    <w:rsid w:val="00CF0FA4"/>
    <w:rsid w:val="00D058C9"/>
    <w:rsid w:val="00D07333"/>
    <w:rsid w:val="00D07BCD"/>
    <w:rsid w:val="00D11322"/>
    <w:rsid w:val="00D24E19"/>
    <w:rsid w:val="00D3274B"/>
    <w:rsid w:val="00D37938"/>
    <w:rsid w:val="00D406A3"/>
    <w:rsid w:val="00D4473A"/>
    <w:rsid w:val="00D46BC3"/>
    <w:rsid w:val="00D52D93"/>
    <w:rsid w:val="00D641FB"/>
    <w:rsid w:val="00D76F3B"/>
    <w:rsid w:val="00D77EA8"/>
    <w:rsid w:val="00D840FE"/>
    <w:rsid w:val="00D87291"/>
    <w:rsid w:val="00D91FBE"/>
    <w:rsid w:val="00DA393B"/>
    <w:rsid w:val="00DB6A6F"/>
    <w:rsid w:val="00DC6B0B"/>
    <w:rsid w:val="00DD0886"/>
    <w:rsid w:val="00DD5129"/>
    <w:rsid w:val="00DE58CF"/>
    <w:rsid w:val="00DE6ED5"/>
    <w:rsid w:val="00DF6EF5"/>
    <w:rsid w:val="00DF7C2B"/>
    <w:rsid w:val="00E047F8"/>
    <w:rsid w:val="00E04EB5"/>
    <w:rsid w:val="00E060F4"/>
    <w:rsid w:val="00E15D9F"/>
    <w:rsid w:val="00E302A4"/>
    <w:rsid w:val="00E33825"/>
    <w:rsid w:val="00E47D85"/>
    <w:rsid w:val="00E50774"/>
    <w:rsid w:val="00E610DC"/>
    <w:rsid w:val="00E75EDD"/>
    <w:rsid w:val="00E80594"/>
    <w:rsid w:val="00E83835"/>
    <w:rsid w:val="00E84E72"/>
    <w:rsid w:val="00EA5454"/>
    <w:rsid w:val="00EB0613"/>
    <w:rsid w:val="00EB3752"/>
    <w:rsid w:val="00ED20AC"/>
    <w:rsid w:val="00EE1B51"/>
    <w:rsid w:val="00EE5A53"/>
    <w:rsid w:val="00EE6DDC"/>
    <w:rsid w:val="00EF7847"/>
    <w:rsid w:val="00F11034"/>
    <w:rsid w:val="00F21164"/>
    <w:rsid w:val="00F22C28"/>
    <w:rsid w:val="00F26D97"/>
    <w:rsid w:val="00F34B67"/>
    <w:rsid w:val="00F35F29"/>
    <w:rsid w:val="00F44653"/>
    <w:rsid w:val="00F53357"/>
    <w:rsid w:val="00F60E58"/>
    <w:rsid w:val="00F63F58"/>
    <w:rsid w:val="00F8718F"/>
    <w:rsid w:val="00FA2FD3"/>
    <w:rsid w:val="00FA3349"/>
    <w:rsid w:val="00FB2FFC"/>
    <w:rsid w:val="00FB3F6D"/>
    <w:rsid w:val="00FB67EB"/>
    <w:rsid w:val="00FC4A49"/>
    <w:rsid w:val="00FE4D24"/>
    <w:rsid w:val="00FF2998"/>
    <w:rsid w:val="00FF4496"/>
    <w:rsid w:val="016BE69C"/>
    <w:rsid w:val="25141F36"/>
    <w:rsid w:val="2A2EAC7F"/>
    <w:rsid w:val="3B10C857"/>
    <w:rsid w:val="3BFE74A8"/>
    <w:rsid w:val="416F41C8"/>
    <w:rsid w:val="452B46C8"/>
    <w:rsid w:val="509FA32F"/>
    <w:rsid w:val="595A1EA0"/>
    <w:rsid w:val="72E6C6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D3399"/>
  <w15:chartTrackingRefBased/>
  <w15:docId w15:val="{351C97AA-489C-4F5C-A7CA-7EE5F12D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95F01"/>
    <w:pPr>
      <w:keepNext/>
      <w:keepLines/>
      <w:spacing w:after="100" w:line="360" w:lineRule="auto"/>
    </w:pPr>
    <w:rPr>
      <w:szCs w:val="20"/>
    </w:rPr>
  </w:style>
  <w:style w:type="paragraph" w:styleId="Heading1">
    <w:name w:val="heading 1"/>
    <w:aliases w:val="No cover page"/>
    <w:basedOn w:val="Heading2"/>
    <w:next w:val="Normal"/>
    <w:link w:val="Heading1Char"/>
    <w:uiPriority w:val="9"/>
    <w:qFormat/>
    <w:rsid w:val="00695F01"/>
    <w:pPr>
      <w:outlineLvl w:val="0"/>
    </w:pPr>
    <w:rPr>
      <w:sz w:val="40"/>
      <w:szCs w:val="40"/>
    </w:rPr>
  </w:style>
  <w:style w:type="paragraph" w:styleId="Heading2">
    <w:name w:val="heading 2"/>
    <w:next w:val="Normal"/>
    <w:link w:val="Heading2Char"/>
    <w:uiPriority w:val="9"/>
    <w:unhideWhenUsed/>
    <w:qFormat/>
    <w:rsid w:val="00695F01"/>
    <w:pPr>
      <w:keepNext/>
      <w:keepLines/>
      <w:widowControl w:val="0"/>
      <w:spacing w:before="100" w:after="100" w:line="360" w:lineRule="auto"/>
      <w:outlineLvl w:val="1"/>
    </w:pPr>
    <w:rPr>
      <w:rFonts w:asciiTheme="majorHAnsi" w:hAnsiTheme="majorHAnsi"/>
      <w:b/>
      <w:color w:val="0056A9"/>
      <w:sz w:val="36"/>
      <w:szCs w:val="36"/>
    </w:rPr>
  </w:style>
  <w:style w:type="paragraph" w:styleId="Heading3">
    <w:name w:val="heading 3"/>
    <w:next w:val="Normal"/>
    <w:link w:val="Heading3Char"/>
    <w:uiPriority w:val="9"/>
    <w:unhideWhenUsed/>
    <w:qFormat/>
    <w:rsid w:val="00695F01"/>
    <w:pPr>
      <w:keepNext/>
      <w:keepLines/>
      <w:widowControl w:val="0"/>
      <w:spacing w:before="100" w:after="100" w:line="360" w:lineRule="auto"/>
      <w:ind w:left="360"/>
      <w:outlineLvl w:val="2"/>
    </w:pPr>
    <w:rPr>
      <w:rFonts w:asciiTheme="majorHAnsi" w:eastAsiaTheme="majorEastAsia" w:hAnsiTheme="majorHAnsi" w:cstheme="majorBidi"/>
      <w:b/>
      <w:color w:val="002E69"/>
      <w:sz w:val="32"/>
      <w:szCs w:val="32"/>
    </w:rPr>
  </w:style>
  <w:style w:type="paragraph" w:styleId="Heading4">
    <w:name w:val="heading 4"/>
    <w:basedOn w:val="Normal"/>
    <w:next w:val="Normal"/>
    <w:link w:val="Heading4Char"/>
    <w:uiPriority w:val="9"/>
    <w:unhideWhenUsed/>
    <w:qFormat/>
    <w:rsid w:val="00695F01"/>
    <w:pPr>
      <w:widowControl w:val="0"/>
      <w:ind w:left="720"/>
      <w:outlineLvl w:val="3"/>
    </w:pPr>
    <w:rPr>
      <w:rFonts w:asciiTheme="majorHAnsi" w:hAnsiTheme="majorHAnsi"/>
      <w:b/>
      <w:i/>
      <w:iCs/>
      <w:color w:val="0056A9"/>
      <w:sz w:val="28"/>
      <w:szCs w:val="28"/>
      <w14:textFill>
        <w14:solidFill>
          <w14:srgbClr w14:val="0056A9">
            <w14:lumMod w14:val="75000"/>
          </w14:srgbClr>
        </w14:solidFill>
      </w14:textFill>
    </w:rPr>
  </w:style>
  <w:style w:type="paragraph" w:styleId="Heading5">
    <w:name w:val="heading 5"/>
    <w:basedOn w:val="Heading4"/>
    <w:next w:val="Normal"/>
    <w:link w:val="Heading5Char"/>
    <w:uiPriority w:val="9"/>
    <w:unhideWhenUsed/>
    <w:qFormat/>
    <w:rsid w:val="00695F01"/>
    <w:pPr>
      <w:ind w:left="1080"/>
      <w:outlineLvl w:val="4"/>
    </w:pPr>
    <w:rPr>
      <w:color w:val="003F7E" w:themeColor="accent1" w:themeShade="BF"/>
      <w:sz w:val="26"/>
      <w:szCs w:val="26"/>
    </w:rPr>
  </w:style>
  <w:style w:type="paragraph" w:styleId="Heading6">
    <w:name w:val="heading 6"/>
    <w:next w:val="Normal"/>
    <w:link w:val="Heading6Char"/>
    <w:uiPriority w:val="9"/>
    <w:unhideWhenUsed/>
    <w:rsid w:val="00695F01"/>
    <w:pPr>
      <w:spacing w:after="120" w:line="360" w:lineRule="auto"/>
      <w:outlineLvl w:val="5"/>
    </w:pPr>
    <w:rPr>
      <w:rFonts w:asciiTheme="majorHAnsi" w:hAnsiTheme="majorHAnsi"/>
      <w:b/>
      <w:bCs/>
      <w:iCs/>
      <w:color w:val="0056A9" w:themeColor="accent1"/>
    </w:rPr>
  </w:style>
  <w:style w:type="paragraph" w:styleId="Heading7">
    <w:name w:val="heading 7"/>
    <w:basedOn w:val="TOCHeading"/>
    <w:next w:val="Normal"/>
    <w:link w:val="Heading7Char"/>
    <w:uiPriority w:val="9"/>
    <w:unhideWhenUsed/>
    <w:rsid w:val="00695F01"/>
    <w:pPr>
      <w:outlineLvl w:val="6"/>
    </w:pPr>
    <w:rPr>
      <w:sz w:val="24"/>
    </w:rPr>
  </w:style>
  <w:style w:type="paragraph" w:styleId="Heading8">
    <w:name w:val="heading 8"/>
    <w:basedOn w:val="Normal"/>
    <w:next w:val="Normal"/>
    <w:link w:val="Heading8Char"/>
    <w:uiPriority w:val="9"/>
    <w:semiHidden/>
    <w:unhideWhenUsed/>
    <w:qFormat/>
    <w:rsid w:val="00695F01"/>
    <w:p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5F01"/>
    <w:p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F63F58"/>
    <w:rPr>
      <w:color w:val="000000" w:themeColor="text1"/>
      <w:sz w:val="20"/>
    </w:rPr>
  </w:style>
  <w:style w:type="character" w:customStyle="1" w:styleId="Heading1Char">
    <w:name w:val="Heading 1 Char"/>
    <w:aliases w:val="No cover page Char"/>
    <w:basedOn w:val="DefaultParagraphFont"/>
    <w:link w:val="Heading1"/>
    <w:uiPriority w:val="9"/>
    <w:rsid w:val="00695F01"/>
    <w:rPr>
      <w:rFonts w:asciiTheme="majorHAnsi" w:hAnsiTheme="majorHAnsi"/>
      <w:b/>
      <w:color w:val="0056A9"/>
      <w:sz w:val="40"/>
      <w:szCs w:val="40"/>
    </w:rPr>
  </w:style>
  <w:style w:type="character" w:customStyle="1" w:styleId="Heading2Char">
    <w:name w:val="Heading 2 Char"/>
    <w:basedOn w:val="DefaultParagraphFont"/>
    <w:link w:val="Heading2"/>
    <w:uiPriority w:val="9"/>
    <w:rsid w:val="00695F01"/>
    <w:rPr>
      <w:rFonts w:asciiTheme="majorHAnsi" w:hAnsiTheme="majorHAnsi"/>
      <w:b/>
      <w:color w:val="0056A9"/>
      <w:sz w:val="36"/>
      <w:szCs w:val="36"/>
    </w:rPr>
  </w:style>
  <w:style w:type="paragraph" w:styleId="ListParagraph">
    <w:name w:val="List Paragraph"/>
    <w:basedOn w:val="Normal"/>
    <w:uiPriority w:val="34"/>
    <w:qFormat/>
    <w:rsid w:val="00695F01"/>
    <w:pPr>
      <w:ind w:left="540"/>
    </w:pPr>
  </w:style>
  <w:style w:type="paragraph" w:styleId="Header">
    <w:name w:val="header"/>
    <w:basedOn w:val="Normal"/>
    <w:link w:val="HeaderChar"/>
    <w:uiPriority w:val="99"/>
    <w:unhideWhenUsed/>
    <w:rsid w:val="00695F01"/>
    <w:pPr>
      <w:tabs>
        <w:tab w:val="center" w:pos="4680"/>
        <w:tab w:val="right" w:pos="10710"/>
      </w:tabs>
    </w:pPr>
  </w:style>
  <w:style w:type="character" w:customStyle="1" w:styleId="HeaderChar">
    <w:name w:val="Header Char"/>
    <w:basedOn w:val="DefaultParagraphFont"/>
    <w:link w:val="Header"/>
    <w:uiPriority w:val="99"/>
    <w:rsid w:val="00695F01"/>
    <w:rPr>
      <w:szCs w:val="20"/>
    </w:rPr>
  </w:style>
  <w:style w:type="paragraph" w:styleId="Footer">
    <w:name w:val="footer"/>
    <w:basedOn w:val="Normal"/>
    <w:link w:val="FooterChar"/>
    <w:uiPriority w:val="99"/>
    <w:unhideWhenUsed/>
    <w:rsid w:val="00695F01"/>
    <w:pPr>
      <w:tabs>
        <w:tab w:val="center" w:pos="4680"/>
        <w:tab w:val="right" w:pos="10800"/>
      </w:tabs>
      <w:spacing w:before="360" w:line="240" w:lineRule="auto"/>
    </w:pPr>
    <w:rPr>
      <w:noProof/>
      <w:color w:val="0056A9" w:themeColor="accent1"/>
    </w:rPr>
  </w:style>
  <w:style w:type="character" w:customStyle="1" w:styleId="FooterChar">
    <w:name w:val="Footer Char"/>
    <w:basedOn w:val="DefaultParagraphFont"/>
    <w:link w:val="Footer"/>
    <w:uiPriority w:val="99"/>
    <w:rsid w:val="00695F01"/>
    <w:rPr>
      <w:noProof/>
      <w:color w:val="0056A9" w:themeColor="accent1"/>
      <w:szCs w:val="20"/>
    </w:rPr>
  </w:style>
  <w:style w:type="character" w:customStyle="1" w:styleId="Heading3Char">
    <w:name w:val="Heading 3 Char"/>
    <w:basedOn w:val="DefaultParagraphFont"/>
    <w:link w:val="Heading3"/>
    <w:uiPriority w:val="9"/>
    <w:rsid w:val="00695F01"/>
    <w:rPr>
      <w:rFonts w:asciiTheme="majorHAnsi" w:eastAsiaTheme="majorEastAsia" w:hAnsiTheme="majorHAnsi" w:cstheme="majorBidi"/>
      <w:b/>
      <w:color w:val="002E69"/>
      <w:sz w:val="32"/>
      <w:szCs w:val="32"/>
    </w:rPr>
  </w:style>
  <w:style w:type="character" w:customStyle="1" w:styleId="Heading4Char">
    <w:name w:val="Heading 4 Char"/>
    <w:basedOn w:val="DefaultParagraphFont"/>
    <w:link w:val="Heading4"/>
    <w:uiPriority w:val="9"/>
    <w:rsid w:val="00695F01"/>
    <w:rPr>
      <w:rFonts w:asciiTheme="majorHAnsi" w:hAnsiTheme="majorHAnsi"/>
      <w:b/>
      <w:i/>
      <w:iCs/>
      <w:color w:val="0056A9"/>
      <w:sz w:val="28"/>
      <w:szCs w:val="28"/>
      <w14:textFill>
        <w14:solidFill>
          <w14:srgbClr w14:val="0056A9">
            <w14:lumMod w14:val="75000"/>
          </w14:srgbClr>
        </w14:solidFill>
      </w14:textFill>
    </w:rPr>
  </w:style>
  <w:style w:type="paragraph" w:styleId="ListBullet">
    <w:name w:val="List Bullet"/>
    <w:next w:val="Normal"/>
    <w:uiPriority w:val="1"/>
    <w:qFormat/>
    <w:rsid w:val="00695F01"/>
    <w:pPr>
      <w:keepNext/>
      <w:keepLines/>
      <w:numPr>
        <w:numId w:val="24"/>
      </w:numPr>
      <w:tabs>
        <w:tab w:val="num" w:pos="1080"/>
      </w:tabs>
      <w:spacing w:before="200" w:after="200" w:line="360" w:lineRule="auto"/>
      <w:ind w:left="1368" w:hanging="288"/>
      <w:contextualSpacing/>
    </w:pPr>
    <w:rPr>
      <w:rFonts w:ascii="Verdana" w:eastAsia="MS Mincho" w:hAnsi="Verdana" w:cs="Times New Roman"/>
      <w:color w:val="000000"/>
      <w:kern w:val="0"/>
      <w:szCs w:val="22"/>
      <w14:ligatures w14:val="none"/>
    </w:rPr>
  </w:style>
  <w:style w:type="paragraph" w:styleId="FootnoteText">
    <w:name w:val="footnote text"/>
    <w:basedOn w:val="Normal"/>
    <w:link w:val="FootnoteTextChar"/>
    <w:uiPriority w:val="99"/>
    <w:semiHidden/>
    <w:unhideWhenUsed/>
    <w:rsid w:val="005456F3"/>
    <w:pPr>
      <w:spacing w:after="0" w:line="240" w:lineRule="auto"/>
    </w:pPr>
    <w:rPr>
      <w:rFonts w:ascii="Arial" w:hAnsi="Arial"/>
      <w:kern w:val="0"/>
      <w:sz w:val="20"/>
      <w14:ligatures w14:val="none"/>
    </w:rPr>
  </w:style>
  <w:style w:type="character" w:customStyle="1" w:styleId="FootnoteTextChar">
    <w:name w:val="Footnote Text Char"/>
    <w:basedOn w:val="DefaultParagraphFont"/>
    <w:link w:val="FootnoteText"/>
    <w:uiPriority w:val="99"/>
    <w:semiHidden/>
    <w:rsid w:val="005456F3"/>
    <w:rPr>
      <w:rFonts w:ascii="Arial" w:hAnsi="Arial"/>
      <w:kern w:val="0"/>
      <w:sz w:val="20"/>
      <w:szCs w:val="20"/>
      <w14:ligatures w14:val="none"/>
    </w:rPr>
  </w:style>
  <w:style w:type="character" w:styleId="FootnoteReference">
    <w:name w:val="footnote reference"/>
    <w:basedOn w:val="DefaultParagraphFont"/>
    <w:uiPriority w:val="99"/>
    <w:semiHidden/>
    <w:unhideWhenUsed/>
    <w:rsid w:val="00695F01"/>
    <w:rPr>
      <w:vertAlign w:val="superscript"/>
    </w:rPr>
  </w:style>
  <w:style w:type="character" w:styleId="Hyperlink">
    <w:name w:val="Hyperlink"/>
    <w:basedOn w:val="DefaultParagraphFont"/>
    <w:uiPriority w:val="99"/>
    <w:rsid w:val="00695F01"/>
    <w:rPr>
      <w:rFonts w:cs="Times New Roman"/>
      <w:color w:val="0056A9" w:themeColor="accent1"/>
      <w:u w:val="single"/>
    </w:rPr>
  </w:style>
  <w:style w:type="table" w:styleId="TableGrid">
    <w:name w:val="Table Grid"/>
    <w:basedOn w:val="TableNormal"/>
    <w:uiPriority w:val="39"/>
    <w:rsid w:val="00695F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695F01"/>
    <w:tblPr>
      <w:tblStyleRowBandSize w:val="1"/>
      <w:tblStyleColBandSize w:val="1"/>
      <w:tblBorders>
        <w:top w:val="single" w:sz="4" w:space="0" w:color="0056A9" w:themeColor="accent1"/>
        <w:left w:val="single" w:sz="4" w:space="0" w:color="0056A9" w:themeColor="accent1"/>
        <w:bottom w:val="single" w:sz="4" w:space="0" w:color="0056A9" w:themeColor="accent1"/>
        <w:right w:val="single" w:sz="4" w:space="0" w:color="0056A9" w:themeColor="accent1"/>
      </w:tblBorders>
    </w:tblPr>
    <w:tblStylePr w:type="firstRow">
      <w:rPr>
        <w:b/>
        <w:bCs/>
        <w:color w:val="FFFFFF" w:themeColor="background1"/>
      </w:rPr>
      <w:tblPr/>
      <w:tcPr>
        <w:shd w:val="clear" w:color="auto" w:fill="0056A9" w:themeFill="accent1"/>
      </w:tcPr>
    </w:tblStylePr>
    <w:tblStylePr w:type="lastRow">
      <w:rPr>
        <w:b/>
        <w:bCs/>
      </w:rPr>
      <w:tblPr/>
      <w:tcPr>
        <w:tcBorders>
          <w:top w:val="double" w:sz="4" w:space="0" w:color="0056A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6A9" w:themeColor="accent1"/>
          <w:right w:val="single" w:sz="4" w:space="0" w:color="0056A9" w:themeColor="accent1"/>
        </w:tcBorders>
      </w:tcPr>
    </w:tblStylePr>
    <w:tblStylePr w:type="band1Horz">
      <w:tblPr/>
      <w:tcPr>
        <w:tcBorders>
          <w:top w:val="single" w:sz="4" w:space="0" w:color="0056A9" w:themeColor="accent1"/>
          <w:bottom w:val="single" w:sz="4" w:space="0" w:color="0056A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6A9" w:themeColor="accent1"/>
          <w:left w:val="nil"/>
        </w:tcBorders>
      </w:tcPr>
    </w:tblStylePr>
    <w:tblStylePr w:type="swCell">
      <w:tblPr/>
      <w:tcPr>
        <w:tcBorders>
          <w:top w:val="double" w:sz="4" w:space="0" w:color="0056A9" w:themeColor="accent1"/>
          <w:right w:val="nil"/>
        </w:tcBorders>
      </w:tcPr>
    </w:tblStylePr>
  </w:style>
  <w:style w:type="table" w:customStyle="1" w:styleId="ATFTxDOTTable">
    <w:name w:val="ATF TxDOT Table"/>
    <w:basedOn w:val="TableNormal"/>
    <w:uiPriority w:val="99"/>
    <w:rsid w:val="00695F01"/>
    <w:rPr>
      <w:color w:val="0056A9"/>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tcPr>
      <w:shd w:val="clear" w:color="auto" w:fill="000000" w:themeFill="text1"/>
      <w:vAlign w:val="center"/>
    </w:tcPr>
    <w:tblStylePr w:type="firstRow">
      <w:rPr>
        <w:b/>
        <w:color w:val="FFFFFF" w:themeColor="background1"/>
      </w:rPr>
      <w:tblPr/>
      <w:tcPr>
        <w:shd w:val="clear" w:color="auto" w:fill="0056A9" w:themeFill="accent1"/>
      </w:tcPr>
    </w:tblStylePr>
    <w:tblStylePr w:type="band1Horz">
      <w:tblPr/>
      <w:tcPr>
        <w:shd w:val="clear" w:color="auto" w:fill="FFFFFF" w:themeFill="background1"/>
      </w:tcPr>
    </w:tblStylePr>
    <w:tblStylePr w:type="band2Horz">
      <w:tblPr/>
      <w:tcPr>
        <w:shd w:val="clear" w:color="auto" w:fill="DADEE5"/>
      </w:tcPr>
    </w:tblStylePr>
  </w:style>
  <w:style w:type="paragraph" w:styleId="Caption">
    <w:name w:val="caption"/>
    <w:basedOn w:val="Normal"/>
    <w:next w:val="Normal"/>
    <w:uiPriority w:val="35"/>
    <w:unhideWhenUsed/>
    <w:rsid w:val="00695F01"/>
    <w:pPr>
      <w:spacing w:after="200" w:line="240" w:lineRule="auto"/>
    </w:pPr>
    <w:rPr>
      <w:i/>
      <w:iCs/>
      <w:color w:val="000000" w:themeColor="text2"/>
      <w:sz w:val="18"/>
      <w:szCs w:val="18"/>
    </w:rPr>
  </w:style>
  <w:style w:type="character" w:customStyle="1" w:styleId="Heading5Char">
    <w:name w:val="Heading 5 Char"/>
    <w:basedOn w:val="DefaultParagraphFont"/>
    <w:link w:val="Heading5"/>
    <w:uiPriority w:val="9"/>
    <w:rsid w:val="00695F01"/>
    <w:rPr>
      <w:rFonts w:asciiTheme="majorHAnsi" w:hAnsiTheme="majorHAnsi"/>
      <w:b/>
      <w:i/>
      <w:iCs/>
      <w:color w:val="003F7E" w:themeColor="accent1" w:themeShade="BF"/>
      <w:sz w:val="26"/>
      <w:szCs w:val="26"/>
    </w:rPr>
  </w:style>
  <w:style w:type="character" w:customStyle="1" w:styleId="Heading6Char">
    <w:name w:val="Heading 6 Char"/>
    <w:basedOn w:val="DefaultParagraphFont"/>
    <w:link w:val="Heading6"/>
    <w:uiPriority w:val="9"/>
    <w:rsid w:val="00695F01"/>
    <w:rPr>
      <w:rFonts w:asciiTheme="majorHAnsi" w:hAnsiTheme="majorHAnsi"/>
      <w:b/>
      <w:bCs/>
      <w:iCs/>
      <w:color w:val="0056A9" w:themeColor="accent1"/>
    </w:rPr>
  </w:style>
  <w:style w:type="character" w:customStyle="1" w:styleId="Heading7Char">
    <w:name w:val="Heading 7 Char"/>
    <w:basedOn w:val="DefaultParagraphFont"/>
    <w:link w:val="Heading7"/>
    <w:uiPriority w:val="9"/>
    <w:rsid w:val="00695F01"/>
    <w:rPr>
      <w:rFonts w:asciiTheme="majorHAnsi" w:hAnsiTheme="majorHAnsi"/>
      <w:b/>
      <w:color w:val="0056A9" w:themeColor="accent1"/>
      <w:kern w:val="0"/>
      <w:szCs w:val="32"/>
      <w14:ligatures w14:val="none"/>
    </w:rPr>
  </w:style>
  <w:style w:type="character" w:customStyle="1" w:styleId="Heading8Char">
    <w:name w:val="Heading 8 Char"/>
    <w:basedOn w:val="DefaultParagraphFont"/>
    <w:link w:val="Heading8"/>
    <w:uiPriority w:val="9"/>
    <w:semiHidden/>
    <w:rsid w:val="00695F01"/>
    <w:rPr>
      <w:rFonts w:eastAsiaTheme="majorEastAsia" w:cstheme="majorBidi"/>
      <w:i/>
      <w:iCs/>
      <w:color w:val="272727" w:themeColor="text1" w:themeTint="D8"/>
      <w:szCs w:val="20"/>
    </w:rPr>
  </w:style>
  <w:style w:type="character" w:customStyle="1" w:styleId="Heading9Char">
    <w:name w:val="Heading 9 Char"/>
    <w:basedOn w:val="DefaultParagraphFont"/>
    <w:link w:val="Heading9"/>
    <w:uiPriority w:val="9"/>
    <w:semiHidden/>
    <w:rsid w:val="00695F01"/>
    <w:rPr>
      <w:rFonts w:eastAsiaTheme="majorEastAsia" w:cstheme="majorBidi"/>
      <w:color w:val="272727" w:themeColor="text1" w:themeTint="D8"/>
      <w:szCs w:val="20"/>
    </w:rPr>
  </w:style>
  <w:style w:type="paragraph" w:customStyle="1" w:styleId="Footnote">
    <w:name w:val="Footnote"/>
    <w:basedOn w:val="Normal"/>
    <w:rsid w:val="00695F01"/>
    <w:rPr>
      <w:szCs w:val="24"/>
    </w:rPr>
  </w:style>
  <w:style w:type="table" w:customStyle="1" w:styleId="DSTxDOTTable">
    <w:name w:val="DS TxDOT Table"/>
    <w:basedOn w:val="TableNormal"/>
    <w:uiPriority w:val="99"/>
    <w:rsid w:val="00695F01"/>
    <w:rPr>
      <w:kern w:val="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rPr>
      <w:cantSplit/>
    </w:trPr>
    <w:tcPr>
      <w:tcMar>
        <w:left w:w="58" w:type="dxa"/>
      </w:tcMar>
      <w:vAlign w:val="center"/>
    </w:tcPr>
    <w:tblStylePr w:type="firstRow">
      <w:rPr>
        <w:rFonts w:ascii="Verdana" w:hAnsi="Verdana"/>
        <w:b/>
        <w:color w:val="FFFFFF" w:themeColor="background1"/>
        <w:sz w:val="24"/>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0056A9" w:themeFill="accent1"/>
      </w:tcPr>
    </w:tblStylePr>
    <w:tblStylePr w:type="band1Horz">
      <w:tblPr/>
      <w:tcPr>
        <w:shd w:val="clear" w:color="auto" w:fill="FFFFFF" w:themeFill="background1"/>
      </w:tcPr>
    </w:tblStylePr>
    <w:tblStylePr w:type="band2Horz">
      <w:tblPr/>
      <w:tcPr>
        <w:shd w:val="clear" w:color="auto" w:fill="DADEE5"/>
      </w:tcPr>
    </w:tblStylePr>
  </w:style>
  <w:style w:type="paragraph" w:customStyle="1" w:styleId="CaptionFigure">
    <w:name w:val="Caption Figure"/>
    <w:basedOn w:val="Caption"/>
    <w:qFormat/>
    <w:rsid w:val="00695F01"/>
    <w:rPr>
      <w:i w:val="0"/>
      <w:iCs w:val="0"/>
      <w:sz w:val="24"/>
      <w:szCs w:val="24"/>
    </w:rPr>
  </w:style>
  <w:style w:type="paragraph" w:styleId="TOC5">
    <w:name w:val="toc 5"/>
    <w:basedOn w:val="Normal"/>
    <w:next w:val="Normal"/>
    <w:autoRedefine/>
    <w:uiPriority w:val="39"/>
    <w:unhideWhenUsed/>
    <w:rsid w:val="00695F01"/>
    <w:pPr>
      <w:tabs>
        <w:tab w:val="right" w:leader="dot" w:pos="10800"/>
      </w:tabs>
      <w:ind w:left="720"/>
    </w:pPr>
    <w:rPr>
      <w:noProof/>
    </w:rPr>
  </w:style>
  <w:style w:type="paragraph" w:styleId="TOC1">
    <w:name w:val="toc 1"/>
    <w:basedOn w:val="Normal"/>
    <w:next w:val="Normal"/>
    <w:autoRedefine/>
    <w:uiPriority w:val="39"/>
    <w:rsid w:val="00695F01"/>
    <w:pPr>
      <w:tabs>
        <w:tab w:val="left" w:pos="1350"/>
        <w:tab w:val="right" w:leader="dot" w:pos="10800"/>
      </w:tabs>
      <w:spacing w:before="120" w:after="120" w:line="312" w:lineRule="auto"/>
    </w:pPr>
    <w:rPr>
      <w:rFonts w:ascii="Verdana" w:eastAsia="MS Mincho" w:hAnsi="Verdana" w:cs="Traditional Arabic"/>
      <w:b/>
      <w:noProof/>
      <w:color w:val="0056A9"/>
      <w:kern w:val="0"/>
      <w:szCs w:val="28"/>
      <w14:ligatures w14:val="none"/>
    </w:rPr>
  </w:style>
  <w:style w:type="paragraph" w:styleId="TOCHeading">
    <w:name w:val="TOC Heading"/>
    <w:basedOn w:val="Heading1"/>
    <w:next w:val="Normal"/>
    <w:uiPriority w:val="39"/>
    <w:unhideWhenUsed/>
    <w:qFormat/>
    <w:rsid w:val="00695F01"/>
    <w:pPr>
      <w:tabs>
        <w:tab w:val="left" w:pos="10710"/>
      </w:tabs>
      <w:spacing w:after="200" w:line="259" w:lineRule="auto"/>
      <w:outlineLvl w:val="9"/>
    </w:pPr>
    <w:rPr>
      <w:color w:val="0056A9" w:themeColor="accent1"/>
      <w:kern w:val="0"/>
      <w:szCs w:val="32"/>
      <w14:ligatures w14:val="none"/>
    </w:rPr>
  </w:style>
  <w:style w:type="paragraph" w:styleId="TOC3">
    <w:name w:val="toc 3"/>
    <w:basedOn w:val="Normal"/>
    <w:next w:val="Normal"/>
    <w:autoRedefine/>
    <w:uiPriority w:val="39"/>
    <w:unhideWhenUsed/>
    <w:rsid w:val="00695F01"/>
    <w:pPr>
      <w:tabs>
        <w:tab w:val="right" w:leader="dot" w:pos="10800"/>
      </w:tabs>
      <w:ind w:left="360"/>
    </w:pPr>
    <w:rPr>
      <w:bCs/>
      <w:noProof/>
    </w:rPr>
  </w:style>
  <w:style w:type="paragraph" w:styleId="TOC2">
    <w:name w:val="toc 2"/>
    <w:basedOn w:val="Normal"/>
    <w:next w:val="Normal"/>
    <w:autoRedefine/>
    <w:uiPriority w:val="39"/>
    <w:unhideWhenUsed/>
    <w:rsid w:val="00695F01"/>
    <w:pPr>
      <w:tabs>
        <w:tab w:val="right" w:leader="dot" w:pos="10800"/>
      </w:tabs>
      <w:spacing w:before="100"/>
      <w:ind w:left="180"/>
    </w:pPr>
    <w:rPr>
      <w:noProof/>
    </w:rPr>
  </w:style>
  <w:style w:type="character" w:styleId="PageNumber">
    <w:name w:val="page number"/>
    <w:basedOn w:val="DefaultParagraphFont"/>
    <w:uiPriority w:val="99"/>
    <w:semiHidden/>
    <w:unhideWhenUsed/>
    <w:rsid w:val="00695F01"/>
  </w:style>
  <w:style w:type="paragraph" w:styleId="ListNumber">
    <w:name w:val="List Number"/>
    <w:basedOn w:val="BodyText"/>
    <w:uiPriority w:val="1"/>
    <w:qFormat/>
    <w:rsid w:val="00695F01"/>
    <w:pPr>
      <w:numPr>
        <w:numId w:val="2"/>
      </w:numPr>
      <w:spacing w:before="200" w:after="200"/>
    </w:pPr>
    <w:rPr>
      <w:rFonts w:ascii="Verdana" w:eastAsia="MS Mincho" w:hAnsi="Verdana" w:cs="Times New Roman"/>
      <w:color w:val="000000"/>
      <w:kern w:val="0"/>
      <w:szCs w:val="22"/>
      <w14:ligatures w14:val="none"/>
    </w:rPr>
  </w:style>
  <w:style w:type="paragraph" w:styleId="BodyText">
    <w:name w:val="Body Text"/>
    <w:basedOn w:val="Normal"/>
    <w:link w:val="BodyTextChar"/>
    <w:uiPriority w:val="99"/>
    <w:semiHidden/>
    <w:unhideWhenUsed/>
    <w:rsid w:val="00695F01"/>
    <w:pPr>
      <w:spacing w:after="120"/>
    </w:pPr>
  </w:style>
  <w:style w:type="character" w:customStyle="1" w:styleId="BodyTextChar">
    <w:name w:val="Body Text Char"/>
    <w:basedOn w:val="DefaultParagraphFont"/>
    <w:link w:val="BodyText"/>
    <w:uiPriority w:val="99"/>
    <w:semiHidden/>
    <w:rsid w:val="00695F01"/>
    <w:rPr>
      <w:szCs w:val="20"/>
    </w:rPr>
  </w:style>
  <w:style w:type="paragraph" w:customStyle="1" w:styleId="CVRTxDOTLogoSpacing">
    <w:name w:val="CVR TxDOT Logo Spacing"/>
    <w:rsid w:val="00695F01"/>
    <w:pPr>
      <w:spacing w:before="1000" w:after="360"/>
      <w:ind w:left="1267" w:right="1267"/>
    </w:pPr>
    <w:rPr>
      <w:noProof/>
      <w:color w:val="FFFFFF" w:themeColor="background1"/>
      <w:sz w:val="32"/>
      <w:szCs w:val="32"/>
    </w:rPr>
  </w:style>
  <w:style w:type="table" w:styleId="GridTable1Light-Accent1">
    <w:name w:val="Grid Table 1 Light Accent 1"/>
    <w:basedOn w:val="TableNormal"/>
    <w:uiPriority w:val="46"/>
    <w:rsid w:val="00695F01"/>
    <w:tblPr>
      <w:tblStyleRowBandSize w:val="1"/>
      <w:tblStyleColBandSize w:val="1"/>
      <w:tblBorders>
        <w:top w:val="single" w:sz="4" w:space="0" w:color="76BBFF" w:themeColor="accent1" w:themeTint="66"/>
        <w:left w:val="single" w:sz="4" w:space="0" w:color="76BBFF" w:themeColor="accent1" w:themeTint="66"/>
        <w:bottom w:val="single" w:sz="4" w:space="0" w:color="76BBFF" w:themeColor="accent1" w:themeTint="66"/>
        <w:right w:val="single" w:sz="4" w:space="0" w:color="76BBFF" w:themeColor="accent1" w:themeTint="66"/>
        <w:insideH w:val="single" w:sz="4" w:space="0" w:color="76BBFF" w:themeColor="accent1" w:themeTint="66"/>
        <w:insideV w:val="single" w:sz="4" w:space="0" w:color="76BBFF" w:themeColor="accent1" w:themeTint="66"/>
      </w:tblBorders>
    </w:tblPr>
    <w:tblStylePr w:type="firstRow">
      <w:rPr>
        <w:b/>
        <w:bCs/>
      </w:rPr>
      <w:tblPr/>
      <w:tcPr>
        <w:tcBorders>
          <w:bottom w:val="single" w:sz="12" w:space="0" w:color="3299FF" w:themeColor="accent1" w:themeTint="99"/>
        </w:tcBorders>
      </w:tcPr>
    </w:tblStylePr>
    <w:tblStylePr w:type="lastRow">
      <w:rPr>
        <w:b/>
        <w:bCs/>
      </w:rPr>
      <w:tblPr/>
      <w:tcPr>
        <w:tcBorders>
          <w:top w:val="double" w:sz="2" w:space="0" w:color="3299FF"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695F0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ableofFigures">
    <w:name w:val="table of figures"/>
    <w:basedOn w:val="Normal"/>
    <w:next w:val="Normal"/>
    <w:uiPriority w:val="99"/>
    <w:unhideWhenUsed/>
    <w:rsid w:val="00695F01"/>
  </w:style>
  <w:style w:type="paragraph" w:customStyle="1" w:styleId="CoverPageSubtext">
    <w:name w:val="Cover Page Subtext"/>
    <w:qFormat/>
    <w:rsid w:val="00695F01"/>
    <w:pPr>
      <w:widowControl w:val="0"/>
      <w:spacing w:before="480" w:line="360" w:lineRule="auto"/>
      <w:ind w:left="1267" w:right="1267"/>
    </w:pPr>
    <w:rPr>
      <w:rFonts w:ascii="Verdana" w:eastAsia="MS Mincho" w:hAnsi="Verdana" w:cs="Traditional Arabic"/>
      <w:bCs/>
      <w:noProof/>
      <w:color w:val="FFFFFF" w:themeColor="background1"/>
      <w:kern w:val="0"/>
      <w:sz w:val="32"/>
      <w:szCs w:val="28"/>
      <w14:ligatures w14:val="none"/>
    </w:rPr>
  </w:style>
  <w:style w:type="paragraph" w:styleId="TOC4">
    <w:name w:val="toc 4"/>
    <w:basedOn w:val="Normal"/>
    <w:next w:val="Normal"/>
    <w:autoRedefine/>
    <w:uiPriority w:val="39"/>
    <w:unhideWhenUsed/>
    <w:rsid w:val="00695F01"/>
    <w:pPr>
      <w:tabs>
        <w:tab w:val="right" w:leader="dot" w:pos="10800"/>
      </w:tabs>
      <w:ind w:left="540"/>
    </w:pPr>
  </w:style>
  <w:style w:type="paragraph" w:customStyle="1" w:styleId="CaptionTable">
    <w:name w:val="Caption Table"/>
    <w:basedOn w:val="Normal"/>
    <w:qFormat/>
    <w:rsid w:val="00695F01"/>
    <w:rPr>
      <w:rFonts w:eastAsia="MS Mincho" w:cs="Traditional Arabic"/>
      <w:b/>
      <w:bCs/>
      <w:iCs/>
      <w:color w:val="000000" w:themeColor="text2"/>
      <w:kern w:val="0"/>
      <w:szCs w:val="18"/>
      <w14:ligatures w14:val="none"/>
    </w:rPr>
  </w:style>
  <w:style w:type="paragraph" w:customStyle="1" w:styleId="CoverPageH1">
    <w:name w:val="Cover Page H1"/>
    <w:basedOn w:val="Heading1"/>
    <w:qFormat/>
    <w:rsid w:val="00695F01"/>
    <w:pPr>
      <w:tabs>
        <w:tab w:val="left" w:pos="8400"/>
      </w:tabs>
      <w:ind w:left="1260"/>
    </w:pPr>
    <w:rPr>
      <w:color w:val="FFFFFF" w:themeColor="background1"/>
    </w:rPr>
  </w:style>
  <w:style w:type="paragraph" w:customStyle="1" w:styleId="CoverPageNormal">
    <w:name w:val="Cover Page Normal"/>
    <w:qFormat/>
    <w:rsid w:val="00695F01"/>
    <w:pPr>
      <w:widowControl w:val="0"/>
      <w:spacing w:before="480" w:line="360" w:lineRule="auto"/>
      <w:ind w:left="1267" w:right="1267"/>
    </w:pPr>
    <w:rPr>
      <w:rFonts w:ascii="Verdana" w:eastAsia="MS Mincho" w:hAnsi="Verdana" w:cs="Traditional Arabic"/>
      <w:bCs/>
      <w:noProof/>
      <w:color w:val="FFFFFF" w:themeColor="background1"/>
      <w:kern w:val="0"/>
      <w:sz w:val="32"/>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arci6\OneDrive%20-%20Texas%20Department%20of%20Transportation\Desktop\accessiblity-tem.dotx" TargetMode="External"/></Relationships>
</file>

<file path=word/theme/theme1.xml><?xml version="1.0" encoding="utf-8"?>
<a:theme xmlns:a="http://schemas.openxmlformats.org/drawingml/2006/main" name="txdot-brand-template-microsoft-theme">
  <a:themeElements>
    <a:clrScheme name="TxDOT Template Color Scheme">
      <a:dk1>
        <a:srgbClr val="000000"/>
      </a:dk1>
      <a:lt1>
        <a:srgbClr val="FFFFFF"/>
      </a:lt1>
      <a:dk2>
        <a:srgbClr val="000000"/>
      </a:dk2>
      <a:lt2>
        <a:srgbClr val="EBEBEB"/>
      </a:lt2>
      <a:accent1>
        <a:srgbClr val="0056A9"/>
      </a:accent1>
      <a:accent2>
        <a:srgbClr val="D90D0D"/>
      </a:accent2>
      <a:accent3>
        <a:srgbClr val="196533"/>
      </a:accent3>
      <a:accent4>
        <a:srgbClr val="5F0F40"/>
      </a:accent4>
      <a:accent5>
        <a:srgbClr val="002E69"/>
      </a:accent5>
      <a:accent6>
        <a:srgbClr val="333F48"/>
      </a:accent6>
      <a:hlink>
        <a:srgbClr val="0056A9"/>
      </a:hlink>
      <a:folHlink>
        <a:srgbClr val="5F0F40"/>
      </a:folHlink>
    </a:clrScheme>
    <a:fontScheme name="TxDOT Template fonts">
      <a:majorFont>
        <a:latin typeface="Verdana Bold"/>
        <a:ea typeface=""/>
        <a:cs typeface=""/>
      </a:majorFont>
      <a:minorFont>
        <a:latin typeface="Verdana"/>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xdot-brand-template-microsoft-theme" id="{C26E1BF5-F8BE-4F71-85B1-218D4EC69D9E}" vid="{E6DCCC63-DDF4-4C00-AD5C-6EBC44B984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bca7cf-140a-45ee-a57c-232cbe52a914">
      <Terms xmlns="http://schemas.microsoft.com/office/infopath/2007/PartnerControls"/>
    </lcf76f155ced4ddcb4097134ff3c332f>
    <Time xmlns="2ebca7cf-140a-45ee-a57c-232cbe52a914" xsi:nil="true"/>
    <TaxCatchAll xmlns="3f35f2c0-af66-4f50-9ad3-498689aa4a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CB62EFC96F3B4C9C8D33BF0C6D11BD" ma:contentTypeVersion="13" ma:contentTypeDescription="Create a new document." ma:contentTypeScope="" ma:versionID="29f3db67e83da4997f6af96595e91975">
  <xsd:schema xmlns:xsd="http://www.w3.org/2001/XMLSchema" xmlns:xs="http://www.w3.org/2001/XMLSchema" xmlns:p="http://schemas.microsoft.com/office/2006/metadata/properties" xmlns:ns2="2ebca7cf-140a-45ee-a57c-232cbe52a914" xmlns:ns3="3f35f2c0-af66-4f50-9ad3-498689aa4a67" targetNamespace="http://schemas.microsoft.com/office/2006/metadata/properties" ma:root="true" ma:fieldsID="f4484f1789b76357e7a9615c6261ec79" ns2:_="" ns3:_="">
    <xsd:import namespace="2ebca7cf-140a-45ee-a57c-232cbe52a914"/>
    <xsd:import namespace="3f35f2c0-af66-4f50-9ad3-498689aa4a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Time" minOccurs="0"/>
                <xsd:element ref="ns2:MediaServiceBillingMetadata"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bca7cf-140a-45ee-a57c-232cbe52a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100b2c1-7ce8-4bfa-b3ce-153ab71b1a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Time" ma:index="17" nillable="true" ma:displayName="Time" ma:format="DateTime" ma:internalName="Time">
      <xsd:simpleType>
        <xsd:restriction base="dms:DateTime"/>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35f2c0-af66-4f50-9ad3-498689aa4a6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79517d-46e2-42ed-9d9f-dbfb45608765}" ma:internalName="TaxCatchAll" ma:showField="CatchAllData" ma:web="3f35f2c0-af66-4f50-9ad3-498689aa4a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38030A-1151-48DB-8A23-26F7EDCC7F4A}">
  <ds:schemaRefs>
    <ds:schemaRef ds:uri="http://schemas.microsoft.com/office/2006/metadata/properties"/>
    <ds:schemaRef ds:uri="http://schemas.microsoft.com/office/infopath/2007/PartnerControls"/>
    <ds:schemaRef ds:uri="2ebca7cf-140a-45ee-a57c-232cbe52a914"/>
    <ds:schemaRef ds:uri="3f35f2c0-af66-4f50-9ad3-498689aa4a67"/>
  </ds:schemaRefs>
</ds:datastoreItem>
</file>

<file path=customXml/itemProps2.xml><?xml version="1.0" encoding="utf-8"?>
<ds:datastoreItem xmlns:ds="http://schemas.openxmlformats.org/officeDocument/2006/customXml" ds:itemID="{FCDE3115-644F-4C41-8C77-9ABF1A05B754}">
  <ds:schemaRefs>
    <ds:schemaRef ds:uri="http://schemas.microsoft.com/sharepoint/v3/contenttype/forms"/>
  </ds:schemaRefs>
</ds:datastoreItem>
</file>

<file path=customXml/itemProps3.xml><?xml version="1.0" encoding="utf-8"?>
<ds:datastoreItem xmlns:ds="http://schemas.openxmlformats.org/officeDocument/2006/customXml" ds:itemID="{D8BE8B19-48F1-4B55-9ECF-A3A8C8336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bca7cf-140a-45ee-a57c-232cbe52a914"/>
    <ds:schemaRef ds:uri="3f35f2c0-af66-4f50-9ad3-498689aa4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accessiblity-tem.dotx</Template>
  <TotalTime>41</TotalTime>
  <Pages>1</Pages>
  <Words>1143</Words>
  <Characters>6518</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Guidance: Historic Resources Desktop Surveys</vt:lpstr>
    </vt:vector>
  </TitlesOfParts>
  <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Historic Resources Desktop Surveys</dc:title>
  <dc:subject>Guidance on how to complete a desktop-level historical resources survey for TxDOT.</dc:subject>
  <dc:creator>TxDOT</dc:creator>
  <cp:keywords>421-02-gui; guidance; historical studies, instructions; desktop survey</cp:keywords>
  <dc:description/>
  <cp:lastModifiedBy>Sarah Matthews</cp:lastModifiedBy>
  <cp:revision>77</cp:revision>
  <dcterms:created xsi:type="dcterms:W3CDTF">2026-02-03T18:58:00Z</dcterms:created>
  <dcterms:modified xsi:type="dcterms:W3CDTF">2026-08-24T15:57:00Z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0x010100D4CB62EFC96F3B4C9C8D33BF0C6D11BD</vt:lpwstr>
  </property>
  <property fmtid="{D5CDD505-2E9C-101B-9397-08002B2CF9AE}" pid="3" name="MediaServiceImageTags">
    <vt:lpwstr/>
  </property>
</Properties>
</file>