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92B3" w14:textId="48499686" w:rsidR="00EA6D60" w:rsidRPr="00042A54" w:rsidRDefault="00EA6D60" w:rsidP="0010673C">
      <w:pPr>
        <w:pStyle w:val="Heading1"/>
        <w:rPr>
          <w:sz w:val="36"/>
          <w:szCs w:val="36"/>
        </w:rPr>
      </w:pPr>
      <w:r w:rsidRPr="00042A54">
        <w:rPr>
          <w:sz w:val="36"/>
          <w:szCs w:val="36"/>
        </w:rPr>
        <w:t xml:space="preserve">Environmental Assessment Outline </w:t>
      </w:r>
    </w:p>
    <w:p w14:paraId="65C04272" w14:textId="7D553B6A" w:rsidR="009F2854" w:rsidRPr="002064B6" w:rsidRDefault="000E2C9D" w:rsidP="007C41CF">
      <w:pPr>
        <w:rPr>
          <w:b/>
        </w:rPr>
      </w:pPr>
      <w:r w:rsidRPr="000E2C9D">
        <w:t>Use this outline to prepare an Environmental Assessment (EA) for projects for which an EA is prepared for Texas Department of Transportation’s (TxDOT) approval under TxDOT’s rules or under the NEPA Assignment Memorandu</w:t>
      </w:r>
      <w:r w:rsidR="00FA12FD">
        <w:t>m</w:t>
      </w:r>
      <w:r w:rsidRPr="000E2C9D">
        <w:t xml:space="preserve"> of Understanding (MOU) with the Federal Highway Administration</w:t>
      </w:r>
      <w:r w:rsidR="00C427E4">
        <w:t xml:space="preserve"> (FHWA)</w:t>
      </w:r>
      <w:r w:rsidRPr="000E2C9D">
        <w:t>.</w:t>
      </w:r>
    </w:p>
    <w:p w14:paraId="75A4A120" w14:textId="1817D7D8" w:rsidR="009F2854" w:rsidRPr="009F2854" w:rsidRDefault="009F2854" w:rsidP="007C41CF">
      <w:r w:rsidRPr="009F2854">
        <w:t>Cover Sheet</w:t>
      </w:r>
    </w:p>
    <w:p w14:paraId="47C64B00" w14:textId="7BBAED1B" w:rsidR="009F2854" w:rsidRPr="009F2854" w:rsidRDefault="00D65169" w:rsidP="007C41CF">
      <w:r>
        <w:t>C</w:t>
      </w:r>
      <w:r w:rsidR="009F2854" w:rsidRPr="009F2854">
        <w:t>ontents</w:t>
      </w:r>
    </w:p>
    <w:p w14:paraId="1D381AF1" w14:textId="3D483F08" w:rsidR="009F2854" w:rsidRDefault="00667F7A" w:rsidP="007C41CF">
      <w:r>
        <w:t>Abbreviations and</w:t>
      </w:r>
      <w:r w:rsidR="009F2854" w:rsidRPr="009F2854">
        <w:t xml:space="preserve"> </w:t>
      </w:r>
      <w:r w:rsidR="006468BA">
        <w:t>a</w:t>
      </w:r>
      <w:r w:rsidR="009F2854" w:rsidRPr="009F2854">
        <w:t>cronyms</w:t>
      </w:r>
      <w:r w:rsidR="00042A54">
        <w:t xml:space="preserve"> </w:t>
      </w:r>
    </w:p>
    <w:p w14:paraId="0C6E3E29" w14:textId="5101924C" w:rsidR="009F2854" w:rsidRPr="00042A54" w:rsidRDefault="009F2854" w:rsidP="00042A54">
      <w:pPr>
        <w:pStyle w:val="Heading2"/>
        <w:rPr>
          <w:sz w:val="32"/>
          <w:szCs w:val="32"/>
        </w:rPr>
      </w:pPr>
      <w:r w:rsidRPr="00042A54">
        <w:rPr>
          <w:sz w:val="32"/>
          <w:szCs w:val="32"/>
        </w:rPr>
        <w:lastRenderedPageBreak/>
        <w:t>1.0</w:t>
      </w:r>
      <w:r w:rsidR="00042A54">
        <w:rPr>
          <w:sz w:val="32"/>
          <w:szCs w:val="32"/>
        </w:rPr>
        <w:t xml:space="preserve"> </w:t>
      </w:r>
      <w:r w:rsidRPr="00042A54">
        <w:rPr>
          <w:sz w:val="32"/>
          <w:szCs w:val="32"/>
        </w:rPr>
        <w:t>Introduction</w:t>
      </w:r>
    </w:p>
    <w:p w14:paraId="7C535D9E" w14:textId="3B3F6CA0" w:rsidR="009F2854" w:rsidRPr="00042A54" w:rsidRDefault="009F2854" w:rsidP="00042A54">
      <w:pPr>
        <w:pStyle w:val="Heading2"/>
        <w:rPr>
          <w:sz w:val="32"/>
          <w:szCs w:val="32"/>
        </w:rPr>
      </w:pPr>
      <w:r w:rsidRPr="00042A54">
        <w:rPr>
          <w:sz w:val="32"/>
          <w:szCs w:val="32"/>
        </w:rPr>
        <w:t>2.0</w:t>
      </w:r>
      <w:r w:rsidR="00042A54">
        <w:rPr>
          <w:sz w:val="32"/>
          <w:szCs w:val="32"/>
        </w:rPr>
        <w:t xml:space="preserve"> </w:t>
      </w:r>
      <w:r w:rsidRPr="00042A54">
        <w:rPr>
          <w:sz w:val="32"/>
          <w:szCs w:val="32"/>
        </w:rPr>
        <w:t>Project Description</w:t>
      </w:r>
    </w:p>
    <w:p w14:paraId="253B757B" w14:textId="58F69937" w:rsidR="009F2854" w:rsidRPr="00042A54" w:rsidRDefault="009F2854" w:rsidP="00042A54">
      <w:pPr>
        <w:pStyle w:val="Heading3"/>
        <w:rPr>
          <w:sz w:val="28"/>
          <w:szCs w:val="28"/>
        </w:rPr>
      </w:pPr>
      <w:r w:rsidRPr="00042A54">
        <w:rPr>
          <w:sz w:val="28"/>
          <w:szCs w:val="28"/>
        </w:rPr>
        <w:t>2.1</w:t>
      </w:r>
      <w:r w:rsidR="00042A54">
        <w:rPr>
          <w:sz w:val="28"/>
          <w:szCs w:val="28"/>
        </w:rPr>
        <w:t xml:space="preserve"> </w:t>
      </w:r>
      <w:r w:rsidRPr="00042A54">
        <w:rPr>
          <w:sz w:val="28"/>
          <w:szCs w:val="28"/>
        </w:rPr>
        <w:t>Existing Facility</w:t>
      </w:r>
    </w:p>
    <w:p w14:paraId="7516A58E" w14:textId="228DC911" w:rsidR="009F2854" w:rsidRPr="00042A54" w:rsidRDefault="009F2854" w:rsidP="00042A54">
      <w:pPr>
        <w:pStyle w:val="Heading3"/>
        <w:rPr>
          <w:sz w:val="28"/>
          <w:szCs w:val="28"/>
        </w:rPr>
      </w:pPr>
      <w:r w:rsidRPr="00042A54">
        <w:rPr>
          <w:sz w:val="28"/>
          <w:szCs w:val="28"/>
        </w:rPr>
        <w:t>2.2</w:t>
      </w:r>
      <w:r w:rsidR="00042A54">
        <w:rPr>
          <w:sz w:val="28"/>
          <w:szCs w:val="28"/>
        </w:rPr>
        <w:t xml:space="preserve"> </w:t>
      </w:r>
      <w:r w:rsidRPr="00042A54">
        <w:rPr>
          <w:sz w:val="28"/>
          <w:szCs w:val="28"/>
        </w:rPr>
        <w:t>Proposed Facility</w:t>
      </w:r>
    </w:p>
    <w:p w14:paraId="00DA296F" w14:textId="7C0326D5" w:rsidR="009F2854" w:rsidRPr="00042A54" w:rsidRDefault="009F2854" w:rsidP="00042A54">
      <w:pPr>
        <w:pStyle w:val="Heading3"/>
        <w:rPr>
          <w:sz w:val="28"/>
          <w:szCs w:val="28"/>
        </w:rPr>
      </w:pPr>
      <w:r w:rsidRPr="00042A54">
        <w:rPr>
          <w:sz w:val="28"/>
          <w:szCs w:val="28"/>
        </w:rPr>
        <w:t>2.3</w:t>
      </w:r>
      <w:r w:rsidR="00042A54">
        <w:rPr>
          <w:sz w:val="28"/>
          <w:szCs w:val="28"/>
        </w:rPr>
        <w:t xml:space="preserve"> </w:t>
      </w:r>
      <w:r w:rsidRPr="00042A54">
        <w:rPr>
          <w:sz w:val="28"/>
          <w:szCs w:val="28"/>
        </w:rPr>
        <w:t>Logical Termini and Independent Utility</w:t>
      </w:r>
    </w:p>
    <w:p w14:paraId="4C7429B7" w14:textId="2FEBE5BE" w:rsidR="009F2854" w:rsidRPr="00042A54" w:rsidRDefault="009F2854" w:rsidP="00042A54">
      <w:pPr>
        <w:pStyle w:val="Heading3"/>
        <w:rPr>
          <w:sz w:val="28"/>
          <w:szCs w:val="28"/>
        </w:rPr>
      </w:pPr>
      <w:r w:rsidRPr="00042A54">
        <w:rPr>
          <w:sz w:val="28"/>
          <w:szCs w:val="28"/>
        </w:rPr>
        <w:t>2.4</w:t>
      </w:r>
      <w:r w:rsidR="00042A54">
        <w:rPr>
          <w:sz w:val="28"/>
          <w:szCs w:val="28"/>
        </w:rPr>
        <w:t xml:space="preserve"> </w:t>
      </w:r>
      <w:r w:rsidRPr="00042A54">
        <w:rPr>
          <w:sz w:val="28"/>
          <w:szCs w:val="28"/>
        </w:rPr>
        <w:t>Planning Consistency</w:t>
      </w:r>
    </w:p>
    <w:p w14:paraId="1F7139A2" w14:textId="18915F72" w:rsidR="009F2854" w:rsidRPr="00042A54" w:rsidRDefault="009F2854" w:rsidP="00042A54">
      <w:pPr>
        <w:pStyle w:val="Heading2"/>
        <w:rPr>
          <w:sz w:val="32"/>
          <w:szCs w:val="32"/>
        </w:rPr>
      </w:pPr>
      <w:r w:rsidRPr="00042A54">
        <w:rPr>
          <w:sz w:val="32"/>
          <w:szCs w:val="32"/>
        </w:rPr>
        <w:t>3.0</w:t>
      </w:r>
      <w:r w:rsidR="00042A54">
        <w:rPr>
          <w:sz w:val="32"/>
          <w:szCs w:val="32"/>
        </w:rPr>
        <w:t xml:space="preserve"> </w:t>
      </w:r>
      <w:r w:rsidRPr="00042A54">
        <w:rPr>
          <w:sz w:val="32"/>
          <w:szCs w:val="32"/>
        </w:rPr>
        <w:t>Purpose and Need</w:t>
      </w:r>
    </w:p>
    <w:p w14:paraId="55BCCD39" w14:textId="3A015C5F" w:rsidR="009F2854" w:rsidRPr="00042A54" w:rsidRDefault="009F2854" w:rsidP="00042A54">
      <w:pPr>
        <w:pStyle w:val="Heading3"/>
        <w:rPr>
          <w:sz w:val="28"/>
          <w:szCs w:val="28"/>
        </w:rPr>
      </w:pPr>
      <w:r w:rsidRPr="00042A54">
        <w:rPr>
          <w:sz w:val="28"/>
          <w:szCs w:val="28"/>
        </w:rPr>
        <w:t>3.1</w:t>
      </w:r>
      <w:r w:rsidR="00042A54">
        <w:rPr>
          <w:sz w:val="28"/>
          <w:szCs w:val="28"/>
        </w:rPr>
        <w:t xml:space="preserve"> </w:t>
      </w:r>
      <w:r w:rsidRPr="00042A54">
        <w:rPr>
          <w:sz w:val="28"/>
          <w:szCs w:val="28"/>
        </w:rPr>
        <w:t>Need</w:t>
      </w:r>
    </w:p>
    <w:p w14:paraId="4719E796" w14:textId="257B132D" w:rsidR="009F2854" w:rsidRPr="00042A54" w:rsidRDefault="009F2854" w:rsidP="00042A54">
      <w:pPr>
        <w:pStyle w:val="Heading3"/>
        <w:rPr>
          <w:sz w:val="28"/>
          <w:szCs w:val="28"/>
        </w:rPr>
      </w:pPr>
      <w:r w:rsidRPr="00042A54">
        <w:rPr>
          <w:sz w:val="28"/>
          <w:szCs w:val="28"/>
        </w:rPr>
        <w:t>3.2</w:t>
      </w:r>
      <w:r w:rsidR="00042A54">
        <w:rPr>
          <w:sz w:val="28"/>
          <w:szCs w:val="28"/>
        </w:rPr>
        <w:t xml:space="preserve"> </w:t>
      </w:r>
      <w:r w:rsidRPr="00042A54">
        <w:rPr>
          <w:sz w:val="28"/>
          <w:szCs w:val="28"/>
        </w:rPr>
        <w:t xml:space="preserve">Supporting Facts </w:t>
      </w:r>
      <w:r w:rsidR="00F0497F" w:rsidRPr="00042A54">
        <w:rPr>
          <w:sz w:val="28"/>
          <w:szCs w:val="28"/>
        </w:rPr>
        <w:t>or Data</w:t>
      </w:r>
    </w:p>
    <w:p w14:paraId="47D64434" w14:textId="4ECD643E" w:rsidR="009F2854" w:rsidRPr="00042A54" w:rsidRDefault="009F2854" w:rsidP="00042A54">
      <w:pPr>
        <w:pStyle w:val="Heading3"/>
        <w:rPr>
          <w:sz w:val="28"/>
          <w:szCs w:val="28"/>
        </w:rPr>
      </w:pPr>
      <w:r w:rsidRPr="00042A54">
        <w:rPr>
          <w:sz w:val="28"/>
          <w:szCs w:val="28"/>
        </w:rPr>
        <w:t>3.3</w:t>
      </w:r>
      <w:r w:rsidR="00042A54">
        <w:rPr>
          <w:sz w:val="28"/>
          <w:szCs w:val="28"/>
        </w:rPr>
        <w:t xml:space="preserve"> </w:t>
      </w:r>
      <w:r w:rsidR="00042A54" w:rsidRPr="00042A54">
        <w:rPr>
          <w:sz w:val="28"/>
          <w:szCs w:val="28"/>
        </w:rPr>
        <w:t>Purpose</w:t>
      </w:r>
    </w:p>
    <w:p w14:paraId="02034926" w14:textId="59B2182A" w:rsidR="009F2854" w:rsidRPr="00042A54" w:rsidRDefault="009F2854" w:rsidP="00042A54">
      <w:pPr>
        <w:pStyle w:val="Heading2"/>
        <w:rPr>
          <w:sz w:val="32"/>
          <w:szCs w:val="32"/>
        </w:rPr>
      </w:pPr>
      <w:r w:rsidRPr="00042A54">
        <w:rPr>
          <w:sz w:val="32"/>
          <w:szCs w:val="32"/>
        </w:rPr>
        <w:t>4.0</w:t>
      </w:r>
      <w:r w:rsidR="00042A54">
        <w:rPr>
          <w:sz w:val="32"/>
          <w:szCs w:val="32"/>
        </w:rPr>
        <w:t xml:space="preserve"> </w:t>
      </w:r>
      <w:r w:rsidRPr="00042A54">
        <w:rPr>
          <w:sz w:val="32"/>
          <w:szCs w:val="32"/>
        </w:rPr>
        <w:t>Alternatives</w:t>
      </w:r>
    </w:p>
    <w:p w14:paraId="5319EA81" w14:textId="63134C2A" w:rsidR="009F2854" w:rsidRPr="00042A54" w:rsidRDefault="009F2854" w:rsidP="00042A54">
      <w:pPr>
        <w:pStyle w:val="Heading3"/>
        <w:rPr>
          <w:sz w:val="28"/>
          <w:szCs w:val="28"/>
        </w:rPr>
      </w:pPr>
      <w:r w:rsidRPr="00042A54">
        <w:rPr>
          <w:sz w:val="28"/>
          <w:szCs w:val="28"/>
        </w:rPr>
        <w:t>4.1</w:t>
      </w:r>
      <w:r w:rsidR="00042A54">
        <w:rPr>
          <w:sz w:val="28"/>
          <w:szCs w:val="28"/>
        </w:rPr>
        <w:t xml:space="preserve"> </w:t>
      </w:r>
      <w:r w:rsidRPr="00042A54">
        <w:rPr>
          <w:sz w:val="28"/>
          <w:szCs w:val="28"/>
        </w:rPr>
        <w:t>Build Alternative(s)</w:t>
      </w:r>
    </w:p>
    <w:p w14:paraId="24463D72" w14:textId="09A28145" w:rsidR="009F2854" w:rsidRPr="00042A54" w:rsidRDefault="009F2854" w:rsidP="00042A54">
      <w:pPr>
        <w:pStyle w:val="Heading3"/>
        <w:rPr>
          <w:sz w:val="28"/>
          <w:szCs w:val="28"/>
        </w:rPr>
      </w:pPr>
      <w:r w:rsidRPr="00042A54">
        <w:rPr>
          <w:sz w:val="28"/>
          <w:szCs w:val="28"/>
        </w:rPr>
        <w:t>4.2</w:t>
      </w:r>
      <w:r w:rsidR="00042A54">
        <w:rPr>
          <w:sz w:val="28"/>
          <w:szCs w:val="28"/>
        </w:rPr>
        <w:t xml:space="preserve"> </w:t>
      </w:r>
      <w:r w:rsidRPr="00042A54">
        <w:rPr>
          <w:sz w:val="28"/>
          <w:szCs w:val="28"/>
        </w:rPr>
        <w:t>No-Build Alternative</w:t>
      </w:r>
    </w:p>
    <w:p w14:paraId="35AFFC15" w14:textId="5E345804" w:rsidR="009F2854" w:rsidRPr="00042A54" w:rsidRDefault="009F2854" w:rsidP="00042A54">
      <w:pPr>
        <w:pStyle w:val="Heading3"/>
        <w:rPr>
          <w:sz w:val="28"/>
          <w:szCs w:val="28"/>
        </w:rPr>
      </w:pPr>
      <w:r w:rsidRPr="00042A54">
        <w:rPr>
          <w:sz w:val="28"/>
          <w:szCs w:val="28"/>
        </w:rPr>
        <w:t>4.3</w:t>
      </w:r>
      <w:r w:rsidR="00042A54">
        <w:rPr>
          <w:sz w:val="28"/>
          <w:szCs w:val="28"/>
        </w:rPr>
        <w:t xml:space="preserve"> </w:t>
      </w:r>
      <w:r w:rsidRPr="00042A54">
        <w:rPr>
          <w:sz w:val="28"/>
          <w:szCs w:val="28"/>
        </w:rPr>
        <w:t>Preliminary Alternatives Considered but Eliminated from Further</w:t>
      </w:r>
      <w:r w:rsidR="00042A54">
        <w:rPr>
          <w:sz w:val="28"/>
          <w:szCs w:val="28"/>
        </w:rPr>
        <w:t xml:space="preserve"> </w:t>
      </w:r>
      <w:r w:rsidRPr="00042A54">
        <w:rPr>
          <w:sz w:val="28"/>
          <w:szCs w:val="28"/>
        </w:rPr>
        <w:t>Consideration</w:t>
      </w:r>
    </w:p>
    <w:p w14:paraId="3B6677EA" w14:textId="49D4D62C" w:rsidR="009F2854" w:rsidRPr="00042A54" w:rsidRDefault="009F2854" w:rsidP="00042A54">
      <w:pPr>
        <w:pStyle w:val="Heading2"/>
        <w:rPr>
          <w:sz w:val="32"/>
          <w:szCs w:val="32"/>
        </w:rPr>
      </w:pPr>
      <w:r w:rsidRPr="00042A54">
        <w:rPr>
          <w:sz w:val="32"/>
          <w:szCs w:val="32"/>
        </w:rPr>
        <w:t>5.0</w:t>
      </w:r>
      <w:r w:rsidR="00042A54">
        <w:rPr>
          <w:sz w:val="32"/>
          <w:szCs w:val="32"/>
        </w:rPr>
        <w:t xml:space="preserve"> </w:t>
      </w:r>
      <w:r w:rsidRPr="00042A54">
        <w:rPr>
          <w:sz w:val="32"/>
          <w:szCs w:val="32"/>
        </w:rPr>
        <w:t>Affected Environment and Environmental Consequences</w:t>
      </w:r>
    </w:p>
    <w:p w14:paraId="65130E05" w14:textId="1789E9EC" w:rsidR="009F2854" w:rsidRPr="00042A54" w:rsidRDefault="009F2854" w:rsidP="00042A54">
      <w:pPr>
        <w:pStyle w:val="Heading3"/>
        <w:rPr>
          <w:sz w:val="28"/>
          <w:szCs w:val="28"/>
        </w:rPr>
      </w:pPr>
      <w:r w:rsidRPr="00042A54">
        <w:rPr>
          <w:sz w:val="28"/>
          <w:szCs w:val="28"/>
        </w:rPr>
        <w:t>5.1</w:t>
      </w:r>
      <w:r w:rsidR="00042A54">
        <w:rPr>
          <w:sz w:val="28"/>
          <w:szCs w:val="28"/>
        </w:rPr>
        <w:t xml:space="preserve"> </w:t>
      </w:r>
      <w:r w:rsidRPr="00042A54">
        <w:rPr>
          <w:sz w:val="28"/>
          <w:szCs w:val="28"/>
        </w:rPr>
        <w:t>Right-of-Way Property Acquisition</w:t>
      </w:r>
    </w:p>
    <w:p w14:paraId="270DB0A2" w14:textId="440D0861" w:rsidR="009F2854" w:rsidRPr="00042A54" w:rsidRDefault="009F2854" w:rsidP="00042A54">
      <w:pPr>
        <w:pStyle w:val="Heading3"/>
        <w:rPr>
          <w:sz w:val="28"/>
          <w:szCs w:val="28"/>
        </w:rPr>
      </w:pPr>
      <w:r w:rsidRPr="00042A54">
        <w:rPr>
          <w:sz w:val="28"/>
          <w:szCs w:val="28"/>
        </w:rPr>
        <w:t>5.2</w:t>
      </w:r>
      <w:r w:rsidR="00042A54">
        <w:rPr>
          <w:sz w:val="28"/>
          <w:szCs w:val="28"/>
        </w:rPr>
        <w:t xml:space="preserve"> </w:t>
      </w:r>
      <w:r w:rsidRPr="00042A54">
        <w:rPr>
          <w:sz w:val="28"/>
          <w:szCs w:val="28"/>
        </w:rPr>
        <w:t>Land Use</w:t>
      </w:r>
    </w:p>
    <w:p w14:paraId="533DF005" w14:textId="0BA6DB1F" w:rsidR="009F2854" w:rsidRPr="00042A54" w:rsidRDefault="009F2854" w:rsidP="00042A54">
      <w:pPr>
        <w:pStyle w:val="Heading3"/>
        <w:rPr>
          <w:sz w:val="28"/>
          <w:szCs w:val="28"/>
        </w:rPr>
      </w:pPr>
      <w:r w:rsidRPr="00042A54">
        <w:rPr>
          <w:sz w:val="28"/>
          <w:szCs w:val="28"/>
        </w:rPr>
        <w:t>5.3</w:t>
      </w:r>
      <w:r w:rsidR="00042A54">
        <w:rPr>
          <w:sz w:val="28"/>
          <w:szCs w:val="28"/>
        </w:rPr>
        <w:t xml:space="preserve"> </w:t>
      </w:r>
      <w:r w:rsidRPr="00042A54">
        <w:rPr>
          <w:sz w:val="28"/>
          <w:szCs w:val="28"/>
        </w:rPr>
        <w:t>Farmlands</w:t>
      </w:r>
    </w:p>
    <w:p w14:paraId="0A2DE05D" w14:textId="3C73C3A3" w:rsidR="009F2854" w:rsidRPr="00042A54" w:rsidRDefault="009F2854" w:rsidP="00042A54">
      <w:pPr>
        <w:pStyle w:val="Heading3"/>
        <w:rPr>
          <w:sz w:val="28"/>
          <w:szCs w:val="28"/>
        </w:rPr>
      </w:pPr>
      <w:r w:rsidRPr="00042A54">
        <w:rPr>
          <w:sz w:val="28"/>
          <w:szCs w:val="28"/>
        </w:rPr>
        <w:t>5.4</w:t>
      </w:r>
      <w:r w:rsidR="00042A54">
        <w:rPr>
          <w:sz w:val="28"/>
          <w:szCs w:val="28"/>
        </w:rPr>
        <w:t xml:space="preserve"> </w:t>
      </w:r>
      <w:r w:rsidRPr="00042A54">
        <w:rPr>
          <w:sz w:val="28"/>
          <w:szCs w:val="28"/>
        </w:rPr>
        <w:t>Utility Relocation</w:t>
      </w:r>
    </w:p>
    <w:p w14:paraId="1D04FC85" w14:textId="6A273A74" w:rsidR="009F2854" w:rsidRPr="00042A54" w:rsidRDefault="009F2854" w:rsidP="00042A54">
      <w:pPr>
        <w:pStyle w:val="Heading3"/>
        <w:rPr>
          <w:sz w:val="28"/>
          <w:szCs w:val="28"/>
        </w:rPr>
      </w:pPr>
      <w:r w:rsidRPr="00042A54">
        <w:rPr>
          <w:sz w:val="28"/>
          <w:szCs w:val="28"/>
        </w:rPr>
        <w:t>5.5</w:t>
      </w:r>
      <w:r w:rsidR="00042A54">
        <w:rPr>
          <w:sz w:val="28"/>
          <w:szCs w:val="28"/>
        </w:rPr>
        <w:t xml:space="preserve"> </w:t>
      </w:r>
      <w:r w:rsidRPr="00042A54">
        <w:rPr>
          <w:sz w:val="28"/>
          <w:szCs w:val="28"/>
        </w:rPr>
        <w:t>Community Impacts</w:t>
      </w:r>
    </w:p>
    <w:p w14:paraId="63583EA6" w14:textId="0C9042AB" w:rsidR="009F2854" w:rsidRPr="00042A54" w:rsidRDefault="009F2854" w:rsidP="00042A54">
      <w:pPr>
        <w:pStyle w:val="Heading4"/>
        <w:rPr>
          <w:sz w:val="26"/>
          <w:szCs w:val="26"/>
        </w:rPr>
      </w:pPr>
      <w:r w:rsidRPr="00042A54">
        <w:rPr>
          <w:sz w:val="26"/>
          <w:szCs w:val="26"/>
        </w:rPr>
        <w:t>5.5.1</w:t>
      </w:r>
      <w:r w:rsidR="00042A54">
        <w:rPr>
          <w:sz w:val="26"/>
          <w:szCs w:val="26"/>
        </w:rPr>
        <w:t xml:space="preserve"> </w:t>
      </w:r>
      <w:r w:rsidRPr="00042A54">
        <w:rPr>
          <w:sz w:val="26"/>
          <w:szCs w:val="26"/>
        </w:rPr>
        <w:t>Community Study Area</w:t>
      </w:r>
    </w:p>
    <w:p w14:paraId="4B685952" w14:textId="475C55DA" w:rsidR="009F2854" w:rsidRPr="00042A54" w:rsidRDefault="009F2854" w:rsidP="00042A54">
      <w:pPr>
        <w:pStyle w:val="Heading4"/>
        <w:rPr>
          <w:sz w:val="26"/>
          <w:szCs w:val="26"/>
        </w:rPr>
      </w:pPr>
      <w:r w:rsidRPr="00042A54">
        <w:rPr>
          <w:sz w:val="26"/>
          <w:szCs w:val="26"/>
        </w:rPr>
        <w:lastRenderedPageBreak/>
        <w:t>5.5.2</w:t>
      </w:r>
      <w:r w:rsidR="00042A54">
        <w:rPr>
          <w:sz w:val="26"/>
          <w:szCs w:val="26"/>
        </w:rPr>
        <w:t xml:space="preserve"> </w:t>
      </w:r>
      <w:r w:rsidRPr="00042A54">
        <w:rPr>
          <w:sz w:val="26"/>
          <w:szCs w:val="26"/>
        </w:rPr>
        <w:t>Displacements</w:t>
      </w:r>
    </w:p>
    <w:p w14:paraId="7D3771A8" w14:textId="5BF69D86" w:rsidR="009F2854" w:rsidRPr="00042A54" w:rsidRDefault="009F2854" w:rsidP="00042A54">
      <w:pPr>
        <w:pStyle w:val="Heading4"/>
        <w:rPr>
          <w:sz w:val="26"/>
          <w:szCs w:val="26"/>
        </w:rPr>
      </w:pPr>
      <w:r w:rsidRPr="00042A54">
        <w:rPr>
          <w:sz w:val="26"/>
          <w:szCs w:val="26"/>
        </w:rPr>
        <w:t>5.5.3</w:t>
      </w:r>
      <w:r w:rsidR="00042A54">
        <w:rPr>
          <w:sz w:val="26"/>
          <w:szCs w:val="26"/>
        </w:rPr>
        <w:t xml:space="preserve"> </w:t>
      </w:r>
      <w:r w:rsidRPr="00042A54">
        <w:rPr>
          <w:sz w:val="26"/>
          <w:szCs w:val="26"/>
        </w:rPr>
        <w:t>Access and Travel Patterns</w:t>
      </w:r>
    </w:p>
    <w:p w14:paraId="53103630" w14:textId="4431ACC3" w:rsidR="009F2854" w:rsidRPr="00042A54" w:rsidRDefault="009F2854" w:rsidP="00042A54">
      <w:pPr>
        <w:pStyle w:val="Heading4"/>
        <w:rPr>
          <w:sz w:val="26"/>
          <w:szCs w:val="26"/>
        </w:rPr>
      </w:pPr>
      <w:r w:rsidRPr="00042A54">
        <w:rPr>
          <w:sz w:val="26"/>
          <w:szCs w:val="26"/>
        </w:rPr>
        <w:t>5.5.4</w:t>
      </w:r>
      <w:r w:rsidR="00042A54">
        <w:rPr>
          <w:sz w:val="26"/>
          <w:szCs w:val="26"/>
        </w:rPr>
        <w:t xml:space="preserve"> </w:t>
      </w:r>
      <w:r w:rsidRPr="00042A54">
        <w:rPr>
          <w:sz w:val="26"/>
          <w:szCs w:val="26"/>
        </w:rPr>
        <w:t>Community Cohesion</w:t>
      </w:r>
    </w:p>
    <w:p w14:paraId="2FFBA887" w14:textId="44146F81" w:rsidR="009F2854" w:rsidRPr="00042A54" w:rsidRDefault="009F2854" w:rsidP="00042A54">
      <w:pPr>
        <w:pStyle w:val="Heading4"/>
        <w:rPr>
          <w:sz w:val="26"/>
          <w:szCs w:val="26"/>
        </w:rPr>
      </w:pPr>
      <w:r w:rsidRPr="00042A54">
        <w:rPr>
          <w:sz w:val="26"/>
          <w:szCs w:val="26"/>
        </w:rPr>
        <w:t>5.5.5</w:t>
      </w:r>
      <w:r w:rsidR="00042A54">
        <w:rPr>
          <w:sz w:val="26"/>
          <w:szCs w:val="26"/>
        </w:rPr>
        <w:t xml:space="preserve"> </w:t>
      </w:r>
      <w:r w:rsidRPr="00042A54">
        <w:rPr>
          <w:sz w:val="26"/>
          <w:szCs w:val="26"/>
        </w:rPr>
        <w:t>Limited English Proficiency</w:t>
      </w:r>
    </w:p>
    <w:p w14:paraId="647D1BC2" w14:textId="14FE86D8" w:rsidR="009F2854" w:rsidRPr="00042A54" w:rsidRDefault="009F2854" w:rsidP="00042A54">
      <w:pPr>
        <w:pStyle w:val="Heading3"/>
        <w:rPr>
          <w:sz w:val="28"/>
          <w:szCs w:val="28"/>
        </w:rPr>
      </w:pPr>
      <w:r w:rsidRPr="00042A54">
        <w:rPr>
          <w:sz w:val="28"/>
          <w:szCs w:val="28"/>
        </w:rPr>
        <w:t>5.6</w:t>
      </w:r>
      <w:r w:rsidR="00042A54">
        <w:rPr>
          <w:sz w:val="28"/>
          <w:szCs w:val="28"/>
        </w:rPr>
        <w:t xml:space="preserve"> </w:t>
      </w:r>
      <w:r w:rsidRPr="00042A54">
        <w:rPr>
          <w:sz w:val="28"/>
          <w:szCs w:val="28"/>
        </w:rPr>
        <w:t>Visual</w:t>
      </w:r>
      <w:r w:rsidR="00DA4BE5" w:rsidRPr="00042A54">
        <w:rPr>
          <w:sz w:val="28"/>
          <w:szCs w:val="28"/>
        </w:rPr>
        <w:t xml:space="preserve"> and </w:t>
      </w:r>
      <w:r w:rsidRPr="00042A54">
        <w:rPr>
          <w:sz w:val="28"/>
          <w:szCs w:val="28"/>
        </w:rPr>
        <w:t>Aesthetic Impacts</w:t>
      </w:r>
    </w:p>
    <w:p w14:paraId="2E9EBDB7" w14:textId="0D0BD3DC" w:rsidR="009F2854" w:rsidRPr="00042A54" w:rsidRDefault="009F2854" w:rsidP="00042A54">
      <w:pPr>
        <w:pStyle w:val="Heading3"/>
        <w:rPr>
          <w:sz w:val="28"/>
          <w:szCs w:val="28"/>
        </w:rPr>
      </w:pPr>
      <w:r w:rsidRPr="00042A54">
        <w:rPr>
          <w:sz w:val="28"/>
          <w:szCs w:val="28"/>
        </w:rPr>
        <w:t>5.7</w:t>
      </w:r>
      <w:r w:rsidR="00042A54">
        <w:rPr>
          <w:sz w:val="28"/>
          <w:szCs w:val="28"/>
        </w:rPr>
        <w:t xml:space="preserve"> </w:t>
      </w:r>
      <w:r w:rsidRPr="00042A54">
        <w:rPr>
          <w:sz w:val="28"/>
          <w:szCs w:val="28"/>
        </w:rPr>
        <w:t>Cultural Resources</w:t>
      </w:r>
    </w:p>
    <w:p w14:paraId="1AE0DFF6" w14:textId="2AE804EA" w:rsidR="009F2854" w:rsidRPr="00042A54" w:rsidRDefault="009F2854" w:rsidP="00042A54">
      <w:pPr>
        <w:pStyle w:val="Heading4"/>
        <w:rPr>
          <w:sz w:val="26"/>
          <w:szCs w:val="26"/>
        </w:rPr>
      </w:pPr>
      <w:r w:rsidRPr="00042A54">
        <w:rPr>
          <w:sz w:val="26"/>
          <w:szCs w:val="26"/>
        </w:rPr>
        <w:t>5.7.1</w:t>
      </w:r>
      <w:r w:rsidR="00042A54">
        <w:rPr>
          <w:sz w:val="26"/>
          <w:szCs w:val="26"/>
        </w:rPr>
        <w:t xml:space="preserve"> </w:t>
      </w:r>
      <w:r w:rsidRPr="00042A54">
        <w:rPr>
          <w:sz w:val="26"/>
          <w:szCs w:val="26"/>
        </w:rPr>
        <w:t>Archeology</w:t>
      </w:r>
    </w:p>
    <w:p w14:paraId="3FFCA8F9" w14:textId="0CEC997A" w:rsidR="009F2854" w:rsidRPr="00042A54" w:rsidRDefault="009F2854" w:rsidP="00042A54">
      <w:pPr>
        <w:pStyle w:val="Heading4"/>
        <w:rPr>
          <w:sz w:val="26"/>
          <w:szCs w:val="26"/>
        </w:rPr>
      </w:pPr>
      <w:r w:rsidRPr="00042A54">
        <w:rPr>
          <w:sz w:val="26"/>
          <w:szCs w:val="26"/>
        </w:rPr>
        <w:t>5.7.2</w:t>
      </w:r>
      <w:r w:rsidR="00042A54">
        <w:rPr>
          <w:sz w:val="26"/>
          <w:szCs w:val="26"/>
        </w:rPr>
        <w:t xml:space="preserve"> </w:t>
      </w:r>
      <w:r w:rsidRPr="00042A54">
        <w:rPr>
          <w:sz w:val="26"/>
          <w:szCs w:val="26"/>
        </w:rPr>
        <w:t>Historic Properties</w:t>
      </w:r>
    </w:p>
    <w:p w14:paraId="5AEB32AB" w14:textId="08B2706C" w:rsidR="009F2854" w:rsidRPr="00042A54" w:rsidRDefault="009F2854" w:rsidP="00042A54">
      <w:pPr>
        <w:pStyle w:val="Heading3"/>
        <w:rPr>
          <w:sz w:val="28"/>
          <w:szCs w:val="28"/>
        </w:rPr>
      </w:pPr>
      <w:r w:rsidRPr="00042A54">
        <w:rPr>
          <w:sz w:val="28"/>
          <w:szCs w:val="28"/>
        </w:rPr>
        <w:t>5.8</w:t>
      </w:r>
      <w:r w:rsidR="00042A54">
        <w:rPr>
          <w:sz w:val="28"/>
          <w:szCs w:val="28"/>
        </w:rPr>
        <w:t xml:space="preserve"> </w:t>
      </w:r>
      <w:r w:rsidRPr="00042A54">
        <w:rPr>
          <w:sz w:val="28"/>
          <w:szCs w:val="28"/>
        </w:rPr>
        <w:t>Protected Lands</w:t>
      </w:r>
    </w:p>
    <w:p w14:paraId="0C03BEA3" w14:textId="601B94DB" w:rsidR="009F2854" w:rsidRPr="00042A54" w:rsidRDefault="009F2854" w:rsidP="00042A54">
      <w:pPr>
        <w:pStyle w:val="Heading3"/>
        <w:rPr>
          <w:sz w:val="28"/>
          <w:szCs w:val="28"/>
        </w:rPr>
      </w:pPr>
      <w:r w:rsidRPr="00042A54">
        <w:rPr>
          <w:sz w:val="28"/>
          <w:szCs w:val="28"/>
        </w:rPr>
        <w:t>5.9</w:t>
      </w:r>
      <w:r w:rsidR="00042A54">
        <w:rPr>
          <w:sz w:val="28"/>
          <w:szCs w:val="28"/>
        </w:rPr>
        <w:t xml:space="preserve"> </w:t>
      </w:r>
      <w:r w:rsidRPr="00042A54">
        <w:rPr>
          <w:sz w:val="28"/>
          <w:szCs w:val="28"/>
        </w:rPr>
        <w:t>Water Resources</w:t>
      </w:r>
    </w:p>
    <w:p w14:paraId="06B53801" w14:textId="016A9D70" w:rsidR="009F2854" w:rsidRPr="00042A54" w:rsidRDefault="009F2854" w:rsidP="00042A54">
      <w:pPr>
        <w:pStyle w:val="Heading4"/>
        <w:rPr>
          <w:sz w:val="26"/>
          <w:szCs w:val="26"/>
        </w:rPr>
      </w:pPr>
      <w:r w:rsidRPr="00042A54">
        <w:t>5.9.1</w:t>
      </w:r>
      <w:r w:rsidR="00042A54">
        <w:t xml:space="preserve"> </w:t>
      </w:r>
      <w:r w:rsidRPr="00042A54">
        <w:rPr>
          <w:sz w:val="26"/>
          <w:szCs w:val="26"/>
        </w:rPr>
        <w:t>Clean Water Act Section 404</w:t>
      </w:r>
    </w:p>
    <w:p w14:paraId="71322818" w14:textId="47AA9224" w:rsidR="009F2854" w:rsidRPr="00042A54" w:rsidRDefault="009F2854" w:rsidP="00042A54">
      <w:pPr>
        <w:pStyle w:val="Heading4"/>
        <w:rPr>
          <w:sz w:val="26"/>
          <w:szCs w:val="26"/>
        </w:rPr>
      </w:pPr>
      <w:r w:rsidRPr="00042A54">
        <w:rPr>
          <w:sz w:val="26"/>
          <w:szCs w:val="26"/>
        </w:rPr>
        <w:t>5.9.2</w:t>
      </w:r>
      <w:r w:rsidR="00042A54">
        <w:rPr>
          <w:sz w:val="26"/>
          <w:szCs w:val="26"/>
        </w:rPr>
        <w:t xml:space="preserve"> </w:t>
      </w:r>
      <w:r w:rsidRPr="00042A54">
        <w:rPr>
          <w:sz w:val="26"/>
          <w:szCs w:val="26"/>
        </w:rPr>
        <w:t>Clean Water Act Section 401</w:t>
      </w:r>
    </w:p>
    <w:p w14:paraId="2C392797" w14:textId="48D798BB" w:rsidR="009F2854" w:rsidRPr="00042A54" w:rsidRDefault="009F2854" w:rsidP="00042A54">
      <w:pPr>
        <w:pStyle w:val="Heading4"/>
        <w:rPr>
          <w:sz w:val="26"/>
          <w:szCs w:val="26"/>
        </w:rPr>
      </w:pPr>
      <w:r w:rsidRPr="00042A54">
        <w:rPr>
          <w:sz w:val="26"/>
          <w:szCs w:val="26"/>
        </w:rPr>
        <w:t>5.9.3</w:t>
      </w:r>
      <w:r w:rsidR="00042A54">
        <w:rPr>
          <w:sz w:val="26"/>
          <w:szCs w:val="26"/>
        </w:rPr>
        <w:t xml:space="preserve"> </w:t>
      </w:r>
      <w:r w:rsidRPr="00042A54">
        <w:rPr>
          <w:sz w:val="26"/>
          <w:szCs w:val="26"/>
        </w:rPr>
        <w:t>Executive Order 11990 Wetlands</w:t>
      </w:r>
    </w:p>
    <w:p w14:paraId="27B0A3E6" w14:textId="4D70E60D" w:rsidR="009F2854" w:rsidRPr="00042A54" w:rsidRDefault="009F2854" w:rsidP="00042A54">
      <w:pPr>
        <w:pStyle w:val="Heading4"/>
        <w:rPr>
          <w:sz w:val="26"/>
          <w:szCs w:val="26"/>
        </w:rPr>
      </w:pPr>
      <w:r w:rsidRPr="00042A54">
        <w:rPr>
          <w:sz w:val="26"/>
          <w:szCs w:val="26"/>
        </w:rPr>
        <w:t>5.9.4</w:t>
      </w:r>
      <w:r w:rsidR="00042A54">
        <w:rPr>
          <w:sz w:val="26"/>
          <w:szCs w:val="26"/>
        </w:rPr>
        <w:t xml:space="preserve"> </w:t>
      </w:r>
      <w:r w:rsidRPr="00042A54">
        <w:rPr>
          <w:sz w:val="26"/>
          <w:szCs w:val="26"/>
        </w:rPr>
        <w:t>Rivers and Harbors Act</w:t>
      </w:r>
    </w:p>
    <w:p w14:paraId="3E8C7271" w14:textId="6428CD61" w:rsidR="009F2854" w:rsidRPr="00042A54" w:rsidRDefault="009F2854" w:rsidP="00042A54">
      <w:pPr>
        <w:pStyle w:val="Heading4"/>
        <w:rPr>
          <w:sz w:val="26"/>
          <w:szCs w:val="26"/>
        </w:rPr>
      </w:pPr>
      <w:r w:rsidRPr="00042A54">
        <w:rPr>
          <w:sz w:val="26"/>
          <w:szCs w:val="26"/>
        </w:rPr>
        <w:t>5.9.5</w:t>
      </w:r>
      <w:r w:rsidR="00042A54">
        <w:rPr>
          <w:sz w:val="26"/>
          <w:szCs w:val="26"/>
        </w:rPr>
        <w:t xml:space="preserve"> </w:t>
      </w:r>
      <w:r w:rsidRPr="00042A54">
        <w:rPr>
          <w:sz w:val="26"/>
          <w:szCs w:val="26"/>
        </w:rPr>
        <w:t>Clean Water Act Section 303(d)</w:t>
      </w:r>
    </w:p>
    <w:p w14:paraId="2D0F2242" w14:textId="3C1F310A" w:rsidR="009F2854" w:rsidRPr="00042A54" w:rsidRDefault="009F2854" w:rsidP="00042A54">
      <w:pPr>
        <w:pStyle w:val="Heading4"/>
        <w:rPr>
          <w:sz w:val="26"/>
          <w:szCs w:val="26"/>
        </w:rPr>
      </w:pPr>
      <w:r w:rsidRPr="00042A54">
        <w:rPr>
          <w:sz w:val="26"/>
          <w:szCs w:val="26"/>
        </w:rPr>
        <w:t>5.9.6</w:t>
      </w:r>
      <w:r w:rsidR="00042A54">
        <w:rPr>
          <w:sz w:val="26"/>
          <w:szCs w:val="26"/>
        </w:rPr>
        <w:t xml:space="preserve"> </w:t>
      </w:r>
      <w:r w:rsidRPr="00042A54">
        <w:rPr>
          <w:sz w:val="26"/>
          <w:szCs w:val="26"/>
        </w:rPr>
        <w:t>Clean Water Act Section 402</w:t>
      </w:r>
    </w:p>
    <w:p w14:paraId="38A20336" w14:textId="5BD0FAA5" w:rsidR="009F2854" w:rsidRPr="00042A54" w:rsidRDefault="009F2854" w:rsidP="00042A54">
      <w:pPr>
        <w:pStyle w:val="Heading4"/>
        <w:rPr>
          <w:sz w:val="26"/>
          <w:szCs w:val="26"/>
        </w:rPr>
      </w:pPr>
      <w:r w:rsidRPr="00042A54">
        <w:rPr>
          <w:sz w:val="26"/>
          <w:szCs w:val="26"/>
        </w:rPr>
        <w:t>5.9.7</w:t>
      </w:r>
      <w:r w:rsidR="00042A54">
        <w:rPr>
          <w:sz w:val="26"/>
          <w:szCs w:val="26"/>
        </w:rPr>
        <w:t xml:space="preserve"> </w:t>
      </w:r>
      <w:r w:rsidRPr="00042A54">
        <w:rPr>
          <w:sz w:val="26"/>
          <w:szCs w:val="26"/>
        </w:rPr>
        <w:t>Floodplains</w:t>
      </w:r>
    </w:p>
    <w:p w14:paraId="3A62022A" w14:textId="725D6EE9" w:rsidR="009F2854" w:rsidRPr="00042A54" w:rsidRDefault="009F2854" w:rsidP="00042A54">
      <w:pPr>
        <w:pStyle w:val="Heading4"/>
        <w:rPr>
          <w:sz w:val="26"/>
          <w:szCs w:val="26"/>
        </w:rPr>
      </w:pPr>
      <w:r w:rsidRPr="00042A54">
        <w:rPr>
          <w:sz w:val="26"/>
          <w:szCs w:val="26"/>
        </w:rPr>
        <w:t>5.9.8</w:t>
      </w:r>
      <w:r w:rsidR="00042A54">
        <w:rPr>
          <w:sz w:val="26"/>
          <w:szCs w:val="26"/>
        </w:rPr>
        <w:t xml:space="preserve"> </w:t>
      </w:r>
      <w:r w:rsidRPr="00042A54">
        <w:rPr>
          <w:sz w:val="26"/>
          <w:szCs w:val="26"/>
        </w:rPr>
        <w:t>Wild and Scenic Rivers</w:t>
      </w:r>
    </w:p>
    <w:p w14:paraId="5CF9CD0A" w14:textId="6E0B4BC9" w:rsidR="009F2854" w:rsidRPr="00042A54" w:rsidRDefault="009F2854" w:rsidP="00042A54">
      <w:pPr>
        <w:pStyle w:val="Heading4"/>
        <w:rPr>
          <w:sz w:val="26"/>
          <w:szCs w:val="26"/>
        </w:rPr>
      </w:pPr>
      <w:r w:rsidRPr="00042A54">
        <w:rPr>
          <w:sz w:val="26"/>
          <w:szCs w:val="26"/>
        </w:rPr>
        <w:t>5.9.9</w:t>
      </w:r>
      <w:r w:rsidR="00042A54">
        <w:rPr>
          <w:sz w:val="26"/>
          <w:szCs w:val="26"/>
        </w:rPr>
        <w:t xml:space="preserve"> </w:t>
      </w:r>
      <w:r w:rsidRPr="00042A54">
        <w:rPr>
          <w:sz w:val="26"/>
          <w:szCs w:val="26"/>
        </w:rPr>
        <w:t>Coastal Barrier Resources</w:t>
      </w:r>
    </w:p>
    <w:p w14:paraId="763BD2EB" w14:textId="115D30A1" w:rsidR="009F2854" w:rsidRPr="00042A54" w:rsidRDefault="009F2854" w:rsidP="00042A54">
      <w:pPr>
        <w:pStyle w:val="Heading4"/>
        <w:rPr>
          <w:sz w:val="26"/>
          <w:szCs w:val="26"/>
        </w:rPr>
      </w:pPr>
      <w:r w:rsidRPr="00042A54">
        <w:rPr>
          <w:sz w:val="26"/>
          <w:szCs w:val="26"/>
        </w:rPr>
        <w:t>5.9.10</w:t>
      </w:r>
      <w:r w:rsidR="00042A54">
        <w:rPr>
          <w:sz w:val="26"/>
          <w:szCs w:val="26"/>
        </w:rPr>
        <w:t xml:space="preserve"> </w:t>
      </w:r>
      <w:r w:rsidRPr="00042A54">
        <w:rPr>
          <w:sz w:val="26"/>
          <w:szCs w:val="26"/>
        </w:rPr>
        <w:t>Coastal Zone Management</w:t>
      </w:r>
    </w:p>
    <w:p w14:paraId="70177CDA" w14:textId="2DD84865" w:rsidR="009F2854" w:rsidRPr="00042A54" w:rsidRDefault="009F2854" w:rsidP="00042A54">
      <w:pPr>
        <w:pStyle w:val="Heading4"/>
        <w:rPr>
          <w:sz w:val="26"/>
          <w:szCs w:val="26"/>
        </w:rPr>
      </w:pPr>
      <w:r w:rsidRPr="00042A54">
        <w:rPr>
          <w:sz w:val="26"/>
          <w:szCs w:val="26"/>
        </w:rPr>
        <w:t>5.9.11</w:t>
      </w:r>
      <w:r w:rsidR="00042A54">
        <w:rPr>
          <w:sz w:val="26"/>
          <w:szCs w:val="26"/>
        </w:rPr>
        <w:t xml:space="preserve"> </w:t>
      </w:r>
      <w:r w:rsidRPr="00042A54">
        <w:rPr>
          <w:sz w:val="26"/>
          <w:szCs w:val="26"/>
        </w:rPr>
        <w:t>Edwards Aquifer</w:t>
      </w:r>
    </w:p>
    <w:p w14:paraId="501D9E39" w14:textId="707B5EEB" w:rsidR="009F2854" w:rsidRPr="00042A54" w:rsidRDefault="009F2854" w:rsidP="00042A54">
      <w:pPr>
        <w:pStyle w:val="Heading4"/>
        <w:rPr>
          <w:sz w:val="26"/>
          <w:szCs w:val="26"/>
        </w:rPr>
      </w:pPr>
      <w:r w:rsidRPr="00042A54">
        <w:rPr>
          <w:sz w:val="26"/>
          <w:szCs w:val="26"/>
        </w:rPr>
        <w:t>5.9.12</w:t>
      </w:r>
      <w:r w:rsidR="00042A54">
        <w:rPr>
          <w:sz w:val="26"/>
          <w:szCs w:val="26"/>
        </w:rPr>
        <w:t xml:space="preserve"> </w:t>
      </w:r>
      <w:r w:rsidRPr="00042A54">
        <w:rPr>
          <w:sz w:val="26"/>
          <w:szCs w:val="26"/>
        </w:rPr>
        <w:t>International Boundary and Water Commission</w:t>
      </w:r>
    </w:p>
    <w:p w14:paraId="1B4BC142" w14:textId="7DB53DB5" w:rsidR="009F2854" w:rsidRPr="00042A54" w:rsidRDefault="009F2854" w:rsidP="00042A54">
      <w:pPr>
        <w:pStyle w:val="Heading4"/>
        <w:rPr>
          <w:sz w:val="26"/>
          <w:szCs w:val="26"/>
        </w:rPr>
      </w:pPr>
      <w:r w:rsidRPr="00042A54">
        <w:rPr>
          <w:sz w:val="26"/>
          <w:szCs w:val="26"/>
        </w:rPr>
        <w:t>5.9.13</w:t>
      </w:r>
      <w:r w:rsidR="00042A54">
        <w:rPr>
          <w:sz w:val="26"/>
          <w:szCs w:val="26"/>
        </w:rPr>
        <w:t xml:space="preserve"> </w:t>
      </w:r>
      <w:r w:rsidRPr="00042A54">
        <w:rPr>
          <w:sz w:val="26"/>
          <w:szCs w:val="26"/>
        </w:rPr>
        <w:t>Drinking Water Systems</w:t>
      </w:r>
    </w:p>
    <w:p w14:paraId="4441BE91" w14:textId="2B6CBE37" w:rsidR="009F2854" w:rsidRPr="00042A54" w:rsidRDefault="009F2854" w:rsidP="00042A54">
      <w:pPr>
        <w:pStyle w:val="Heading3"/>
        <w:rPr>
          <w:sz w:val="28"/>
          <w:szCs w:val="28"/>
        </w:rPr>
      </w:pPr>
      <w:r w:rsidRPr="00042A54">
        <w:rPr>
          <w:sz w:val="28"/>
          <w:szCs w:val="28"/>
        </w:rPr>
        <w:t>5.10</w:t>
      </w:r>
      <w:r w:rsidR="00042A54">
        <w:rPr>
          <w:sz w:val="28"/>
          <w:szCs w:val="28"/>
        </w:rPr>
        <w:t xml:space="preserve"> </w:t>
      </w:r>
      <w:r w:rsidRPr="00042A54">
        <w:rPr>
          <w:sz w:val="28"/>
          <w:szCs w:val="28"/>
        </w:rPr>
        <w:t>Biological Resources</w:t>
      </w:r>
    </w:p>
    <w:p w14:paraId="2938A65B" w14:textId="3606718A" w:rsidR="009F2854" w:rsidRPr="00042A54" w:rsidRDefault="009F2854" w:rsidP="00042A54">
      <w:pPr>
        <w:pStyle w:val="Heading4"/>
        <w:rPr>
          <w:sz w:val="26"/>
          <w:szCs w:val="26"/>
        </w:rPr>
      </w:pPr>
      <w:r w:rsidRPr="00042A54">
        <w:rPr>
          <w:sz w:val="26"/>
          <w:szCs w:val="26"/>
        </w:rPr>
        <w:t>5.10.1</w:t>
      </w:r>
      <w:r w:rsidR="00042A54">
        <w:rPr>
          <w:sz w:val="26"/>
          <w:szCs w:val="26"/>
        </w:rPr>
        <w:t xml:space="preserve"> </w:t>
      </w:r>
      <w:r w:rsidRPr="00042A54">
        <w:rPr>
          <w:sz w:val="26"/>
          <w:szCs w:val="26"/>
        </w:rPr>
        <w:t>Impacts to Vegetation</w:t>
      </w:r>
    </w:p>
    <w:p w14:paraId="7D52B730" w14:textId="6AC952EE" w:rsidR="009F2854" w:rsidRPr="00042A54" w:rsidRDefault="009F2854" w:rsidP="00042A54">
      <w:pPr>
        <w:pStyle w:val="Heading4"/>
        <w:rPr>
          <w:sz w:val="26"/>
          <w:szCs w:val="26"/>
        </w:rPr>
      </w:pPr>
      <w:r w:rsidRPr="00042A54">
        <w:rPr>
          <w:sz w:val="26"/>
          <w:szCs w:val="26"/>
        </w:rPr>
        <w:t>5.10.2</w:t>
      </w:r>
      <w:r w:rsidR="00042A54">
        <w:rPr>
          <w:sz w:val="26"/>
          <w:szCs w:val="26"/>
        </w:rPr>
        <w:t xml:space="preserve"> </w:t>
      </w:r>
      <w:r w:rsidRPr="00042A54">
        <w:rPr>
          <w:sz w:val="26"/>
          <w:szCs w:val="26"/>
        </w:rPr>
        <w:t>Executive Orders 13112 and 13751 on Invasive Species</w:t>
      </w:r>
    </w:p>
    <w:p w14:paraId="694AAD3D" w14:textId="5A80A88A" w:rsidR="009F2854" w:rsidRPr="00042A54" w:rsidRDefault="009F2854" w:rsidP="00042A54">
      <w:pPr>
        <w:pStyle w:val="Heading4"/>
        <w:rPr>
          <w:sz w:val="26"/>
          <w:szCs w:val="26"/>
        </w:rPr>
      </w:pPr>
      <w:r w:rsidRPr="00042A54">
        <w:rPr>
          <w:sz w:val="26"/>
          <w:szCs w:val="26"/>
        </w:rPr>
        <w:lastRenderedPageBreak/>
        <w:t>5.10.3</w:t>
      </w:r>
      <w:r w:rsidR="00042A54">
        <w:rPr>
          <w:sz w:val="26"/>
          <w:szCs w:val="26"/>
        </w:rPr>
        <w:t xml:space="preserve"> </w:t>
      </w:r>
      <w:r w:rsidRPr="00042A54">
        <w:rPr>
          <w:sz w:val="26"/>
          <w:szCs w:val="26"/>
        </w:rPr>
        <w:t>Executive Memorandum on Environmentally and Economically Beneficial</w:t>
      </w:r>
      <w:r w:rsidR="00042A54">
        <w:rPr>
          <w:sz w:val="26"/>
          <w:szCs w:val="26"/>
        </w:rPr>
        <w:t xml:space="preserve"> </w:t>
      </w:r>
      <w:r w:rsidRPr="00042A54">
        <w:rPr>
          <w:sz w:val="26"/>
          <w:szCs w:val="26"/>
        </w:rPr>
        <w:t>Landscaping</w:t>
      </w:r>
    </w:p>
    <w:p w14:paraId="70E4E04A" w14:textId="77A8C93A" w:rsidR="009F2854" w:rsidRPr="00042A54" w:rsidRDefault="009F2854" w:rsidP="00042A54">
      <w:pPr>
        <w:pStyle w:val="Heading4"/>
        <w:rPr>
          <w:sz w:val="26"/>
          <w:szCs w:val="26"/>
        </w:rPr>
      </w:pPr>
      <w:r w:rsidRPr="00042A54">
        <w:rPr>
          <w:sz w:val="26"/>
          <w:szCs w:val="26"/>
        </w:rPr>
        <w:t>5.10.4</w:t>
      </w:r>
      <w:r w:rsidR="00042A54">
        <w:rPr>
          <w:sz w:val="26"/>
          <w:szCs w:val="26"/>
        </w:rPr>
        <w:t xml:space="preserve"> </w:t>
      </w:r>
      <w:r w:rsidRPr="00042A54">
        <w:rPr>
          <w:sz w:val="26"/>
          <w:szCs w:val="26"/>
        </w:rPr>
        <w:t>Impacts to Wildlife</w:t>
      </w:r>
    </w:p>
    <w:p w14:paraId="177D5CA3" w14:textId="2DB13537" w:rsidR="009F2854" w:rsidRPr="00042A54" w:rsidRDefault="009F2854" w:rsidP="00042A54">
      <w:pPr>
        <w:pStyle w:val="Heading4"/>
        <w:rPr>
          <w:sz w:val="26"/>
          <w:szCs w:val="26"/>
        </w:rPr>
      </w:pPr>
      <w:r w:rsidRPr="00042A54">
        <w:rPr>
          <w:sz w:val="26"/>
          <w:szCs w:val="26"/>
        </w:rPr>
        <w:t>5.10.5</w:t>
      </w:r>
      <w:r w:rsidR="00042A54">
        <w:rPr>
          <w:sz w:val="26"/>
          <w:szCs w:val="26"/>
        </w:rPr>
        <w:t xml:space="preserve"> </w:t>
      </w:r>
      <w:r w:rsidRPr="00042A54">
        <w:rPr>
          <w:sz w:val="26"/>
          <w:szCs w:val="26"/>
        </w:rPr>
        <w:t>Migratory Bird Protections</w:t>
      </w:r>
    </w:p>
    <w:p w14:paraId="3F57A677" w14:textId="4FE58018" w:rsidR="009F2854" w:rsidRPr="00042A54" w:rsidRDefault="009F2854" w:rsidP="00042A54">
      <w:pPr>
        <w:pStyle w:val="Heading4"/>
        <w:rPr>
          <w:sz w:val="26"/>
          <w:szCs w:val="26"/>
        </w:rPr>
      </w:pPr>
      <w:r w:rsidRPr="00042A54">
        <w:rPr>
          <w:sz w:val="26"/>
          <w:szCs w:val="26"/>
        </w:rPr>
        <w:t>5.10.6</w:t>
      </w:r>
      <w:r w:rsidR="00042A54">
        <w:rPr>
          <w:sz w:val="26"/>
          <w:szCs w:val="26"/>
        </w:rPr>
        <w:t xml:space="preserve"> </w:t>
      </w:r>
      <w:r w:rsidRPr="00042A54">
        <w:rPr>
          <w:sz w:val="26"/>
          <w:szCs w:val="26"/>
        </w:rPr>
        <w:t>Fish and Wildlife Coordination Act</w:t>
      </w:r>
    </w:p>
    <w:p w14:paraId="209A077D" w14:textId="0BD31F77" w:rsidR="009F2854" w:rsidRPr="00042A54" w:rsidRDefault="009F2854" w:rsidP="00042A54">
      <w:pPr>
        <w:pStyle w:val="Heading4"/>
        <w:rPr>
          <w:sz w:val="26"/>
          <w:szCs w:val="26"/>
        </w:rPr>
      </w:pPr>
      <w:r w:rsidRPr="00042A54">
        <w:rPr>
          <w:sz w:val="26"/>
          <w:szCs w:val="26"/>
        </w:rPr>
        <w:t>5.10.7</w:t>
      </w:r>
      <w:r w:rsidR="00042A54">
        <w:rPr>
          <w:sz w:val="26"/>
          <w:szCs w:val="26"/>
        </w:rPr>
        <w:t xml:space="preserve"> </w:t>
      </w:r>
      <w:r w:rsidRPr="00042A54">
        <w:rPr>
          <w:sz w:val="26"/>
          <w:szCs w:val="26"/>
        </w:rPr>
        <w:t>Bald and Golden Eagle Protection Act of 2007</w:t>
      </w:r>
    </w:p>
    <w:p w14:paraId="501DFB3C" w14:textId="43D97EA7" w:rsidR="009F2854" w:rsidRPr="00042A54" w:rsidRDefault="009F2854" w:rsidP="00042A54">
      <w:pPr>
        <w:pStyle w:val="Heading4"/>
        <w:rPr>
          <w:sz w:val="26"/>
          <w:szCs w:val="26"/>
        </w:rPr>
      </w:pPr>
      <w:r w:rsidRPr="00042A54">
        <w:rPr>
          <w:sz w:val="26"/>
          <w:szCs w:val="26"/>
        </w:rPr>
        <w:t>5.10.8</w:t>
      </w:r>
      <w:r w:rsidR="00042A54">
        <w:rPr>
          <w:sz w:val="26"/>
          <w:szCs w:val="26"/>
        </w:rPr>
        <w:t xml:space="preserve"> </w:t>
      </w:r>
      <w:r w:rsidRPr="00042A54">
        <w:rPr>
          <w:sz w:val="26"/>
          <w:szCs w:val="26"/>
        </w:rPr>
        <w:t>Magnuson-Stevens Fishery Conservation Management Act</w:t>
      </w:r>
    </w:p>
    <w:p w14:paraId="293C08CF" w14:textId="6FCD27D4" w:rsidR="009F2854" w:rsidRPr="00042A54" w:rsidRDefault="009F2854" w:rsidP="00042A54">
      <w:pPr>
        <w:pStyle w:val="Heading4"/>
        <w:rPr>
          <w:sz w:val="26"/>
          <w:szCs w:val="26"/>
        </w:rPr>
      </w:pPr>
      <w:r w:rsidRPr="00042A54">
        <w:rPr>
          <w:sz w:val="26"/>
          <w:szCs w:val="26"/>
        </w:rPr>
        <w:t>5.10.9</w:t>
      </w:r>
      <w:r w:rsidR="00042A54">
        <w:rPr>
          <w:sz w:val="26"/>
          <w:szCs w:val="26"/>
        </w:rPr>
        <w:t xml:space="preserve"> </w:t>
      </w:r>
      <w:r w:rsidRPr="00042A54">
        <w:rPr>
          <w:sz w:val="26"/>
          <w:szCs w:val="26"/>
        </w:rPr>
        <w:t>Marine Mammal Protection Act</w:t>
      </w:r>
    </w:p>
    <w:p w14:paraId="7F2AC922" w14:textId="74E8B7EF" w:rsidR="009F2854" w:rsidRPr="00042A54" w:rsidRDefault="009F2854" w:rsidP="00042A54">
      <w:pPr>
        <w:pStyle w:val="Heading4"/>
        <w:rPr>
          <w:sz w:val="26"/>
          <w:szCs w:val="26"/>
        </w:rPr>
      </w:pPr>
      <w:r w:rsidRPr="00042A54">
        <w:rPr>
          <w:sz w:val="26"/>
          <w:szCs w:val="26"/>
        </w:rPr>
        <w:t>5.10.10</w:t>
      </w:r>
      <w:r w:rsidR="00042A54">
        <w:rPr>
          <w:sz w:val="26"/>
          <w:szCs w:val="26"/>
        </w:rPr>
        <w:t xml:space="preserve"> </w:t>
      </w:r>
      <w:r w:rsidRPr="00042A54">
        <w:rPr>
          <w:sz w:val="26"/>
          <w:szCs w:val="26"/>
        </w:rPr>
        <w:t>Threatened, Endangered, and Candidate Species</w:t>
      </w:r>
    </w:p>
    <w:p w14:paraId="277318AF" w14:textId="5D99DA9A" w:rsidR="009F2854" w:rsidRPr="00042A54" w:rsidRDefault="009F2854" w:rsidP="00042A54">
      <w:pPr>
        <w:pStyle w:val="Heading3"/>
        <w:rPr>
          <w:sz w:val="28"/>
          <w:szCs w:val="28"/>
        </w:rPr>
      </w:pPr>
      <w:r w:rsidRPr="00042A54">
        <w:rPr>
          <w:sz w:val="28"/>
          <w:szCs w:val="28"/>
        </w:rPr>
        <w:t>5.11</w:t>
      </w:r>
      <w:r w:rsidR="00042A54">
        <w:rPr>
          <w:sz w:val="28"/>
          <w:szCs w:val="28"/>
        </w:rPr>
        <w:t xml:space="preserve"> </w:t>
      </w:r>
      <w:r w:rsidRPr="00042A54">
        <w:rPr>
          <w:sz w:val="28"/>
          <w:szCs w:val="28"/>
        </w:rPr>
        <w:t>Air Quality</w:t>
      </w:r>
    </w:p>
    <w:p w14:paraId="0586CAD1" w14:textId="07ED3F22" w:rsidR="009F2854" w:rsidRPr="00042A54" w:rsidRDefault="009F2854" w:rsidP="00042A54">
      <w:pPr>
        <w:pStyle w:val="Heading3"/>
        <w:rPr>
          <w:sz w:val="28"/>
          <w:szCs w:val="28"/>
        </w:rPr>
      </w:pPr>
      <w:r w:rsidRPr="00042A54">
        <w:rPr>
          <w:sz w:val="28"/>
          <w:szCs w:val="28"/>
        </w:rPr>
        <w:t>5.12</w:t>
      </w:r>
      <w:r w:rsidR="00042A54">
        <w:rPr>
          <w:sz w:val="28"/>
          <w:szCs w:val="28"/>
        </w:rPr>
        <w:t xml:space="preserve"> </w:t>
      </w:r>
      <w:r w:rsidRPr="00042A54">
        <w:rPr>
          <w:sz w:val="28"/>
          <w:szCs w:val="28"/>
        </w:rPr>
        <w:t>Hazardous Materials</w:t>
      </w:r>
    </w:p>
    <w:p w14:paraId="1F1F7437" w14:textId="760A92A2" w:rsidR="009F2854" w:rsidRPr="00042A54" w:rsidRDefault="009F2854" w:rsidP="00042A54">
      <w:pPr>
        <w:pStyle w:val="Heading3"/>
        <w:rPr>
          <w:sz w:val="28"/>
          <w:szCs w:val="28"/>
        </w:rPr>
      </w:pPr>
      <w:r w:rsidRPr="00042A54">
        <w:rPr>
          <w:sz w:val="28"/>
          <w:szCs w:val="28"/>
        </w:rPr>
        <w:t>5.13</w:t>
      </w:r>
      <w:r w:rsidR="00042A54">
        <w:rPr>
          <w:sz w:val="28"/>
          <w:szCs w:val="28"/>
        </w:rPr>
        <w:t xml:space="preserve"> </w:t>
      </w:r>
      <w:r w:rsidRPr="00042A54">
        <w:rPr>
          <w:sz w:val="28"/>
          <w:szCs w:val="28"/>
        </w:rPr>
        <w:t>Traffic Noise</w:t>
      </w:r>
    </w:p>
    <w:p w14:paraId="14BA35FA" w14:textId="69D2DC7C" w:rsidR="009F2854" w:rsidRPr="00042A54" w:rsidRDefault="009F2854" w:rsidP="00042A54">
      <w:pPr>
        <w:pStyle w:val="Heading3"/>
        <w:rPr>
          <w:sz w:val="28"/>
          <w:szCs w:val="28"/>
        </w:rPr>
      </w:pPr>
      <w:r w:rsidRPr="00042A54">
        <w:rPr>
          <w:sz w:val="28"/>
          <w:szCs w:val="28"/>
        </w:rPr>
        <w:t>5.14</w:t>
      </w:r>
      <w:r w:rsidR="00042A54">
        <w:rPr>
          <w:sz w:val="28"/>
          <w:szCs w:val="28"/>
        </w:rPr>
        <w:t xml:space="preserve"> </w:t>
      </w:r>
      <w:r w:rsidRPr="00042A54">
        <w:rPr>
          <w:sz w:val="28"/>
          <w:szCs w:val="28"/>
        </w:rPr>
        <w:t>Construction Phase Impacts</w:t>
      </w:r>
    </w:p>
    <w:p w14:paraId="46B5830C" w14:textId="0CDEE378" w:rsidR="009F2854" w:rsidRPr="00042A54" w:rsidRDefault="009F2854" w:rsidP="00042A54">
      <w:pPr>
        <w:pStyle w:val="Heading3"/>
      </w:pPr>
      <w:r w:rsidRPr="00042A54">
        <w:rPr>
          <w:sz w:val="28"/>
          <w:szCs w:val="28"/>
        </w:rPr>
        <w:t>5.15</w:t>
      </w:r>
      <w:r w:rsidR="00042A54">
        <w:rPr>
          <w:sz w:val="28"/>
          <w:szCs w:val="28"/>
        </w:rPr>
        <w:t xml:space="preserve"> </w:t>
      </w:r>
      <w:r w:rsidRPr="00042A54">
        <w:rPr>
          <w:sz w:val="28"/>
          <w:szCs w:val="28"/>
        </w:rPr>
        <w:t>Greenhouse Gas and Climate Change</w:t>
      </w:r>
      <w:r w:rsidR="00042A54">
        <w:rPr>
          <w:rStyle w:val="FootnoteReference"/>
          <w:sz w:val="28"/>
          <w:szCs w:val="28"/>
        </w:rPr>
        <w:footnoteReference w:id="1"/>
      </w:r>
    </w:p>
    <w:p w14:paraId="3C714B49" w14:textId="0878B5B5" w:rsidR="009F2854" w:rsidRPr="00042A54" w:rsidRDefault="009F2854" w:rsidP="00042A54">
      <w:pPr>
        <w:pStyle w:val="Heading2"/>
        <w:rPr>
          <w:sz w:val="32"/>
          <w:szCs w:val="32"/>
        </w:rPr>
      </w:pPr>
      <w:r w:rsidRPr="00042A54">
        <w:rPr>
          <w:sz w:val="32"/>
          <w:szCs w:val="32"/>
        </w:rPr>
        <w:t>6.0</w:t>
      </w:r>
      <w:r w:rsidR="00042A54">
        <w:rPr>
          <w:sz w:val="32"/>
          <w:szCs w:val="32"/>
        </w:rPr>
        <w:t xml:space="preserve"> </w:t>
      </w:r>
      <w:r w:rsidRPr="00042A54">
        <w:rPr>
          <w:sz w:val="32"/>
          <w:szCs w:val="32"/>
        </w:rPr>
        <w:t>Agency Coordination</w:t>
      </w:r>
    </w:p>
    <w:p w14:paraId="616206E2" w14:textId="30A2947A" w:rsidR="009F2854" w:rsidRPr="00042A54" w:rsidRDefault="009F2854" w:rsidP="00042A54">
      <w:pPr>
        <w:pStyle w:val="Heading2"/>
        <w:rPr>
          <w:sz w:val="32"/>
          <w:szCs w:val="32"/>
        </w:rPr>
      </w:pPr>
      <w:r w:rsidRPr="00042A54">
        <w:rPr>
          <w:sz w:val="32"/>
          <w:szCs w:val="32"/>
        </w:rPr>
        <w:t>7.0</w:t>
      </w:r>
      <w:r w:rsidR="00042A54">
        <w:rPr>
          <w:sz w:val="32"/>
          <w:szCs w:val="32"/>
        </w:rPr>
        <w:t xml:space="preserve"> </w:t>
      </w:r>
      <w:r w:rsidRPr="00042A54">
        <w:rPr>
          <w:sz w:val="32"/>
          <w:szCs w:val="32"/>
        </w:rPr>
        <w:t>Public Involvement</w:t>
      </w:r>
      <w:r w:rsidR="00F43B43" w:rsidRPr="00042A54">
        <w:rPr>
          <w:sz w:val="32"/>
          <w:szCs w:val="32"/>
        </w:rPr>
        <w:t xml:space="preserve"> </w:t>
      </w:r>
    </w:p>
    <w:p w14:paraId="08AF045D" w14:textId="37FC5D32" w:rsidR="009F2854" w:rsidRPr="00042A54" w:rsidRDefault="009F2854" w:rsidP="00042A54">
      <w:pPr>
        <w:pStyle w:val="Heading2"/>
        <w:rPr>
          <w:sz w:val="32"/>
          <w:szCs w:val="32"/>
        </w:rPr>
      </w:pPr>
      <w:r w:rsidRPr="00042A54">
        <w:rPr>
          <w:sz w:val="32"/>
          <w:szCs w:val="32"/>
        </w:rPr>
        <w:t>8.0</w:t>
      </w:r>
      <w:r w:rsidR="00042A54">
        <w:rPr>
          <w:sz w:val="32"/>
          <w:szCs w:val="32"/>
        </w:rPr>
        <w:t xml:space="preserve"> </w:t>
      </w:r>
      <w:r w:rsidRPr="00042A54">
        <w:rPr>
          <w:sz w:val="32"/>
          <w:szCs w:val="32"/>
        </w:rPr>
        <w:t>Post-Environmental Clearance Activities and Design</w:t>
      </w:r>
      <w:r w:rsidR="00F43B43" w:rsidRPr="00042A54">
        <w:rPr>
          <w:sz w:val="32"/>
          <w:szCs w:val="32"/>
        </w:rPr>
        <w:t xml:space="preserve"> and </w:t>
      </w:r>
      <w:r w:rsidRPr="00042A54">
        <w:rPr>
          <w:sz w:val="32"/>
          <w:szCs w:val="32"/>
        </w:rPr>
        <w:t>Construction Commitments</w:t>
      </w:r>
    </w:p>
    <w:p w14:paraId="3D472BB8" w14:textId="1E889DF6" w:rsidR="009F2854" w:rsidRPr="00042A54" w:rsidRDefault="009F2854" w:rsidP="00042A54">
      <w:pPr>
        <w:pStyle w:val="Heading3"/>
        <w:rPr>
          <w:sz w:val="28"/>
          <w:szCs w:val="28"/>
        </w:rPr>
      </w:pPr>
      <w:r w:rsidRPr="00042A54">
        <w:rPr>
          <w:sz w:val="28"/>
          <w:szCs w:val="28"/>
        </w:rPr>
        <w:t>8.1</w:t>
      </w:r>
      <w:r w:rsidR="00042A54">
        <w:rPr>
          <w:sz w:val="28"/>
          <w:szCs w:val="28"/>
        </w:rPr>
        <w:t xml:space="preserve"> </w:t>
      </w:r>
      <w:r w:rsidRPr="00042A54">
        <w:rPr>
          <w:sz w:val="28"/>
          <w:szCs w:val="28"/>
        </w:rPr>
        <w:t>Post-Environmental Clearance Activities</w:t>
      </w:r>
    </w:p>
    <w:p w14:paraId="6E64F3B4" w14:textId="52080AA1" w:rsidR="009F2854" w:rsidRPr="00042A54" w:rsidRDefault="009F2854" w:rsidP="00042A54">
      <w:pPr>
        <w:pStyle w:val="Heading3"/>
        <w:rPr>
          <w:sz w:val="28"/>
          <w:szCs w:val="28"/>
        </w:rPr>
      </w:pPr>
      <w:r w:rsidRPr="00042A54">
        <w:rPr>
          <w:sz w:val="28"/>
          <w:szCs w:val="28"/>
        </w:rPr>
        <w:t>8.2</w:t>
      </w:r>
      <w:r w:rsidR="00042A54">
        <w:rPr>
          <w:sz w:val="28"/>
          <w:szCs w:val="28"/>
        </w:rPr>
        <w:t xml:space="preserve"> </w:t>
      </w:r>
      <w:r w:rsidRPr="00042A54">
        <w:rPr>
          <w:sz w:val="28"/>
          <w:szCs w:val="28"/>
        </w:rPr>
        <w:t>Design</w:t>
      </w:r>
      <w:r w:rsidR="00F43B43" w:rsidRPr="00042A54">
        <w:rPr>
          <w:sz w:val="28"/>
          <w:szCs w:val="28"/>
        </w:rPr>
        <w:t xml:space="preserve"> and </w:t>
      </w:r>
      <w:r w:rsidRPr="00042A54">
        <w:rPr>
          <w:sz w:val="28"/>
          <w:szCs w:val="28"/>
        </w:rPr>
        <w:t>Construction Commitments</w:t>
      </w:r>
    </w:p>
    <w:p w14:paraId="31E633A2" w14:textId="42281642" w:rsidR="009F2854" w:rsidRPr="00042A54" w:rsidRDefault="009F2854" w:rsidP="00042A54">
      <w:pPr>
        <w:pStyle w:val="Heading2"/>
        <w:rPr>
          <w:sz w:val="32"/>
          <w:szCs w:val="32"/>
        </w:rPr>
      </w:pPr>
      <w:r w:rsidRPr="00042A54">
        <w:rPr>
          <w:sz w:val="32"/>
          <w:szCs w:val="32"/>
        </w:rPr>
        <w:t>9.0</w:t>
      </w:r>
      <w:r w:rsidR="00042A54">
        <w:rPr>
          <w:sz w:val="32"/>
          <w:szCs w:val="32"/>
        </w:rPr>
        <w:t xml:space="preserve"> </w:t>
      </w:r>
      <w:r w:rsidRPr="00042A54">
        <w:rPr>
          <w:sz w:val="32"/>
          <w:szCs w:val="32"/>
        </w:rPr>
        <w:t>Conclusion</w:t>
      </w:r>
    </w:p>
    <w:p w14:paraId="67578F69" w14:textId="4484E5FF" w:rsidR="009F2854" w:rsidRPr="00042A54" w:rsidRDefault="009F2854" w:rsidP="00042A54">
      <w:pPr>
        <w:pStyle w:val="Heading2"/>
        <w:rPr>
          <w:sz w:val="32"/>
          <w:szCs w:val="32"/>
        </w:rPr>
      </w:pPr>
      <w:r w:rsidRPr="00042A54">
        <w:rPr>
          <w:sz w:val="32"/>
          <w:szCs w:val="32"/>
        </w:rPr>
        <w:t>10.0</w:t>
      </w:r>
      <w:r w:rsidR="00042A54">
        <w:rPr>
          <w:sz w:val="32"/>
          <w:szCs w:val="32"/>
        </w:rPr>
        <w:t xml:space="preserve"> </w:t>
      </w:r>
      <w:r w:rsidRPr="00042A54">
        <w:rPr>
          <w:sz w:val="32"/>
          <w:szCs w:val="32"/>
        </w:rPr>
        <w:t>References</w:t>
      </w:r>
    </w:p>
    <w:p w14:paraId="2525ACE0" w14:textId="560A3044" w:rsidR="009F2854" w:rsidRPr="00042A54" w:rsidRDefault="009F2854" w:rsidP="00042A54">
      <w:pPr>
        <w:pStyle w:val="Heading2"/>
        <w:rPr>
          <w:sz w:val="32"/>
          <w:szCs w:val="32"/>
        </w:rPr>
      </w:pPr>
      <w:r w:rsidRPr="00042A54">
        <w:rPr>
          <w:sz w:val="32"/>
          <w:szCs w:val="32"/>
        </w:rPr>
        <w:lastRenderedPageBreak/>
        <w:t>11.0</w:t>
      </w:r>
      <w:r w:rsidR="00042A54">
        <w:rPr>
          <w:sz w:val="32"/>
          <w:szCs w:val="32"/>
        </w:rPr>
        <w:t xml:space="preserve"> </w:t>
      </w:r>
      <w:r w:rsidRPr="00042A54">
        <w:rPr>
          <w:sz w:val="32"/>
          <w:szCs w:val="32"/>
        </w:rPr>
        <w:t>Appendices</w:t>
      </w:r>
    </w:p>
    <w:p w14:paraId="3165DF46" w14:textId="0D5BEB4F" w:rsidR="009F2854" w:rsidRPr="00EA6396" w:rsidRDefault="009F2854" w:rsidP="00EA6396">
      <w:pPr>
        <w:pStyle w:val="Heading3"/>
        <w:rPr>
          <w:sz w:val="28"/>
          <w:szCs w:val="28"/>
        </w:rPr>
      </w:pPr>
      <w:r w:rsidRPr="00EA6396">
        <w:rPr>
          <w:sz w:val="28"/>
          <w:szCs w:val="28"/>
        </w:rPr>
        <w:t>Appendix A – Project Location Map</w:t>
      </w:r>
    </w:p>
    <w:p w14:paraId="2C33485D" w14:textId="1A5EF1F2" w:rsidR="009F2854" w:rsidRPr="00EA6396" w:rsidRDefault="009F2854" w:rsidP="00EA6396">
      <w:pPr>
        <w:pStyle w:val="Heading3"/>
        <w:rPr>
          <w:sz w:val="28"/>
          <w:szCs w:val="28"/>
        </w:rPr>
      </w:pPr>
      <w:r w:rsidRPr="00EA6396">
        <w:rPr>
          <w:sz w:val="28"/>
          <w:szCs w:val="28"/>
        </w:rPr>
        <w:t>Appendix B – Schematics</w:t>
      </w:r>
    </w:p>
    <w:p w14:paraId="466BD9A6" w14:textId="477485E3" w:rsidR="009F2854" w:rsidRPr="00EA6396" w:rsidRDefault="009F2854" w:rsidP="00EA6396">
      <w:pPr>
        <w:pStyle w:val="Heading3"/>
        <w:rPr>
          <w:sz w:val="28"/>
          <w:szCs w:val="28"/>
        </w:rPr>
      </w:pPr>
      <w:r w:rsidRPr="00EA6396">
        <w:rPr>
          <w:sz w:val="28"/>
          <w:szCs w:val="28"/>
        </w:rPr>
        <w:t>Appendix C – Typical Sections</w:t>
      </w:r>
    </w:p>
    <w:p w14:paraId="3289822F" w14:textId="5C413F69" w:rsidR="009F2854" w:rsidRPr="00EA6396" w:rsidRDefault="009F2854" w:rsidP="00EA6396">
      <w:pPr>
        <w:pStyle w:val="Heading3"/>
        <w:rPr>
          <w:sz w:val="28"/>
          <w:szCs w:val="28"/>
        </w:rPr>
      </w:pPr>
      <w:r w:rsidRPr="00EA6396">
        <w:rPr>
          <w:sz w:val="28"/>
          <w:szCs w:val="28"/>
        </w:rPr>
        <w:t>Appendix D – Resource-specific Maps</w:t>
      </w:r>
    </w:p>
    <w:p w14:paraId="6054067C" w14:textId="4E2A9934" w:rsidR="009F2854" w:rsidRPr="00EA6396" w:rsidRDefault="009F2854" w:rsidP="00EA6396">
      <w:pPr>
        <w:pStyle w:val="Heading3"/>
        <w:rPr>
          <w:sz w:val="28"/>
          <w:szCs w:val="28"/>
        </w:rPr>
      </w:pPr>
      <w:r w:rsidRPr="00EA6396">
        <w:rPr>
          <w:sz w:val="28"/>
          <w:szCs w:val="28"/>
        </w:rPr>
        <w:t>Appendix E – Resource Agency Coordination</w:t>
      </w:r>
    </w:p>
    <w:p w14:paraId="41C7A7D9" w14:textId="77777777" w:rsidR="00042A54" w:rsidRPr="00EA6396" w:rsidRDefault="009F2854" w:rsidP="00EA6396">
      <w:pPr>
        <w:pStyle w:val="Heading3"/>
        <w:rPr>
          <w:sz w:val="28"/>
          <w:szCs w:val="28"/>
        </w:rPr>
      </w:pPr>
      <w:r w:rsidRPr="00EA6396">
        <w:rPr>
          <w:sz w:val="28"/>
          <w:szCs w:val="28"/>
        </w:rPr>
        <w:t>Appendix F – Comment and Response Matrix from the Notice of Availability of Draft EA</w:t>
      </w:r>
      <w:r w:rsidR="00F43B43" w:rsidRPr="00EA6396">
        <w:rPr>
          <w:sz w:val="28"/>
          <w:szCs w:val="28"/>
        </w:rPr>
        <w:t xml:space="preserve"> or </w:t>
      </w:r>
      <w:r w:rsidRPr="00EA6396">
        <w:rPr>
          <w:sz w:val="28"/>
          <w:szCs w:val="28"/>
        </w:rPr>
        <w:t>Public Hearing or Notice of Availability of Draft EA</w:t>
      </w:r>
      <w:r w:rsidR="00F43B43" w:rsidRPr="00EA6396">
        <w:rPr>
          <w:sz w:val="28"/>
          <w:szCs w:val="28"/>
        </w:rPr>
        <w:t xml:space="preserve"> or </w:t>
      </w:r>
      <w:r w:rsidRPr="00EA6396">
        <w:rPr>
          <w:sz w:val="28"/>
          <w:szCs w:val="28"/>
        </w:rPr>
        <w:t>Opportunity for Public Hearing</w:t>
      </w:r>
    </w:p>
    <w:p w14:paraId="33E863AC" w14:textId="50ED69F8" w:rsidR="009260DC" w:rsidRPr="00C12FAB" w:rsidRDefault="009260DC" w:rsidP="00042A54">
      <w:r w:rsidRPr="00F87596">
        <w:br w:type="page"/>
      </w:r>
    </w:p>
    <w:p w14:paraId="501FF178" w14:textId="1F222AC3" w:rsidR="00B60CA2" w:rsidRPr="00B60CA2" w:rsidRDefault="00B60CA2" w:rsidP="00B60CA2">
      <w:pPr>
        <w:pStyle w:val="Heading2"/>
        <w:rPr>
          <w:sz w:val="32"/>
          <w:szCs w:val="32"/>
        </w:rPr>
      </w:pPr>
      <w:r w:rsidRPr="00B60CA2">
        <w:rPr>
          <w:sz w:val="32"/>
          <w:szCs w:val="32"/>
        </w:rPr>
        <w:lastRenderedPageBreak/>
        <w:t>Revision History</w:t>
      </w:r>
    </w:p>
    <w:p w14:paraId="44A5D4E7" w14:textId="0D34A6E0" w:rsidR="00FB1154" w:rsidRPr="00B27E44" w:rsidRDefault="00F54740" w:rsidP="00F54740">
      <w:pPr>
        <w:pStyle w:val="Caption"/>
        <w:rPr>
          <w:b/>
          <w:bCs/>
          <w:i w:val="0"/>
          <w:iCs w:val="0"/>
          <w:sz w:val="24"/>
          <w:szCs w:val="24"/>
        </w:rPr>
      </w:pPr>
      <w:r w:rsidRPr="00B27E44">
        <w:rPr>
          <w:b/>
          <w:bCs/>
          <w:i w:val="0"/>
          <w:iCs w:val="0"/>
          <w:sz w:val="24"/>
          <w:szCs w:val="24"/>
        </w:rPr>
        <w:t xml:space="preserve">Table </w:t>
      </w:r>
      <w:r w:rsidRPr="00B27E44">
        <w:rPr>
          <w:b/>
          <w:bCs/>
          <w:i w:val="0"/>
          <w:iCs w:val="0"/>
          <w:sz w:val="24"/>
          <w:szCs w:val="24"/>
        </w:rPr>
        <w:fldChar w:fldCharType="begin"/>
      </w:r>
      <w:r w:rsidRPr="00B27E44">
        <w:rPr>
          <w:b/>
          <w:bCs/>
          <w:i w:val="0"/>
          <w:iCs w:val="0"/>
          <w:sz w:val="24"/>
          <w:szCs w:val="24"/>
        </w:rPr>
        <w:instrText xml:space="preserve"> SEQ Table \* ARABIC </w:instrText>
      </w:r>
      <w:r w:rsidRPr="00B27E44">
        <w:rPr>
          <w:b/>
          <w:bCs/>
          <w:i w:val="0"/>
          <w:iCs w:val="0"/>
          <w:sz w:val="24"/>
          <w:szCs w:val="24"/>
        </w:rPr>
        <w:fldChar w:fldCharType="separate"/>
      </w:r>
      <w:r w:rsidRPr="00B27E44">
        <w:rPr>
          <w:b/>
          <w:bCs/>
          <w:i w:val="0"/>
          <w:iCs w:val="0"/>
          <w:noProof/>
          <w:sz w:val="24"/>
          <w:szCs w:val="24"/>
        </w:rPr>
        <w:t>1</w:t>
      </w:r>
      <w:r w:rsidRPr="00B27E44">
        <w:rPr>
          <w:b/>
          <w:bCs/>
          <w:i w:val="0"/>
          <w:iCs w:val="0"/>
          <w:sz w:val="24"/>
          <w:szCs w:val="24"/>
        </w:rPr>
        <w:fldChar w:fldCharType="end"/>
      </w:r>
      <w:r w:rsidR="00D30150">
        <w:rPr>
          <w:b/>
          <w:bCs/>
          <w:i w:val="0"/>
          <w:iCs w:val="0"/>
          <w:sz w:val="24"/>
          <w:szCs w:val="24"/>
        </w:rPr>
        <w:t>.</w:t>
      </w:r>
      <w:r w:rsidRPr="00B27E44">
        <w:rPr>
          <w:b/>
          <w:bCs/>
          <w:i w:val="0"/>
          <w:iCs w:val="0"/>
          <w:sz w:val="24"/>
          <w:szCs w:val="24"/>
        </w:rPr>
        <w:t xml:space="preserve"> </w:t>
      </w:r>
      <w:r w:rsidR="00B60CA2">
        <w:rPr>
          <w:b/>
          <w:bCs/>
          <w:i w:val="0"/>
          <w:iCs w:val="0"/>
          <w:sz w:val="24"/>
          <w:szCs w:val="24"/>
        </w:rPr>
        <w:t>Document r</w:t>
      </w:r>
      <w:r w:rsidRPr="00B27E44">
        <w:rPr>
          <w:b/>
          <w:bCs/>
          <w:i w:val="0"/>
          <w:iCs w:val="0"/>
          <w:sz w:val="24"/>
          <w:szCs w:val="24"/>
        </w:rPr>
        <w:t xml:space="preserve">evision </w:t>
      </w:r>
      <w:r w:rsidR="00B60CA2">
        <w:rPr>
          <w:b/>
          <w:bCs/>
          <w:i w:val="0"/>
          <w:iCs w:val="0"/>
          <w:sz w:val="24"/>
          <w:szCs w:val="24"/>
        </w:rPr>
        <w:t>h</w:t>
      </w:r>
      <w:r w:rsidRPr="00B27E44">
        <w:rPr>
          <w:b/>
          <w:bCs/>
          <w:i w:val="0"/>
          <w:iCs w:val="0"/>
          <w:sz w:val="24"/>
          <w:szCs w:val="24"/>
        </w:rPr>
        <w:t>istory</w:t>
      </w:r>
    </w:p>
    <w:tbl>
      <w:tblPr>
        <w:tblStyle w:val="ATFTxDOTTable"/>
        <w:tblW w:w="0" w:type="auto"/>
        <w:tblInd w:w="0" w:type="dxa"/>
        <w:tblLook w:val="0420" w:firstRow="1" w:lastRow="0" w:firstColumn="0" w:lastColumn="0" w:noHBand="0" w:noVBand="1"/>
      </w:tblPr>
      <w:tblGrid>
        <w:gridCol w:w="2425"/>
        <w:gridCol w:w="8365"/>
      </w:tblGrid>
      <w:tr w:rsidR="006841E7" w14:paraId="4D69A39F" w14:textId="77777777" w:rsidTr="00D30150">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238D8569" w14:textId="77777777" w:rsidR="006841E7" w:rsidRPr="00A07348" w:rsidRDefault="006841E7" w:rsidP="00FA706C">
            <w:pPr>
              <w:spacing w:after="0"/>
              <w:rPr>
                <w:color w:val="FFFFFF" w:themeColor="background1"/>
              </w:rPr>
            </w:pPr>
            <w:r w:rsidRPr="00A07348">
              <w:rPr>
                <w:color w:val="FFFFFF" w:themeColor="background1"/>
              </w:rPr>
              <w:t>Effective date (month year)</w:t>
            </w:r>
          </w:p>
        </w:tc>
        <w:tc>
          <w:tcPr>
            <w:tcW w:w="8365" w:type="dxa"/>
          </w:tcPr>
          <w:p w14:paraId="0743C1AC" w14:textId="77777777" w:rsidR="006841E7" w:rsidRPr="00A07348" w:rsidRDefault="006841E7" w:rsidP="00FA706C">
            <w:pPr>
              <w:spacing w:after="0"/>
              <w:rPr>
                <w:color w:val="FFFFFF" w:themeColor="background1"/>
              </w:rPr>
            </w:pPr>
            <w:r w:rsidRPr="00A07348">
              <w:rPr>
                <w:color w:val="FFFFFF" w:themeColor="background1"/>
              </w:rPr>
              <w:t>Reason for and description of change</w:t>
            </w:r>
          </w:p>
        </w:tc>
      </w:tr>
      <w:tr w:rsidR="006841E7" w14:paraId="1933B4E6"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68B6F72E" w14:textId="7A904063" w:rsidR="006841E7" w:rsidRPr="00D63C07" w:rsidRDefault="00D30150" w:rsidP="00FA706C">
            <w:pPr>
              <w:spacing w:after="0"/>
            </w:pPr>
            <w:r>
              <w:t>February</w:t>
            </w:r>
            <w:r w:rsidR="00D63C07" w:rsidRPr="00D63C07">
              <w:t xml:space="preserve"> 2026</w:t>
            </w:r>
          </w:p>
        </w:tc>
        <w:tc>
          <w:tcPr>
            <w:tcW w:w="8365" w:type="dxa"/>
          </w:tcPr>
          <w:p w14:paraId="57797843" w14:textId="799E3ED2" w:rsidR="00D63C07" w:rsidRDefault="00D63C07" w:rsidP="00D63C07">
            <w:pPr>
              <w:pStyle w:val="ListBullet"/>
              <w:numPr>
                <w:ilvl w:val="0"/>
                <w:numId w:val="0"/>
              </w:numPr>
              <w:ind w:left="360" w:hanging="360"/>
            </w:pPr>
            <w:r>
              <w:t>Version 18</w:t>
            </w:r>
          </w:p>
          <w:p w14:paraId="795050AB" w14:textId="0B030071" w:rsidR="006841E7" w:rsidRDefault="00D63C07" w:rsidP="006841E7">
            <w:pPr>
              <w:pStyle w:val="ListBullet"/>
            </w:pPr>
            <w:r w:rsidRPr="00BA7651">
              <w:t xml:space="preserve">Updated to comply with accessibility and </w:t>
            </w:r>
            <w:r>
              <w:t>Texas Department of Transportation (</w:t>
            </w:r>
            <w:r w:rsidRPr="00BA7651">
              <w:t>TxDOT</w:t>
            </w:r>
            <w:r>
              <w:t>)</w:t>
            </w:r>
            <w:r w:rsidRPr="00BA7651">
              <w:t xml:space="preserve"> branding</w:t>
            </w:r>
            <w:r w:rsidR="00D30150">
              <w:t>.</w:t>
            </w:r>
          </w:p>
        </w:tc>
      </w:tr>
      <w:tr w:rsidR="003A29C7" w14:paraId="3788A1BE"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6FAF89EF" w14:textId="0ECA97CE" w:rsidR="003A29C7" w:rsidRPr="009D2276" w:rsidRDefault="003A65B2" w:rsidP="003A29C7">
            <w:pPr>
              <w:rPr>
                <w:b/>
                <w:bCs/>
              </w:rPr>
            </w:pPr>
            <w:r>
              <w:t xml:space="preserve">August </w:t>
            </w:r>
            <w:r w:rsidR="003A29C7" w:rsidRPr="007F17C6">
              <w:t>2025</w:t>
            </w:r>
          </w:p>
        </w:tc>
        <w:tc>
          <w:tcPr>
            <w:tcW w:w="8365" w:type="dxa"/>
          </w:tcPr>
          <w:p w14:paraId="171D3FEE" w14:textId="77777777" w:rsidR="003A29C7" w:rsidRDefault="003A29C7" w:rsidP="003A29C7">
            <w:pPr>
              <w:rPr>
                <w:rFonts w:eastAsiaTheme="majorEastAsia"/>
                <w:szCs w:val="20"/>
              </w:rPr>
            </w:pPr>
            <w:r>
              <w:rPr>
                <w:rFonts w:eastAsiaTheme="majorEastAsia"/>
                <w:szCs w:val="20"/>
              </w:rPr>
              <w:t>Version 17</w:t>
            </w:r>
          </w:p>
          <w:p w14:paraId="3C4B805F" w14:textId="582A4D39" w:rsidR="003A29C7" w:rsidRPr="009D2276" w:rsidRDefault="003A29C7" w:rsidP="003A29C7">
            <w:pPr>
              <w:pStyle w:val="ListBullet"/>
            </w:pPr>
            <w:r>
              <w:t xml:space="preserve">Removed Section 5.14, “Induced Growth,” in recognition of </w:t>
            </w:r>
            <w:r w:rsidRPr="00B60CA2">
              <w:t>Seven County Infrastructure</w:t>
            </w:r>
            <w:r>
              <w:rPr>
                <w:i/>
                <w:iCs/>
              </w:rPr>
              <w:t xml:space="preserve"> </w:t>
            </w:r>
            <w:r>
              <w:t>Supreme Court decision.</w:t>
            </w:r>
          </w:p>
        </w:tc>
      </w:tr>
      <w:tr w:rsidR="003A29C7" w14:paraId="43152443"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0FB1B8B7" w14:textId="6F0BBE47" w:rsidR="003A29C7" w:rsidRPr="009D2276" w:rsidRDefault="003A65B2" w:rsidP="003A29C7">
            <w:pPr>
              <w:rPr>
                <w:b/>
                <w:bCs/>
              </w:rPr>
            </w:pPr>
            <w:r>
              <w:t xml:space="preserve">April </w:t>
            </w:r>
            <w:r w:rsidR="003A29C7" w:rsidRPr="007F17C6">
              <w:t>2025</w:t>
            </w:r>
          </w:p>
        </w:tc>
        <w:tc>
          <w:tcPr>
            <w:tcW w:w="8365" w:type="dxa"/>
          </w:tcPr>
          <w:p w14:paraId="091E8F62" w14:textId="77777777" w:rsidR="003A29C7" w:rsidRDefault="003A29C7" w:rsidP="003A29C7">
            <w:pPr>
              <w:rPr>
                <w:rFonts w:eastAsiaTheme="majorEastAsia"/>
                <w:szCs w:val="20"/>
              </w:rPr>
            </w:pPr>
            <w:r>
              <w:rPr>
                <w:rFonts w:eastAsiaTheme="majorEastAsia"/>
                <w:szCs w:val="20"/>
              </w:rPr>
              <w:t>Version 16</w:t>
            </w:r>
          </w:p>
          <w:p w14:paraId="3ACC1A2E" w14:textId="746F618A" w:rsidR="003A29C7" w:rsidRPr="009D2276" w:rsidRDefault="003A29C7" w:rsidP="003A29C7">
            <w:pPr>
              <w:pStyle w:val="ListBullet"/>
            </w:pPr>
            <w:r>
              <w:t xml:space="preserve">Revised to match latest version of </w:t>
            </w:r>
            <w:r w:rsidRPr="00B60CA2">
              <w:rPr>
                <w:i/>
                <w:iCs/>
              </w:rPr>
              <w:t>EA Handbook</w:t>
            </w:r>
          </w:p>
        </w:tc>
      </w:tr>
      <w:tr w:rsidR="003A29C7" w14:paraId="3C3FB44C"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1D1CF81B" w14:textId="1FB1974C" w:rsidR="003A29C7" w:rsidRPr="009D2276" w:rsidRDefault="003A65B2" w:rsidP="003A29C7">
            <w:pPr>
              <w:rPr>
                <w:b/>
                <w:bCs/>
              </w:rPr>
            </w:pPr>
            <w:r>
              <w:t xml:space="preserve">February </w:t>
            </w:r>
            <w:r w:rsidR="003A29C7" w:rsidRPr="007F17C6">
              <w:t>2025</w:t>
            </w:r>
          </w:p>
        </w:tc>
        <w:tc>
          <w:tcPr>
            <w:tcW w:w="8365" w:type="dxa"/>
          </w:tcPr>
          <w:p w14:paraId="78CD2FEC" w14:textId="77777777" w:rsidR="003A29C7" w:rsidRDefault="003A29C7" w:rsidP="003A29C7">
            <w:pPr>
              <w:rPr>
                <w:rFonts w:eastAsiaTheme="majorEastAsia"/>
                <w:szCs w:val="20"/>
              </w:rPr>
            </w:pPr>
            <w:r>
              <w:rPr>
                <w:rFonts w:eastAsiaTheme="majorEastAsia"/>
                <w:szCs w:val="20"/>
              </w:rPr>
              <w:t>Version 15</w:t>
            </w:r>
          </w:p>
          <w:p w14:paraId="36D8F51A" w14:textId="72B458F5" w:rsidR="003A29C7" w:rsidRPr="009D2276" w:rsidRDefault="003A29C7" w:rsidP="003A29C7">
            <w:pPr>
              <w:pStyle w:val="ListBullet"/>
            </w:pPr>
            <w:r w:rsidRPr="00594AA2">
              <w:t>Removed environmental justice-related instructions in accordance with Executive Order titled “Ending Illegal Discrimination and Restoring Merit-Based Opportunity” (January 21, 2025).</w:t>
            </w:r>
          </w:p>
        </w:tc>
      </w:tr>
      <w:tr w:rsidR="003A29C7" w14:paraId="4B527A5B"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64A82B34" w14:textId="7431D2E5" w:rsidR="003A29C7" w:rsidRPr="00A07348" w:rsidRDefault="003A65B2" w:rsidP="003A29C7">
            <w:pPr>
              <w:rPr>
                <w:b/>
                <w:bCs/>
              </w:rPr>
            </w:pPr>
            <w:r>
              <w:t xml:space="preserve">November </w:t>
            </w:r>
            <w:r w:rsidR="003A29C7" w:rsidRPr="007F17C6">
              <w:t>2024</w:t>
            </w:r>
          </w:p>
        </w:tc>
        <w:tc>
          <w:tcPr>
            <w:tcW w:w="8365" w:type="dxa"/>
          </w:tcPr>
          <w:p w14:paraId="30A3F92A" w14:textId="77777777" w:rsidR="003A29C7" w:rsidRDefault="003A29C7" w:rsidP="003A29C7">
            <w:pPr>
              <w:rPr>
                <w:rFonts w:eastAsiaTheme="majorEastAsia"/>
                <w:szCs w:val="20"/>
              </w:rPr>
            </w:pPr>
            <w:r>
              <w:rPr>
                <w:rFonts w:eastAsiaTheme="majorEastAsia"/>
                <w:szCs w:val="20"/>
              </w:rPr>
              <w:t>Version 14</w:t>
            </w:r>
          </w:p>
          <w:p w14:paraId="228E6201" w14:textId="22A8E19A" w:rsidR="003A29C7" w:rsidRDefault="003A29C7" w:rsidP="003A65B2">
            <w:pPr>
              <w:pStyle w:val="ListBullet"/>
            </w:pPr>
            <w:r w:rsidRPr="00594AA2">
              <w:t xml:space="preserve">Updated Section 5.10.2, “Executive Order 13112 on Invasive Species” to refer to Executive Order 13112 “as amended by Executive Order 13751 on Safeguarding the Nation </w:t>
            </w:r>
            <w:r w:rsidR="00770C3F">
              <w:t>f</w:t>
            </w:r>
            <w:r w:rsidRPr="00594AA2">
              <w:t>rom the Impacts of Invasive Species.”</w:t>
            </w:r>
          </w:p>
        </w:tc>
      </w:tr>
      <w:tr w:rsidR="003A29C7" w14:paraId="666DB870"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362CE587" w14:textId="0454F003" w:rsidR="003A29C7" w:rsidRPr="009D2276" w:rsidRDefault="003A65B2" w:rsidP="003A29C7">
            <w:pPr>
              <w:rPr>
                <w:b/>
                <w:bCs/>
              </w:rPr>
            </w:pPr>
            <w:r>
              <w:lastRenderedPageBreak/>
              <w:t xml:space="preserve">September </w:t>
            </w:r>
            <w:r w:rsidR="003A29C7" w:rsidRPr="007F17C6">
              <w:t>2024</w:t>
            </w:r>
          </w:p>
        </w:tc>
        <w:tc>
          <w:tcPr>
            <w:tcW w:w="8365" w:type="dxa"/>
          </w:tcPr>
          <w:p w14:paraId="497A5CC3" w14:textId="77777777" w:rsidR="003A29C7" w:rsidRDefault="003A29C7" w:rsidP="003A29C7">
            <w:pPr>
              <w:rPr>
                <w:rFonts w:eastAsiaTheme="majorEastAsia"/>
                <w:szCs w:val="20"/>
              </w:rPr>
            </w:pPr>
            <w:r>
              <w:rPr>
                <w:rFonts w:eastAsiaTheme="majorEastAsia"/>
                <w:szCs w:val="20"/>
              </w:rPr>
              <w:t>Version 13</w:t>
            </w:r>
          </w:p>
          <w:p w14:paraId="736E382B" w14:textId="76457922" w:rsidR="003A29C7" w:rsidRPr="009D2276" w:rsidRDefault="003A29C7" w:rsidP="003A65B2">
            <w:pPr>
              <w:pStyle w:val="ListBullet"/>
            </w:pPr>
            <w:r w:rsidRPr="00594AA2">
              <w:t>In accordance with CEQ Phase 2 rulemaking, added Section 8.3, “Monitoring and Compliance Plan for Mitigation.”</w:t>
            </w:r>
          </w:p>
        </w:tc>
      </w:tr>
      <w:tr w:rsidR="003A29C7" w14:paraId="4A05BF92"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1A499368" w14:textId="06E681B5" w:rsidR="003A29C7" w:rsidRPr="009D2276" w:rsidRDefault="003A65B2" w:rsidP="003A29C7">
            <w:pPr>
              <w:rPr>
                <w:b/>
                <w:bCs/>
              </w:rPr>
            </w:pPr>
            <w:r>
              <w:t xml:space="preserve">April </w:t>
            </w:r>
            <w:r w:rsidR="003A29C7" w:rsidRPr="007F17C6">
              <w:t>2024</w:t>
            </w:r>
          </w:p>
        </w:tc>
        <w:tc>
          <w:tcPr>
            <w:tcW w:w="8365" w:type="dxa"/>
          </w:tcPr>
          <w:p w14:paraId="0A62DD96" w14:textId="77777777" w:rsidR="003A29C7" w:rsidRPr="00EB6277" w:rsidRDefault="003A29C7" w:rsidP="003A29C7">
            <w:pPr>
              <w:rPr>
                <w:rFonts w:eastAsiaTheme="majorEastAsia"/>
                <w:szCs w:val="20"/>
              </w:rPr>
            </w:pPr>
            <w:r>
              <w:rPr>
                <w:rFonts w:eastAsiaTheme="majorEastAsia"/>
                <w:szCs w:val="20"/>
              </w:rPr>
              <w:t>Version 12</w:t>
            </w:r>
          </w:p>
          <w:p w14:paraId="0DDB75FF" w14:textId="77777777" w:rsidR="003A29C7" w:rsidRPr="00EB6277" w:rsidRDefault="003A29C7" w:rsidP="003A65B2">
            <w:pPr>
              <w:pStyle w:val="ListBullet"/>
            </w:pPr>
            <w:r w:rsidRPr="00EB6277">
              <w:t>Add</w:t>
            </w:r>
            <w:r>
              <w:t>ed</w:t>
            </w:r>
            <w:r w:rsidRPr="00EB6277">
              <w:t xml:space="preserve"> new subheadings under the “Community Impacts” section of the EA (EA Section 5.5) for “Community Study Area and Demographics” (EA Section 5.5.1), “Displacements” (EA Section 5.5.2), “Access and Travel Patterns (EA Section 5.5.3), “Community Cohesion” (EA Section 5.5.4), “Limited English Proficiency” (EA Section 5.5.5), and “Environmental Justice” (EA Section 5.5.6); and add new instructions for each of those subsections.</w:t>
            </w:r>
          </w:p>
          <w:p w14:paraId="374A7B73" w14:textId="77777777" w:rsidR="003A29C7" w:rsidRPr="00EB6277" w:rsidRDefault="003A29C7" w:rsidP="003A65B2">
            <w:pPr>
              <w:pStyle w:val="ListBullet"/>
            </w:pPr>
            <w:r w:rsidRPr="00EB6277">
              <w:t>Reduce</w:t>
            </w:r>
            <w:r>
              <w:t>d</w:t>
            </w:r>
            <w:r w:rsidRPr="00EB6277">
              <w:t xml:space="preserve"> the “Right-of-Way</w:t>
            </w:r>
            <w:r>
              <w:t xml:space="preserve"> and </w:t>
            </w:r>
            <w:r w:rsidRPr="00EB6277">
              <w:t>Displacements” section of the EA (EA Section 5.1) to be just “Right-of-Way Property Acquisition” (EA Section 5.1) as displacements are better addressed as its own new “Displacements” subheading under the Community Impacts section of the EA (EA Section 5.5.2).</w:t>
            </w:r>
          </w:p>
          <w:p w14:paraId="3F6EAD04" w14:textId="77777777" w:rsidR="003A29C7" w:rsidRPr="00EB6277" w:rsidRDefault="003A29C7" w:rsidP="003A65B2">
            <w:pPr>
              <w:pStyle w:val="ListBullet"/>
            </w:pPr>
            <w:r w:rsidRPr="00EB6277">
              <w:t>Remove</w:t>
            </w:r>
            <w:r>
              <w:t>d</w:t>
            </w:r>
            <w:r w:rsidRPr="00EB6277">
              <w:t xml:space="preserve"> the “Bicycle and Pedestrian Facilities” section of the EA (EA Section 5.5) as bike</w:t>
            </w:r>
            <w:r>
              <w:t xml:space="preserve"> and </w:t>
            </w:r>
            <w:r w:rsidRPr="00EB6277">
              <w:t>ped</w:t>
            </w:r>
            <w:r>
              <w:t>estrian</w:t>
            </w:r>
            <w:r w:rsidRPr="00EB6277">
              <w:t xml:space="preserve"> impacts are better addressed under a new “Access and Travel Patterns” subheading under the Community Impacts</w:t>
            </w:r>
            <w:r>
              <w:t xml:space="preserve"> </w:t>
            </w:r>
            <w:r w:rsidRPr="00EB6277">
              <w:t>section of the EA (EA Section 5.5.3).</w:t>
            </w:r>
          </w:p>
          <w:p w14:paraId="13A8B3C8" w14:textId="13F03BD0" w:rsidR="003A29C7" w:rsidRPr="009D2276" w:rsidRDefault="003A29C7" w:rsidP="003A65B2">
            <w:pPr>
              <w:pStyle w:val="ListBullet"/>
            </w:pPr>
            <w:r w:rsidRPr="00EB6277">
              <w:t>Re-number</w:t>
            </w:r>
            <w:r>
              <w:t>ed</w:t>
            </w:r>
            <w:r w:rsidRPr="00EB6277">
              <w:t xml:space="preserve"> Section 5 sub-sections of the EA to reflect above-referenced changes</w:t>
            </w:r>
          </w:p>
        </w:tc>
      </w:tr>
      <w:tr w:rsidR="003A29C7" w14:paraId="1CBE4CED"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59931B8E" w14:textId="13B97497" w:rsidR="003A29C7" w:rsidRPr="009D2276" w:rsidRDefault="003A65B2" w:rsidP="003A29C7">
            <w:pPr>
              <w:rPr>
                <w:b/>
                <w:bCs/>
              </w:rPr>
            </w:pPr>
            <w:r>
              <w:lastRenderedPageBreak/>
              <w:t xml:space="preserve">September </w:t>
            </w:r>
            <w:r w:rsidR="003A29C7" w:rsidRPr="007F17C6">
              <w:t>2023</w:t>
            </w:r>
          </w:p>
        </w:tc>
        <w:tc>
          <w:tcPr>
            <w:tcW w:w="8365" w:type="dxa"/>
          </w:tcPr>
          <w:p w14:paraId="0445D2D2" w14:textId="77777777" w:rsidR="003A29C7" w:rsidRDefault="003A29C7" w:rsidP="003A29C7">
            <w:pPr>
              <w:rPr>
                <w:rFonts w:eastAsiaTheme="majorEastAsia"/>
                <w:szCs w:val="20"/>
              </w:rPr>
            </w:pPr>
            <w:r>
              <w:rPr>
                <w:rFonts w:eastAsiaTheme="majorEastAsia"/>
                <w:szCs w:val="20"/>
              </w:rPr>
              <w:t>Version 11</w:t>
            </w:r>
          </w:p>
          <w:p w14:paraId="05B56476" w14:textId="77777777" w:rsidR="003A29C7" w:rsidRDefault="003A29C7" w:rsidP="003A65B2">
            <w:pPr>
              <w:pStyle w:val="ListBullet"/>
            </w:pPr>
            <w:r>
              <w:t>Removed Appendix E “Plan and Program Excerpts” to conform to changes previously made to the EA Handbook.</w:t>
            </w:r>
          </w:p>
          <w:p w14:paraId="7B94F66A" w14:textId="1ADBC6BF" w:rsidR="003A29C7" w:rsidRPr="009D2276" w:rsidRDefault="003A29C7" w:rsidP="003A65B2">
            <w:pPr>
              <w:pStyle w:val="ListBullet"/>
            </w:pPr>
            <w:r>
              <w:t>Revised name of Appendix I to Appendix H, “</w:t>
            </w:r>
            <w:r w:rsidRPr="00594AA2">
              <w:t>Comment and Response Matrix from the Notice of Availability of Draft EA</w:t>
            </w:r>
            <w:r>
              <w:t xml:space="preserve"> or </w:t>
            </w:r>
            <w:r w:rsidRPr="00594AA2">
              <w:t>Public Hearing or Notice of Availability of Draft EA</w:t>
            </w:r>
            <w:r>
              <w:t xml:space="preserve"> or </w:t>
            </w:r>
            <w:r w:rsidRPr="00594AA2">
              <w:t>Opportunity for Public Hearing,” to conform to changes previously made to the EA Handbook.</w:t>
            </w:r>
          </w:p>
        </w:tc>
      </w:tr>
      <w:tr w:rsidR="003A29C7" w14:paraId="5C9893FC"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4B99E2DC" w14:textId="5EBB4A49" w:rsidR="003A29C7" w:rsidRPr="00A07348" w:rsidRDefault="003A65B2" w:rsidP="003A29C7">
            <w:pPr>
              <w:rPr>
                <w:b/>
                <w:bCs/>
              </w:rPr>
            </w:pPr>
            <w:r>
              <w:t xml:space="preserve">November </w:t>
            </w:r>
            <w:r w:rsidR="003A29C7" w:rsidRPr="007F17C6">
              <w:t>2021</w:t>
            </w:r>
          </w:p>
        </w:tc>
        <w:tc>
          <w:tcPr>
            <w:tcW w:w="8365" w:type="dxa"/>
          </w:tcPr>
          <w:p w14:paraId="2E1178CC" w14:textId="77777777" w:rsidR="003A29C7" w:rsidRDefault="003A29C7" w:rsidP="003A29C7">
            <w:pPr>
              <w:rPr>
                <w:rFonts w:eastAsiaTheme="majorEastAsia"/>
                <w:szCs w:val="20"/>
              </w:rPr>
            </w:pPr>
            <w:r>
              <w:rPr>
                <w:rFonts w:eastAsiaTheme="majorEastAsia"/>
                <w:szCs w:val="20"/>
              </w:rPr>
              <w:t>Version 10</w:t>
            </w:r>
          </w:p>
          <w:p w14:paraId="6F53F9C1" w14:textId="77777777" w:rsidR="003A29C7" w:rsidRPr="00594AA2" w:rsidRDefault="003A29C7" w:rsidP="003A65B2">
            <w:pPr>
              <w:pStyle w:val="ListBullet"/>
            </w:pPr>
            <w:r w:rsidRPr="00594AA2">
              <w:t>Added 2.3, “Logical Termini and Independent Utility”</w:t>
            </w:r>
          </w:p>
          <w:p w14:paraId="03A1648B" w14:textId="77777777" w:rsidR="003A29C7" w:rsidRPr="00594AA2" w:rsidRDefault="003A29C7" w:rsidP="003A65B2">
            <w:pPr>
              <w:pStyle w:val="ListBullet"/>
            </w:pPr>
            <w:r w:rsidRPr="00594AA2">
              <w:t>Added 2.4, “Planning Consistency”</w:t>
            </w:r>
          </w:p>
          <w:p w14:paraId="69A0E5B1" w14:textId="619ACCAF" w:rsidR="003A29C7" w:rsidRDefault="003A29C7" w:rsidP="003A65B2">
            <w:pPr>
              <w:pStyle w:val="ListBullet"/>
            </w:pPr>
            <w:r>
              <w:t>Removed 5.11.1, “Texas Parks and Wildlife Coordination”</w:t>
            </w:r>
          </w:p>
        </w:tc>
      </w:tr>
      <w:tr w:rsidR="003A29C7" w14:paraId="248C1903"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64721ED5" w14:textId="7932E30B" w:rsidR="003A29C7" w:rsidRPr="009D2276" w:rsidRDefault="003A65B2" w:rsidP="003A29C7">
            <w:pPr>
              <w:rPr>
                <w:b/>
                <w:bCs/>
              </w:rPr>
            </w:pPr>
            <w:r>
              <w:t xml:space="preserve">May </w:t>
            </w:r>
            <w:r w:rsidR="003A29C7" w:rsidRPr="007F17C6">
              <w:t>2021</w:t>
            </w:r>
          </w:p>
        </w:tc>
        <w:tc>
          <w:tcPr>
            <w:tcW w:w="8365" w:type="dxa"/>
          </w:tcPr>
          <w:p w14:paraId="687CB6AE"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9</w:t>
            </w:r>
          </w:p>
          <w:p w14:paraId="0915CDFD" w14:textId="1379261A" w:rsidR="003A29C7" w:rsidRPr="009D2276" w:rsidRDefault="003A29C7" w:rsidP="003A65B2">
            <w:pPr>
              <w:pStyle w:val="ListBullet"/>
            </w:pPr>
            <w:r w:rsidRPr="00594AA2">
              <w:t>Added Section 5.18, “Greenhouse Gas and Climate Change,” and associated subsections.</w:t>
            </w:r>
          </w:p>
        </w:tc>
      </w:tr>
      <w:tr w:rsidR="003A29C7" w14:paraId="096EFAA2"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2DA8411D" w14:textId="716B4030" w:rsidR="003A29C7" w:rsidRPr="009D2276" w:rsidRDefault="003A65B2" w:rsidP="003A29C7">
            <w:pPr>
              <w:rPr>
                <w:b/>
                <w:bCs/>
              </w:rPr>
            </w:pPr>
            <w:r>
              <w:t xml:space="preserve">November </w:t>
            </w:r>
            <w:r w:rsidR="003A29C7" w:rsidRPr="007F17C6">
              <w:t>2020</w:t>
            </w:r>
          </w:p>
        </w:tc>
        <w:tc>
          <w:tcPr>
            <w:tcW w:w="8365" w:type="dxa"/>
          </w:tcPr>
          <w:p w14:paraId="7E05259B"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8</w:t>
            </w:r>
          </w:p>
          <w:p w14:paraId="2AD6B1C7" w14:textId="2680B40E" w:rsidR="003A29C7" w:rsidRPr="009D2276" w:rsidRDefault="003A29C7" w:rsidP="003A65B2">
            <w:pPr>
              <w:pStyle w:val="ListBullet"/>
            </w:pPr>
            <w:r w:rsidRPr="00594AA2">
              <w:t>Fixed typo in the title of Section 8.0 (changed “communities” to “commitments”)</w:t>
            </w:r>
          </w:p>
        </w:tc>
      </w:tr>
      <w:tr w:rsidR="003A29C7" w14:paraId="68F6ED52"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0191DC71" w14:textId="19AF8C2A" w:rsidR="003A29C7" w:rsidRPr="009D2276" w:rsidRDefault="003A65B2" w:rsidP="003A29C7">
            <w:pPr>
              <w:rPr>
                <w:b/>
                <w:bCs/>
              </w:rPr>
            </w:pPr>
            <w:r>
              <w:t xml:space="preserve">September </w:t>
            </w:r>
            <w:r w:rsidR="003A29C7" w:rsidRPr="007F17C6">
              <w:t>2020</w:t>
            </w:r>
          </w:p>
        </w:tc>
        <w:tc>
          <w:tcPr>
            <w:tcW w:w="8365" w:type="dxa"/>
          </w:tcPr>
          <w:p w14:paraId="3095F523"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7</w:t>
            </w:r>
          </w:p>
          <w:p w14:paraId="53C28862" w14:textId="03EA0E2B" w:rsidR="003A29C7" w:rsidRPr="009D2276" w:rsidRDefault="003A29C7" w:rsidP="003A65B2">
            <w:pPr>
              <w:pStyle w:val="ListBullet"/>
            </w:pPr>
            <w:r w:rsidRPr="00594AA2">
              <w:t>Added “11.0 Names and Qualifications of Persons Preparing the EA or Conducting an Independent Evaluation of the EA”</w:t>
            </w:r>
          </w:p>
        </w:tc>
      </w:tr>
      <w:tr w:rsidR="003A29C7" w14:paraId="06F4B9DA"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6B3C8B89" w14:textId="171AEBBC" w:rsidR="003A29C7" w:rsidRPr="009D2276" w:rsidRDefault="003A65B2" w:rsidP="003A29C7">
            <w:pPr>
              <w:rPr>
                <w:b/>
                <w:bCs/>
              </w:rPr>
            </w:pPr>
            <w:r>
              <w:lastRenderedPageBreak/>
              <w:t xml:space="preserve">March </w:t>
            </w:r>
            <w:r w:rsidR="003A29C7" w:rsidRPr="007F17C6">
              <w:t>2020</w:t>
            </w:r>
          </w:p>
        </w:tc>
        <w:tc>
          <w:tcPr>
            <w:tcW w:w="8365" w:type="dxa"/>
          </w:tcPr>
          <w:p w14:paraId="1AA393FD"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6</w:t>
            </w:r>
          </w:p>
          <w:p w14:paraId="10710C8E" w14:textId="77777777" w:rsidR="003A29C7" w:rsidRPr="00594AA2" w:rsidRDefault="003A29C7" w:rsidP="003A65B2">
            <w:pPr>
              <w:pStyle w:val="ListBullet"/>
            </w:pPr>
            <w:r w:rsidRPr="00594AA2">
              <w:t>Added “Cover Sheet”</w:t>
            </w:r>
          </w:p>
          <w:p w14:paraId="5BFB6D8A" w14:textId="77777777" w:rsidR="003A29C7" w:rsidRPr="00594AA2" w:rsidRDefault="003A29C7" w:rsidP="003A65B2">
            <w:pPr>
              <w:pStyle w:val="ListBullet"/>
            </w:pPr>
            <w:r w:rsidRPr="00594AA2">
              <w:t>Revised name of Section 5.4 from “Utilities</w:t>
            </w:r>
            <w:r>
              <w:t xml:space="preserve"> or </w:t>
            </w:r>
            <w:r w:rsidRPr="00594AA2">
              <w:t>Emergency Services” to “Utility Relocation.”</w:t>
            </w:r>
          </w:p>
          <w:p w14:paraId="57A62BAF" w14:textId="77777777" w:rsidR="003A29C7" w:rsidRPr="00594AA2" w:rsidRDefault="003A29C7" w:rsidP="003A65B2">
            <w:pPr>
              <w:pStyle w:val="ListBullet"/>
            </w:pPr>
            <w:r w:rsidRPr="00594AA2">
              <w:t>Removed Subsection 5.6.1, “Environmental Justice.”</w:t>
            </w:r>
          </w:p>
          <w:p w14:paraId="1CE6CFA3" w14:textId="77777777" w:rsidR="003A29C7" w:rsidRPr="00594AA2" w:rsidRDefault="003A29C7" w:rsidP="003A65B2">
            <w:pPr>
              <w:pStyle w:val="ListBullet"/>
            </w:pPr>
            <w:r w:rsidRPr="00594AA2">
              <w:t>Removed Subsection 5.6.2, “Limited English Proficiency.”</w:t>
            </w:r>
          </w:p>
          <w:p w14:paraId="5DB86BBE" w14:textId="77777777" w:rsidR="003A29C7" w:rsidRPr="00594AA2" w:rsidRDefault="003A29C7" w:rsidP="003A65B2">
            <w:pPr>
              <w:pStyle w:val="ListBullet"/>
            </w:pPr>
            <w:r w:rsidRPr="00594AA2">
              <w:t>Revised name of Section 5.9 from “DOT Act Sect. 4(f), LWCJ Act Sect. 6(f), and PWC Chapter 26” to “Protected Lands.”</w:t>
            </w:r>
          </w:p>
          <w:p w14:paraId="070A3576" w14:textId="77777777" w:rsidR="003A29C7" w:rsidRPr="00594AA2" w:rsidRDefault="003A29C7" w:rsidP="003A65B2">
            <w:pPr>
              <w:pStyle w:val="ListBullet"/>
            </w:pPr>
            <w:r w:rsidRPr="00594AA2">
              <w:t>Revised name of Section 8.0 from Post-Environmental Clearance Activities and Contractor Communications” to “Post-Environmental Clearance Activities and Design</w:t>
            </w:r>
            <w:r>
              <w:t xml:space="preserve"> and </w:t>
            </w:r>
            <w:r w:rsidRPr="00594AA2">
              <w:t xml:space="preserve">Construction Commitments.”  </w:t>
            </w:r>
          </w:p>
          <w:p w14:paraId="0CC1EED9" w14:textId="2DB1B6C0" w:rsidR="003A29C7" w:rsidRPr="009D2276" w:rsidRDefault="003A29C7" w:rsidP="003A65B2">
            <w:pPr>
              <w:pStyle w:val="ListBullet"/>
            </w:pPr>
            <w:r w:rsidRPr="00594AA2">
              <w:t>Revised name of Section 8.2 from “Contractor Communications” to “Design</w:t>
            </w:r>
            <w:r>
              <w:t xml:space="preserve"> and </w:t>
            </w:r>
            <w:r w:rsidRPr="00594AA2">
              <w:t>Construction Commitments.”</w:t>
            </w:r>
          </w:p>
        </w:tc>
      </w:tr>
      <w:tr w:rsidR="003A29C7" w14:paraId="7C279A71"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758A8A74" w14:textId="065E30D8" w:rsidR="003A29C7" w:rsidRPr="009D2276" w:rsidRDefault="003A65B2" w:rsidP="003A29C7">
            <w:pPr>
              <w:rPr>
                <w:b/>
                <w:bCs/>
              </w:rPr>
            </w:pPr>
            <w:r>
              <w:t xml:space="preserve">January </w:t>
            </w:r>
            <w:r w:rsidR="003A29C7" w:rsidRPr="007F17C6">
              <w:t>2019</w:t>
            </w:r>
          </w:p>
        </w:tc>
        <w:tc>
          <w:tcPr>
            <w:tcW w:w="8365" w:type="dxa"/>
          </w:tcPr>
          <w:p w14:paraId="03CAE6A7"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5</w:t>
            </w:r>
          </w:p>
          <w:p w14:paraId="19FF50D7" w14:textId="77777777" w:rsidR="003A29C7" w:rsidRPr="00594AA2" w:rsidRDefault="003A29C7" w:rsidP="003A65B2">
            <w:pPr>
              <w:pStyle w:val="ListBullet"/>
            </w:pPr>
            <w:r w:rsidRPr="00594AA2">
              <w:t>Revised name of Section 5.11.6 to “Migratory Bird Protections.”</w:t>
            </w:r>
          </w:p>
          <w:p w14:paraId="5EEE6F10" w14:textId="72CCF61C" w:rsidR="003A29C7" w:rsidRPr="009D2276" w:rsidRDefault="003A29C7" w:rsidP="003A65B2">
            <w:pPr>
              <w:pStyle w:val="ListBullet"/>
            </w:pPr>
            <w:r w:rsidRPr="00594AA2">
              <w:t>Revised name of Section 8.0 to “Post-Environmental Clearance Activities and Contractor Communications,” and added new Section 8.1, “Post-Environmental Clearance Activities” and new Section 8.2, “Contractor Communications.”</w:t>
            </w:r>
          </w:p>
        </w:tc>
      </w:tr>
      <w:tr w:rsidR="003A29C7" w14:paraId="15ADC27C"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7B6FC002" w14:textId="30595A55" w:rsidR="003A29C7" w:rsidRPr="009D2276" w:rsidRDefault="003A65B2" w:rsidP="003A29C7">
            <w:pPr>
              <w:rPr>
                <w:b/>
                <w:bCs/>
              </w:rPr>
            </w:pPr>
            <w:r>
              <w:t xml:space="preserve">October </w:t>
            </w:r>
            <w:r w:rsidR="003A29C7" w:rsidRPr="007F17C6">
              <w:t>2017</w:t>
            </w:r>
          </w:p>
        </w:tc>
        <w:tc>
          <w:tcPr>
            <w:tcW w:w="8365" w:type="dxa"/>
          </w:tcPr>
          <w:p w14:paraId="7999E3EA"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4</w:t>
            </w:r>
          </w:p>
          <w:p w14:paraId="09261985" w14:textId="1FC98E95" w:rsidR="003A29C7" w:rsidRPr="009D2276" w:rsidRDefault="003A29C7" w:rsidP="003A65B2">
            <w:pPr>
              <w:pStyle w:val="ListBullet"/>
            </w:pPr>
            <w:r w:rsidRPr="00594AA2">
              <w:t>Removed 5.10.9 Trinity River Corridor Development Certification from the EA outline</w:t>
            </w:r>
          </w:p>
        </w:tc>
      </w:tr>
      <w:tr w:rsidR="003A29C7" w14:paraId="29324533"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460AC73E" w14:textId="6DB4FEB4" w:rsidR="003A29C7" w:rsidRPr="009D2276" w:rsidRDefault="003A65B2" w:rsidP="003A29C7">
            <w:pPr>
              <w:rPr>
                <w:b/>
                <w:bCs/>
              </w:rPr>
            </w:pPr>
            <w:r>
              <w:lastRenderedPageBreak/>
              <w:t xml:space="preserve">June </w:t>
            </w:r>
            <w:r w:rsidR="003A29C7" w:rsidRPr="007F17C6">
              <w:t>2017</w:t>
            </w:r>
          </w:p>
        </w:tc>
        <w:tc>
          <w:tcPr>
            <w:tcW w:w="8365" w:type="dxa"/>
          </w:tcPr>
          <w:p w14:paraId="604B85FA"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Version 3</w:t>
            </w:r>
          </w:p>
          <w:p w14:paraId="4C5FB5E4" w14:textId="77777777" w:rsidR="003A29C7" w:rsidRPr="00594AA2" w:rsidRDefault="003A29C7" w:rsidP="003A65B2">
            <w:pPr>
              <w:pStyle w:val="ListBullet"/>
            </w:pPr>
            <w:r w:rsidRPr="00594AA2">
              <w:t>Revised Section 5.11, Biological Resources, to break-out various biology-related laws and executive orders into separate subheadings.</w:t>
            </w:r>
          </w:p>
          <w:p w14:paraId="268A7835" w14:textId="0ED1BF27" w:rsidR="003A29C7" w:rsidRPr="009D2276" w:rsidRDefault="003A29C7" w:rsidP="003A65B2">
            <w:pPr>
              <w:pStyle w:val="ListBullet"/>
            </w:pPr>
            <w:r w:rsidRPr="00594AA2">
              <w:t>Removed Section 5.15, Greenhouse Gas Emissions, in response to the Council on Environmental Quality’s April 5, 2017, withdrawal of its August 1, 2016, final guidance on greenhouse gas emissions and climate change. Re-numbered affected EA sections.</w:t>
            </w:r>
          </w:p>
        </w:tc>
      </w:tr>
      <w:tr w:rsidR="003A29C7" w14:paraId="2A6AEA2B" w14:textId="77777777" w:rsidTr="00D30150">
        <w:trPr>
          <w:cnfStyle w:val="000000100000" w:firstRow="0" w:lastRow="0" w:firstColumn="0" w:lastColumn="0" w:oddVBand="0" w:evenVBand="0" w:oddHBand="1" w:evenHBand="0" w:firstRowFirstColumn="0" w:firstRowLastColumn="0" w:lastRowFirstColumn="0" w:lastRowLastColumn="0"/>
          <w:cantSplit/>
        </w:trPr>
        <w:tc>
          <w:tcPr>
            <w:tcW w:w="2425" w:type="dxa"/>
          </w:tcPr>
          <w:p w14:paraId="089574FF" w14:textId="42D67EF6" w:rsidR="003A29C7" w:rsidRPr="009D2276" w:rsidRDefault="003A65B2" w:rsidP="003A29C7">
            <w:pPr>
              <w:rPr>
                <w:b/>
                <w:bCs/>
              </w:rPr>
            </w:pPr>
            <w:r>
              <w:t xml:space="preserve">October </w:t>
            </w:r>
            <w:r w:rsidR="003A29C7" w:rsidRPr="007F17C6">
              <w:t>2016</w:t>
            </w:r>
          </w:p>
        </w:tc>
        <w:tc>
          <w:tcPr>
            <w:tcW w:w="8365" w:type="dxa"/>
          </w:tcPr>
          <w:p w14:paraId="2F1F02A6" w14:textId="77777777" w:rsidR="003A29C7" w:rsidRPr="00594AA2" w:rsidRDefault="003A29C7" w:rsidP="003A29C7">
            <w:pPr>
              <w:rPr>
                <w:rFonts w:asciiTheme="minorHAnsi" w:eastAsiaTheme="majorEastAsia" w:hAnsiTheme="minorHAnsi" w:cstheme="minorBidi"/>
                <w:szCs w:val="20"/>
              </w:rPr>
            </w:pPr>
            <w:r w:rsidRPr="00594AA2">
              <w:rPr>
                <w:rFonts w:asciiTheme="minorHAnsi" w:eastAsiaTheme="majorEastAsia" w:hAnsiTheme="minorHAnsi" w:cstheme="minorBidi"/>
                <w:szCs w:val="20"/>
              </w:rPr>
              <w:t xml:space="preserve">Version </w:t>
            </w:r>
            <w:r>
              <w:rPr>
                <w:rFonts w:asciiTheme="minorHAnsi" w:eastAsiaTheme="majorEastAsia" w:hAnsiTheme="minorHAnsi" w:cstheme="minorBidi"/>
                <w:szCs w:val="20"/>
              </w:rPr>
              <w:t>2</w:t>
            </w:r>
          </w:p>
          <w:p w14:paraId="68B60857" w14:textId="53B56E4C" w:rsidR="003A29C7" w:rsidRPr="009D2276" w:rsidRDefault="003A29C7" w:rsidP="003A65B2">
            <w:pPr>
              <w:pStyle w:val="ListBullet"/>
            </w:pPr>
            <w:r w:rsidRPr="00594AA2">
              <w:t>Added EA Section 5.10.14, Drinking Water Systems. Also added EA Section 5.15, Greenhouse Gas Emissions and Climate Change, in response to the Council on Environmental Quality’s August 1, 2016, final guidance on greenhouse gas emissions and climate change.</w:t>
            </w:r>
          </w:p>
        </w:tc>
      </w:tr>
      <w:tr w:rsidR="003A29C7" w14:paraId="6862B7F5" w14:textId="77777777" w:rsidTr="00D30150">
        <w:trPr>
          <w:cnfStyle w:val="000000010000" w:firstRow="0" w:lastRow="0" w:firstColumn="0" w:lastColumn="0" w:oddVBand="0" w:evenVBand="0" w:oddHBand="0" w:evenHBand="1" w:firstRowFirstColumn="0" w:firstRowLastColumn="0" w:lastRowFirstColumn="0" w:lastRowLastColumn="0"/>
          <w:cantSplit/>
        </w:trPr>
        <w:tc>
          <w:tcPr>
            <w:tcW w:w="2425" w:type="dxa"/>
          </w:tcPr>
          <w:p w14:paraId="62A6310F" w14:textId="6E911522" w:rsidR="003A29C7" w:rsidRPr="009D2276" w:rsidRDefault="003A65B2" w:rsidP="003A29C7">
            <w:pPr>
              <w:rPr>
                <w:b/>
                <w:bCs/>
              </w:rPr>
            </w:pPr>
            <w:r>
              <w:t xml:space="preserve">June </w:t>
            </w:r>
            <w:r w:rsidR="003A29C7" w:rsidRPr="007F17C6">
              <w:t>2016</w:t>
            </w:r>
          </w:p>
        </w:tc>
        <w:tc>
          <w:tcPr>
            <w:tcW w:w="8365" w:type="dxa"/>
          </w:tcPr>
          <w:p w14:paraId="1811B914" w14:textId="77777777" w:rsidR="003A29C7" w:rsidRDefault="003A29C7" w:rsidP="003A29C7">
            <w:pPr>
              <w:rPr>
                <w:rFonts w:eastAsiaTheme="majorEastAsia"/>
                <w:szCs w:val="20"/>
              </w:rPr>
            </w:pPr>
            <w:r w:rsidRPr="00594AA2">
              <w:rPr>
                <w:rFonts w:eastAsiaTheme="majorEastAsia"/>
                <w:szCs w:val="20"/>
              </w:rPr>
              <w:t>Version 1</w:t>
            </w:r>
          </w:p>
          <w:p w14:paraId="1CB50A8E" w14:textId="7E9A794A" w:rsidR="00E86A00" w:rsidRPr="009D2276" w:rsidRDefault="00E86A00" w:rsidP="003A29C7">
            <w:r>
              <w:rPr>
                <w:rFonts w:eastAsiaTheme="majorEastAsia"/>
                <w:szCs w:val="20"/>
              </w:rPr>
              <w:t xml:space="preserve">Used </w:t>
            </w:r>
            <w:r w:rsidRPr="00E86A00">
              <w:rPr>
                <w:rFonts w:eastAsiaTheme="majorEastAsia"/>
                <w:szCs w:val="20"/>
              </w:rPr>
              <w:t>to prepare an EA for approval under TxDOT’s rules or under the NEPA Assignment Memorandum of Understanding with FHWA</w:t>
            </w:r>
            <w:r>
              <w:rPr>
                <w:rFonts w:eastAsiaTheme="majorEastAsia"/>
                <w:szCs w:val="20"/>
              </w:rPr>
              <w:t>.</w:t>
            </w:r>
          </w:p>
        </w:tc>
      </w:tr>
    </w:tbl>
    <w:p w14:paraId="0FD8A81C" w14:textId="77777777" w:rsidR="003F3CC1" w:rsidRPr="005D638D" w:rsidRDefault="003F3CC1" w:rsidP="00685AAE">
      <w:pPr>
        <w:pStyle w:val="NoSpacing"/>
      </w:pPr>
    </w:p>
    <w:sectPr w:rsidR="003F3CC1" w:rsidRPr="005D638D"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F081" w14:textId="77777777" w:rsidR="00081665" w:rsidRDefault="00081665" w:rsidP="00CE2B96">
      <w:pPr>
        <w:spacing w:after="0"/>
      </w:pPr>
      <w:r>
        <w:separator/>
      </w:r>
    </w:p>
  </w:endnote>
  <w:endnote w:type="continuationSeparator" w:id="0">
    <w:p w14:paraId="633DA55D" w14:textId="77777777" w:rsidR="00081665" w:rsidRDefault="00081665"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D0D" w14:textId="0F3E0F01"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9264" behindDoc="0" locked="0" layoutInCell="1" allowOverlap="1" wp14:anchorId="602BC6B8" wp14:editId="0A73755C">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E50BB"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16B70">
      <w:rPr>
        <w:color w:val="0056A9"/>
      </w:rPr>
      <w:t>Environmental Assessment Outline</w:t>
    </w:r>
    <w:r w:rsidR="0032481A">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53D770CE"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54DE" w14:textId="77777777" w:rsidR="00081665" w:rsidRDefault="00081665" w:rsidP="00CE2B96">
      <w:pPr>
        <w:spacing w:after="0"/>
      </w:pPr>
      <w:r>
        <w:separator/>
      </w:r>
    </w:p>
  </w:footnote>
  <w:footnote w:type="continuationSeparator" w:id="0">
    <w:p w14:paraId="714E682C" w14:textId="77777777" w:rsidR="00081665" w:rsidRDefault="00081665" w:rsidP="00CE2B96">
      <w:pPr>
        <w:spacing w:after="0"/>
      </w:pPr>
      <w:r>
        <w:continuationSeparator/>
      </w:r>
    </w:p>
  </w:footnote>
  <w:footnote w:id="1">
    <w:p w14:paraId="0DB0716A" w14:textId="70319218" w:rsidR="00042A54" w:rsidRPr="00042A54" w:rsidRDefault="00042A54" w:rsidP="00D30150">
      <w:r w:rsidRPr="00042A54">
        <w:rPr>
          <w:rStyle w:val="FootnoteReference"/>
        </w:rPr>
        <w:footnoteRef/>
      </w:r>
      <w:r w:rsidRPr="00042A54">
        <w:t xml:space="preserve"> Th</w:t>
      </w:r>
      <w:r>
        <w:t>is</w:t>
      </w:r>
      <w:r w:rsidRPr="00042A54">
        <w:t xml:space="preserve"> section must be included if the public hearing (or deadline for responding to the opportunity for public hearing) will occur on or after August 1, 2021. If the public hearing (or deadline for responding to the opportunity for public hearing) will occur before August 1, 2021, then th</w:t>
      </w:r>
      <w:r>
        <w:t>is</w:t>
      </w:r>
      <w:r w:rsidRPr="00042A54">
        <w:t xml:space="preserve"> section of the EA may be included at the preparer’s discretion.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A6EC" w14:textId="77777777" w:rsidR="001705BC" w:rsidRDefault="001705BC" w:rsidP="001705BC">
    <w:pPr>
      <w:pStyle w:val="Header"/>
      <w:spacing w:after="400"/>
      <w:jc w:val="right"/>
    </w:pPr>
    <w:r>
      <w:rPr>
        <w:noProof/>
      </w:rPr>
      <w:drawing>
        <wp:inline distT="0" distB="0" distL="0" distR="0" wp14:anchorId="4334D61B" wp14:editId="5D06926A">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2738"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841670"/>
    <w:lvl w:ilvl="0">
      <w:start w:val="1"/>
      <w:numFmt w:val="decimal"/>
      <w:pStyle w:val="ListNumber"/>
      <w:lvlText w:val="%1."/>
      <w:lvlJc w:val="left"/>
      <w:pPr>
        <w:tabs>
          <w:tab w:val="num" w:pos="360"/>
        </w:tabs>
        <w:ind w:left="360" w:hanging="360"/>
      </w:pPr>
    </w:lvl>
  </w:abstractNum>
  <w:abstractNum w:abstractNumId="1" w15:restartNumberingAfterBreak="0">
    <w:nsid w:val="3BF13EC3"/>
    <w:multiLevelType w:val="hybridMultilevel"/>
    <w:tmpl w:val="F154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62E19"/>
    <w:multiLevelType w:val="hybridMultilevel"/>
    <w:tmpl w:val="75A2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E0BBB"/>
    <w:multiLevelType w:val="multilevel"/>
    <w:tmpl w:val="8E88701A"/>
    <w:lvl w:ilvl="0">
      <w:start w:val="1"/>
      <w:numFmt w:val="bullet"/>
      <w:pStyle w:val="H1-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1394044276">
    <w:abstractNumId w:val="1"/>
  </w:num>
  <w:num w:numId="3" w16cid:durableId="799306295">
    <w:abstractNumId w:val="2"/>
  </w:num>
  <w:num w:numId="4" w16cid:durableId="2053915950">
    <w:abstractNumId w:val="3"/>
  </w:num>
  <w:num w:numId="5" w16cid:durableId="81652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65"/>
    <w:rsid w:val="00027163"/>
    <w:rsid w:val="0003040F"/>
    <w:rsid w:val="00042206"/>
    <w:rsid w:val="000425A9"/>
    <w:rsid w:val="00042A54"/>
    <w:rsid w:val="0005583F"/>
    <w:rsid w:val="00075AE3"/>
    <w:rsid w:val="00081665"/>
    <w:rsid w:val="000940FB"/>
    <w:rsid w:val="000A571D"/>
    <w:rsid w:val="000B2945"/>
    <w:rsid w:val="000B5A5C"/>
    <w:rsid w:val="000C7AD7"/>
    <w:rsid w:val="000E0386"/>
    <w:rsid w:val="000E2C9D"/>
    <w:rsid w:val="001026B8"/>
    <w:rsid w:val="0010454F"/>
    <w:rsid w:val="00105532"/>
    <w:rsid w:val="0010673C"/>
    <w:rsid w:val="001325D2"/>
    <w:rsid w:val="00146BE0"/>
    <w:rsid w:val="00156D29"/>
    <w:rsid w:val="001705BC"/>
    <w:rsid w:val="001761D7"/>
    <w:rsid w:val="00181735"/>
    <w:rsid w:val="0018694B"/>
    <w:rsid w:val="00190DCD"/>
    <w:rsid w:val="00191AFD"/>
    <w:rsid w:val="001A69C9"/>
    <w:rsid w:val="001B5185"/>
    <w:rsid w:val="001B6C26"/>
    <w:rsid w:val="001C3E75"/>
    <w:rsid w:val="001E5E7E"/>
    <w:rsid w:val="001F37F3"/>
    <w:rsid w:val="001F4FAC"/>
    <w:rsid w:val="002064B6"/>
    <w:rsid w:val="00216B70"/>
    <w:rsid w:val="002340C7"/>
    <w:rsid w:val="002376C2"/>
    <w:rsid w:val="002531E4"/>
    <w:rsid w:val="00273031"/>
    <w:rsid w:val="002805FC"/>
    <w:rsid w:val="00284504"/>
    <w:rsid w:val="00290571"/>
    <w:rsid w:val="00290A05"/>
    <w:rsid w:val="002934DC"/>
    <w:rsid w:val="002A12D5"/>
    <w:rsid w:val="002A75F2"/>
    <w:rsid w:val="002B1115"/>
    <w:rsid w:val="002C57BC"/>
    <w:rsid w:val="002D0309"/>
    <w:rsid w:val="002E08D4"/>
    <w:rsid w:val="00311264"/>
    <w:rsid w:val="00321066"/>
    <w:rsid w:val="0032481A"/>
    <w:rsid w:val="00336AEA"/>
    <w:rsid w:val="003956D1"/>
    <w:rsid w:val="003A1226"/>
    <w:rsid w:val="003A29C7"/>
    <w:rsid w:val="003A504F"/>
    <w:rsid w:val="003A65B2"/>
    <w:rsid w:val="003C577B"/>
    <w:rsid w:val="003D41C5"/>
    <w:rsid w:val="003E1328"/>
    <w:rsid w:val="003F3CC1"/>
    <w:rsid w:val="004112F8"/>
    <w:rsid w:val="0042061E"/>
    <w:rsid w:val="00427DBB"/>
    <w:rsid w:val="00437A34"/>
    <w:rsid w:val="0044155B"/>
    <w:rsid w:val="0045730D"/>
    <w:rsid w:val="004573D2"/>
    <w:rsid w:val="00473082"/>
    <w:rsid w:val="00487276"/>
    <w:rsid w:val="00493C2F"/>
    <w:rsid w:val="004A1071"/>
    <w:rsid w:val="004B325C"/>
    <w:rsid w:val="004E496F"/>
    <w:rsid w:val="004E7B23"/>
    <w:rsid w:val="004F697B"/>
    <w:rsid w:val="00501A04"/>
    <w:rsid w:val="005456F3"/>
    <w:rsid w:val="005555C5"/>
    <w:rsid w:val="005572B5"/>
    <w:rsid w:val="005803C1"/>
    <w:rsid w:val="00594AA2"/>
    <w:rsid w:val="005C72BE"/>
    <w:rsid w:val="005D35F1"/>
    <w:rsid w:val="005D638D"/>
    <w:rsid w:val="005D6FD8"/>
    <w:rsid w:val="005E451D"/>
    <w:rsid w:val="006125F2"/>
    <w:rsid w:val="006258E9"/>
    <w:rsid w:val="00626A92"/>
    <w:rsid w:val="00631C08"/>
    <w:rsid w:val="006405E8"/>
    <w:rsid w:val="00640ADD"/>
    <w:rsid w:val="0064565C"/>
    <w:rsid w:val="006468BA"/>
    <w:rsid w:val="006570D7"/>
    <w:rsid w:val="00667F7A"/>
    <w:rsid w:val="006841E7"/>
    <w:rsid w:val="006843AC"/>
    <w:rsid w:val="00685AAE"/>
    <w:rsid w:val="00687A4D"/>
    <w:rsid w:val="006B34EF"/>
    <w:rsid w:val="0070413E"/>
    <w:rsid w:val="0072002A"/>
    <w:rsid w:val="0072241B"/>
    <w:rsid w:val="00732552"/>
    <w:rsid w:val="007414D4"/>
    <w:rsid w:val="00742689"/>
    <w:rsid w:val="007524CB"/>
    <w:rsid w:val="00757078"/>
    <w:rsid w:val="00763838"/>
    <w:rsid w:val="00770C3F"/>
    <w:rsid w:val="00771021"/>
    <w:rsid w:val="007719E3"/>
    <w:rsid w:val="00773D73"/>
    <w:rsid w:val="00781A58"/>
    <w:rsid w:val="00791127"/>
    <w:rsid w:val="00794581"/>
    <w:rsid w:val="007A3B26"/>
    <w:rsid w:val="007B00A8"/>
    <w:rsid w:val="007C41CF"/>
    <w:rsid w:val="007D44B5"/>
    <w:rsid w:val="007E4B7F"/>
    <w:rsid w:val="007F17C6"/>
    <w:rsid w:val="008268C1"/>
    <w:rsid w:val="00854965"/>
    <w:rsid w:val="0086528F"/>
    <w:rsid w:val="0087110F"/>
    <w:rsid w:val="0087184C"/>
    <w:rsid w:val="00885A03"/>
    <w:rsid w:val="008905E4"/>
    <w:rsid w:val="00893375"/>
    <w:rsid w:val="00894429"/>
    <w:rsid w:val="008B49EB"/>
    <w:rsid w:val="00900E33"/>
    <w:rsid w:val="00900F14"/>
    <w:rsid w:val="00915FFB"/>
    <w:rsid w:val="009160AB"/>
    <w:rsid w:val="0091704D"/>
    <w:rsid w:val="00917F65"/>
    <w:rsid w:val="009260DC"/>
    <w:rsid w:val="009357DC"/>
    <w:rsid w:val="00954D0A"/>
    <w:rsid w:val="00955095"/>
    <w:rsid w:val="00967F5A"/>
    <w:rsid w:val="00976A16"/>
    <w:rsid w:val="00995A37"/>
    <w:rsid w:val="009A29EE"/>
    <w:rsid w:val="009F2854"/>
    <w:rsid w:val="009F72F5"/>
    <w:rsid w:val="00A07068"/>
    <w:rsid w:val="00A07348"/>
    <w:rsid w:val="00A166DE"/>
    <w:rsid w:val="00A22F82"/>
    <w:rsid w:val="00A44609"/>
    <w:rsid w:val="00A47D0D"/>
    <w:rsid w:val="00A517D8"/>
    <w:rsid w:val="00A566D2"/>
    <w:rsid w:val="00A71049"/>
    <w:rsid w:val="00A858D7"/>
    <w:rsid w:val="00AB66BA"/>
    <w:rsid w:val="00AD4351"/>
    <w:rsid w:val="00AE1A16"/>
    <w:rsid w:val="00B27E44"/>
    <w:rsid w:val="00B406D5"/>
    <w:rsid w:val="00B42E87"/>
    <w:rsid w:val="00B46482"/>
    <w:rsid w:val="00B55323"/>
    <w:rsid w:val="00B572FC"/>
    <w:rsid w:val="00B60CA2"/>
    <w:rsid w:val="00B63CB8"/>
    <w:rsid w:val="00B84690"/>
    <w:rsid w:val="00B85D46"/>
    <w:rsid w:val="00B86036"/>
    <w:rsid w:val="00B900B0"/>
    <w:rsid w:val="00B90234"/>
    <w:rsid w:val="00BC3EA5"/>
    <w:rsid w:val="00BD2218"/>
    <w:rsid w:val="00BD7E0B"/>
    <w:rsid w:val="00C02127"/>
    <w:rsid w:val="00C10F1E"/>
    <w:rsid w:val="00C12FAB"/>
    <w:rsid w:val="00C27D7B"/>
    <w:rsid w:val="00C27E67"/>
    <w:rsid w:val="00C31BC5"/>
    <w:rsid w:val="00C427E4"/>
    <w:rsid w:val="00C77016"/>
    <w:rsid w:val="00C923ED"/>
    <w:rsid w:val="00CB2FFC"/>
    <w:rsid w:val="00CB612B"/>
    <w:rsid w:val="00CC00DC"/>
    <w:rsid w:val="00CD07DC"/>
    <w:rsid w:val="00CE2B96"/>
    <w:rsid w:val="00CE6A5A"/>
    <w:rsid w:val="00CF0FA4"/>
    <w:rsid w:val="00D058C9"/>
    <w:rsid w:val="00D07333"/>
    <w:rsid w:val="00D11322"/>
    <w:rsid w:val="00D11E64"/>
    <w:rsid w:val="00D2036F"/>
    <w:rsid w:val="00D30150"/>
    <w:rsid w:val="00D40655"/>
    <w:rsid w:val="00D4473A"/>
    <w:rsid w:val="00D46BC3"/>
    <w:rsid w:val="00D52D93"/>
    <w:rsid w:val="00D63C07"/>
    <w:rsid w:val="00D641FB"/>
    <w:rsid w:val="00D65169"/>
    <w:rsid w:val="00D83130"/>
    <w:rsid w:val="00DA4BE5"/>
    <w:rsid w:val="00DB6A6F"/>
    <w:rsid w:val="00DC3074"/>
    <w:rsid w:val="00DD5129"/>
    <w:rsid w:val="00DE6ED5"/>
    <w:rsid w:val="00E03A65"/>
    <w:rsid w:val="00E04EB5"/>
    <w:rsid w:val="00E0763E"/>
    <w:rsid w:val="00E15D9F"/>
    <w:rsid w:val="00E302A4"/>
    <w:rsid w:val="00E33825"/>
    <w:rsid w:val="00E42ACE"/>
    <w:rsid w:val="00E47D85"/>
    <w:rsid w:val="00E50774"/>
    <w:rsid w:val="00E75EDD"/>
    <w:rsid w:val="00E800B4"/>
    <w:rsid w:val="00E80568"/>
    <w:rsid w:val="00E83835"/>
    <w:rsid w:val="00E86A00"/>
    <w:rsid w:val="00EA6396"/>
    <w:rsid w:val="00EA6D60"/>
    <w:rsid w:val="00EB0613"/>
    <w:rsid w:val="00EB1FC3"/>
    <w:rsid w:val="00EC2243"/>
    <w:rsid w:val="00ED4790"/>
    <w:rsid w:val="00EE6DDC"/>
    <w:rsid w:val="00EF727D"/>
    <w:rsid w:val="00EF7847"/>
    <w:rsid w:val="00F0497F"/>
    <w:rsid w:val="00F11034"/>
    <w:rsid w:val="00F1109F"/>
    <w:rsid w:val="00F21D3E"/>
    <w:rsid w:val="00F22C28"/>
    <w:rsid w:val="00F35F29"/>
    <w:rsid w:val="00F43B43"/>
    <w:rsid w:val="00F44653"/>
    <w:rsid w:val="00F53357"/>
    <w:rsid w:val="00F54740"/>
    <w:rsid w:val="00F63F58"/>
    <w:rsid w:val="00F662D3"/>
    <w:rsid w:val="00F87596"/>
    <w:rsid w:val="00FA12FD"/>
    <w:rsid w:val="00FA767C"/>
    <w:rsid w:val="00FB1154"/>
    <w:rsid w:val="00FB2FFC"/>
    <w:rsid w:val="00FB3F6D"/>
    <w:rsid w:val="00FC4A49"/>
    <w:rsid w:val="00FF37A0"/>
    <w:rsid w:val="00FF4496"/>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345B"/>
  <w15:chartTrackingRefBased/>
  <w15:docId w15:val="{A3F00EB9-94D3-4BEA-96EC-AA864A14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CE"/>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paragraph" w:customStyle="1" w:styleId="CHH1-Text">
    <w:name w:val="CH_H1-Text"/>
    <w:basedOn w:val="Normal"/>
    <w:next w:val="Normal"/>
    <w:link w:val="CHH1-TextChar"/>
    <w:qFormat/>
    <w:rsid w:val="0072241B"/>
    <w:pPr>
      <w:autoSpaceDE w:val="0"/>
      <w:autoSpaceDN w:val="0"/>
      <w:adjustRightInd w:val="0"/>
      <w:spacing w:before="120" w:after="120" w:line="276" w:lineRule="auto"/>
    </w:pPr>
    <w:rPr>
      <w:rFonts w:ascii="Arial" w:eastAsia="Arial" w:hAnsi="Arial" w:cs="Arial"/>
      <w:color w:val="auto"/>
      <w:kern w:val="0"/>
      <w:sz w:val="20"/>
      <w14:ligatures w14:val="none"/>
    </w:rPr>
  </w:style>
  <w:style w:type="character" w:customStyle="1" w:styleId="CHH1-TextChar">
    <w:name w:val="CH_H1-Text Char"/>
    <w:link w:val="CHH1-Text"/>
    <w:rsid w:val="0072241B"/>
    <w:rPr>
      <w:rFonts w:ascii="Arial" w:eastAsia="Arial" w:hAnsi="Arial" w:cs="Arial"/>
      <w:kern w:val="0"/>
      <w:sz w:val="20"/>
      <w14:ligatures w14:val="none"/>
    </w:rPr>
  </w:style>
  <w:style w:type="paragraph" w:customStyle="1" w:styleId="H1-Bullet">
    <w:name w:val="H1-Bullet"/>
    <w:basedOn w:val="Normal"/>
    <w:link w:val="H1-BulletChar"/>
    <w:qFormat/>
    <w:rsid w:val="0072241B"/>
    <w:pPr>
      <w:numPr>
        <w:numId w:val="4"/>
      </w:numPr>
      <w:spacing w:after="120" w:line="276" w:lineRule="auto"/>
      <w:contextualSpacing/>
    </w:pPr>
    <w:rPr>
      <w:rFonts w:ascii="Arial" w:eastAsia="Calibri" w:hAnsi="Arial" w:cs="Times New Roman"/>
      <w:color w:val="auto"/>
      <w:kern w:val="0"/>
      <w:sz w:val="20"/>
      <w:szCs w:val="22"/>
      <w14:ligatures w14:val="none"/>
    </w:rPr>
  </w:style>
  <w:style w:type="character" w:customStyle="1" w:styleId="H1-BulletChar">
    <w:name w:val="H1-Bullet Char"/>
    <w:link w:val="H1-Bullet"/>
    <w:rsid w:val="0072241B"/>
    <w:rPr>
      <w:rFonts w:ascii="Arial" w:eastAsia="Calibri" w:hAnsi="Arial" w:cs="Times New Roman"/>
      <w:kern w:val="0"/>
      <w:sz w:val="20"/>
      <w:szCs w:val="22"/>
      <w14:ligatures w14:val="none"/>
    </w:rPr>
  </w:style>
  <w:style w:type="paragraph" w:customStyle="1" w:styleId="CHTabletextleft">
    <w:name w:val="CH_Table text left"/>
    <w:basedOn w:val="Normal"/>
    <w:qFormat/>
    <w:rsid w:val="0072241B"/>
    <w:pPr>
      <w:keepNext/>
      <w:keepLines/>
      <w:autoSpaceDE w:val="0"/>
      <w:autoSpaceDN w:val="0"/>
      <w:adjustRightInd w:val="0"/>
      <w:spacing w:after="0" w:line="240" w:lineRule="auto"/>
    </w:pPr>
    <w:rPr>
      <w:rFonts w:ascii="Arial" w:eastAsia="Arial" w:hAnsi="Arial" w:cs="Arial"/>
      <w:bCs/>
      <w:color w:val="auto"/>
      <w:kern w:val="0"/>
      <w:sz w:val="20"/>
      <w:szCs w:val="22"/>
      <w14:ligatures w14:val="none"/>
    </w:rPr>
  </w:style>
  <w:style w:type="character" w:styleId="CommentReference">
    <w:name w:val="annotation reference"/>
    <w:basedOn w:val="DefaultParagraphFont"/>
    <w:uiPriority w:val="99"/>
    <w:semiHidden/>
    <w:unhideWhenUsed/>
    <w:rsid w:val="00E800B4"/>
    <w:rPr>
      <w:sz w:val="16"/>
      <w:szCs w:val="16"/>
    </w:rPr>
  </w:style>
  <w:style w:type="paragraph" w:styleId="CommentText">
    <w:name w:val="annotation text"/>
    <w:basedOn w:val="Normal"/>
    <w:link w:val="CommentTextChar"/>
    <w:uiPriority w:val="99"/>
    <w:unhideWhenUsed/>
    <w:rsid w:val="00E800B4"/>
    <w:pPr>
      <w:spacing w:line="240" w:lineRule="auto"/>
    </w:pPr>
    <w:rPr>
      <w:sz w:val="20"/>
      <w:szCs w:val="20"/>
    </w:rPr>
  </w:style>
  <w:style w:type="character" w:customStyle="1" w:styleId="CommentTextChar">
    <w:name w:val="Comment Text Char"/>
    <w:basedOn w:val="DefaultParagraphFont"/>
    <w:link w:val="CommentText"/>
    <w:uiPriority w:val="99"/>
    <w:rsid w:val="00E800B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800B4"/>
    <w:rPr>
      <w:b/>
      <w:bCs/>
    </w:rPr>
  </w:style>
  <w:style w:type="character" w:customStyle="1" w:styleId="CommentSubjectChar">
    <w:name w:val="Comment Subject Char"/>
    <w:basedOn w:val="CommentTextChar"/>
    <w:link w:val="CommentSubject"/>
    <w:uiPriority w:val="99"/>
    <w:semiHidden/>
    <w:rsid w:val="00E800B4"/>
    <w:rPr>
      <w:b/>
      <w:bCs/>
      <w:color w:val="000000" w:themeColor="text1"/>
      <w:sz w:val="20"/>
      <w:szCs w:val="20"/>
    </w:rPr>
  </w:style>
  <w:style w:type="paragraph" w:styleId="ListNumber">
    <w:name w:val="List Number"/>
    <w:basedOn w:val="Normal"/>
    <w:uiPriority w:val="99"/>
    <w:unhideWhenUsed/>
    <w:rsid w:val="00FF37A0"/>
    <w:pPr>
      <w:numPr>
        <w:numId w:val="5"/>
      </w:numPr>
      <w:contextualSpacing/>
    </w:pPr>
  </w:style>
  <w:style w:type="table" w:customStyle="1" w:styleId="ATFTxDOTTable">
    <w:name w:val="ATF TxDOT Table"/>
    <w:basedOn w:val="TableNormal"/>
    <w:uiPriority w:val="99"/>
    <w:rsid w:val="006841E7"/>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54740"/>
    <w:pPr>
      <w:spacing w:line="240" w:lineRule="auto"/>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8030A-1151-48DB-8A23-26F7EDCC7F4A}">
  <ds:schemaRefs>
    <ds:schemaRef ds:uri="7fef7c20-eb6f-4e1b-9e04-31bde27da1d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F92539-48E2-499D-837F-B5B4EB1284EE}"/>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Environmental Assessment Outline</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 Outline</dc:title>
  <dc:subject>Used to prepare an EA for approval under TxDOT’s rules or under the NEPA Assignment Memorandum of Understanding with FHWA.</dc:subject>
  <dc:creator>TxDOT</dc:creator>
  <cp:keywords> 620-01-ds; environmental assessent; outline</cp:keywords>
  <dc:description>Word; Accessibility; Template</dc:description>
  <cp:lastModifiedBy>Lauren Miller</cp:lastModifiedBy>
  <cp:revision>85</cp:revision>
  <dcterms:created xsi:type="dcterms:W3CDTF">2025-12-29T22:17:00Z</dcterms:created>
  <dcterms:modified xsi:type="dcterms:W3CDTF">2026-02-03T20:28:00Z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