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D55E5" w14:textId="79172FF1" w:rsidR="00581C8B" w:rsidRPr="00C87EDA" w:rsidRDefault="00581C8B" w:rsidP="00C87EDA">
      <w:pPr>
        <w:pStyle w:val="Heading1"/>
      </w:pPr>
      <w:r w:rsidRPr="00C87EDA">
        <w:t>Documentation Standard</w:t>
      </w:r>
      <w:r w:rsidR="00CA3AA1" w:rsidRPr="00C87EDA">
        <w:t xml:space="preserve"> Individual Section 4(f) Evaluation</w:t>
      </w:r>
    </w:p>
    <w:p w14:paraId="616ED905" w14:textId="77777777" w:rsidR="00C63105" w:rsidRPr="00C63105" w:rsidRDefault="00C63105" w:rsidP="00B8674C">
      <w:r w:rsidRPr="00C63105">
        <w:t xml:space="preserve">Use this documentation standard to prepare an individual Section 4(f) evaluation in accordance with the instructions for the “Obtain Section 4(f) Approval” Activity in </w:t>
      </w:r>
      <w:r w:rsidRPr="00DE55FC">
        <w:rPr>
          <w:i/>
          <w:iCs/>
        </w:rPr>
        <w:t>Environmental Guide Volume 2: Activity Instructions</w:t>
      </w:r>
      <w:r w:rsidRPr="00C63105">
        <w:t>.</w:t>
      </w:r>
    </w:p>
    <w:p w14:paraId="7488740D" w14:textId="67B1DDDF" w:rsidR="00C63105" w:rsidRPr="00C63105" w:rsidRDefault="00C63105" w:rsidP="00B8674C">
      <w:r w:rsidRPr="00C63105">
        <w:t>This documentation standard is used for both parks</w:t>
      </w:r>
      <w:r w:rsidR="00680303">
        <w:t xml:space="preserve">, </w:t>
      </w:r>
      <w:r w:rsidRPr="00C63105">
        <w:t>recreation areas</w:t>
      </w:r>
      <w:r w:rsidR="00680303">
        <w:t xml:space="preserve"> or </w:t>
      </w:r>
      <w:r w:rsidRPr="00C63105">
        <w:t>refuges and historic sites.</w:t>
      </w:r>
    </w:p>
    <w:p w14:paraId="31D90265" w14:textId="7B7B3CF1" w:rsidR="00C63105" w:rsidRPr="00C63105" w:rsidRDefault="00C63105" w:rsidP="00B8674C">
      <w:r w:rsidRPr="00C63105">
        <w:t xml:space="preserve">If the project </w:t>
      </w:r>
      <w:proofErr w:type="gramStart"/>
      <w:r w:rsidRPr="00C63105">
        <w:t>will use</w:t>
      </w:r>
      <w:proofErr w:type="gramEnd"/>
      <w:r w:rsidRPr="00C63105">
        <w:t xml:space="preserve"> multiple Section 4(f) properties, address all properties in a single individual Section 4(f) evaluation document (Section </w:t>
      </w:r>
      <w:r w:rsidR="006C2174">
        <w:t>2</w:t>
      </w:r>
      <w:r w:rsidRPr="00C63105">
        <w:t>.</w:t>
      </w:r>
      <w:r w:rsidR="00DE55FC">
        <w:t>0</w:t>
      </w:r>
      <w:r w:rsidRPr="00C63105">
        <w:t xml:space="preserve"> below will be repeated and re-numbered for each such property).</w:t>
      </w:r>
    </w:p>
    <w:p w14:paraId="6D3DB747" w14:textId="5591B3BF" w:rsidR="00C63105" w:rsidRPr="00A47B7B" w:rsidRDefault="00C63105" w:rsidP="00B8674C">
      <w:r>
        <w:t xml:space="preserve">Also, do </w:t>
      </w:r>
      <w:proofErr w:type="gramStart"/>
      <w:r>
        <w:t>not do</w:t>
      </w:r>
      <w:proofErr w:type="gramEnd"/>
      <w:r>
        <w:t xml:space="preserve"> separate individual Section 4(f) evaluation documents for parks</w:t>
      </w:r>
      <w:r w:rsidR="00680303">
        <w:t xml:space="preserve">, </w:t>
      </w:r>
      <w:r>
        <w:t>recreation areas</w:t>
      </w:r>
      <w:r w:rsidR="00680303">
        <w:t>, or r</w:t>
      </w:r>
      <w:r>
        <w:t>efuges versus historic sites.</w:t>
      </w:r>
      <w:r w:rsidR="00481407">
        <w:t xml:space="preserve"> </w:t>
      </w:r>
      <w:r>
        <w:t xml:space="preserve">If the project </w:t>
      </w:r>
      <w:proofErr w:type="gramStart"/>
      <w:r>
        <w:t>will involve</w:t>
      </w:r>
      <w:proofErr w:type="gramEnd"/>
      <w:r>
        <w:t xml:space="preserve"> </w:t>
      </w:r>
      <w:proofErr w:type="gramStart"/>
      <w:r>
        <w:t>a use</w:t>
      </w:r>
      <w:proofErr w:type="gramEnd"/>
      <w:r>
        <w:t xml:space="preserve"> of both parks</w:t>
      </w:r>
      <w:r w:rsidR="00680303">
        <w:t xml:space="preserve">, </w:t>
      </w:r>
      <w:r>
        <w:t>recreation area</w:t>
      </w:r>
      <w:r w:rsidR="00680303">
        <w:t xml:space="preserve">s, or </w:t>
      </w:r>
      <w:r>
        <w:t>refuges and historic sites, both kinds of Section 4(f) properties will be evaluated in a single individual Section 4(f) evaluation document.</w:t>
      </w:r>
    </w:p>
    <w:p w14:paraId="73AD0FC8" w14:textId="046569ED" w:rsidR="00C63105" w:rsidRDefault="00C63105" w:rsidP="00B8674C">
      <w:r>
        <w:t xml:space="preserve">Use this documentation standard in conjunction with </w:t>
      </w:r>
      <w:r w:rsidR="00C427D2">
        <w:t>Environmental Affairs</w:t>
      </w:r>
      <w:r w:rsidR="00DE55FC">
        <w:t xml:space="preserve"> Division</w:t>
      </w:r>
      <w:r w:rsidR="00C427D2">
        <w:t xml:space="preserve"> (</w:t>
      </w:r>
      <w:r>
        <w:t>ENV</w:t>
      </w:r>
      <w:r w:rsidR="00C427D2">
        <w:t>)</w:t>
      </w:r>
      <w:r>
        <w:t xml:space="preserve"> generic environmental report template to prepare an individual Section 4(f) evaluation.</w:t>
      </w:r>
      <w:r w:rsidR="00481407">
        <w:t xml:space="preserve"> </w:t>
      </w:r>
      <w:r>
        <w:t xml:space="preserve">The generic environmental report template is available on </w:t>
      </w:r>
      <w:hyperlink r:id="rId11" w:history="1">
        <w:r w:rsidRPr="00C63105">
          <w:t xml:space="preserve">ENV’s </w:t>
        </w:r>
        <w:r w:rsidRPr="006C2174">
          <w:rPr>
            <w:i/>
            <w:iCs/>
          </w:rPr>
          <w:t>Environmental Compliance Toolkits</w:t>
        </w:r>
        <w:r w:rsidRPr="00C63105">
          <w:t xml:space="preserve"> page</w:t>
        </w:r>
      </w:hyperlink>
      <w:r>
        <w:t xml:space="preserve"> on</w:t>
      </w:r>
      <w:r w:rsidRPr="00DE55FC">
        <w:t xml:space="preserve"> www.TxDOT.gov.</w:t>
      </w:r>
    </w:p>
    <w:p w14:paraId="6CAAA309" w14:textId="5A4F2FE9" w:rsidR="000C784A" w:rsidRPr="00077CE9" w:rsidRDefault="00C63105" w:rsidP="00B8674C">
      <w:r>
        <w:t xml:space="preserve">For additional guidance on Section 4(f) see </w:t>
      </w:r>
      <w:r w:rsidR="00C427D2">
        <w:t>Federal Highway Administration (</w:t>
      </w:r>
      <w:hyperlink r:id="rId12" w:history="1">
        <w:r w:rsidRPr="00C63105">
          <w:t>FHWA</w:t>
        </w:r>
        <w:r w:rsidR="00C427D2">
          <w:t>)</w:t>
        </w:r>
        <w:r w:rsidR="00DE55FC">
          <w:t>’s</w:t>
        </w:r>
        <w:r w:rsidRPr="00C63105">
          <w:t xml:space="preserve"> </w:t>
        </w:r>
        <w:r w:rsidRPr="00543CC1">
          <w:rPr>
            <w:i/>
            <w:iCs/>
          </w:rPr>
          <w:t>Section 4(f) Policy Paper</w:t>
        </w:r>
      </w:hyperlink>
      <w:r>
        <w:t>.</w:t>
      </w:r>
    </w:p>
    <w:p w14:paraId="37D3DEB0" w14:textId="017ED572" w:rsidR="001C12E5" w:rsidRPr="00E27D9F" w:rsidRDefault="001225FE" w:rsidP="001225FE">
      <w:pPr>
        <w:pStyle w:val="Heading2"/>
      </w:pPr>
      <w:bookmarkStart w:id="0" w:name="_Toc217895686"/>
      <w:bookmarkStart w:id="1" w:name="_Toc229654697"/>
      <w:r>
        <w:rPr>
          <w:bCs/>
        </w:rPr>
        <w:t>1.0 I</w:t>
      </w:r>
      <w:r w:rsidR="00DC480D" w:rsidRPr="00E27D9F">
        <w:rPr>
          <w:bCs/>
        </w:rPr>
        <w:t>ntroduction</w:t>
      </w:r>
      <w:bookmarkEnd w:id="0"/>
      <w:bookmarkEnd w:id="1"/>
    </w:p>
    <w:p w14:paraId="2773FB31" w14:textId="5BB5708A" w:rsidR="00290A49" w:rsidRDefault="00290A49" w:rsidP="00767522">
      <w:r w:rsidRPr="00A82D0C">
        <w:rPr>
          <w:b/>
          <w:bCs/>
        </w:rPr>
        <w:t>Briefly</w:t>
      </w:r>
      <w:r>
        <w:t xml:space="preserve"> describe the project using language from the project description on the </w:t>
      </w:r>
      <w:r w:rsidR="00DE55FC">
        <w:t>Work Plan Development (</w:t>
      </w:r>
      <w:r>
        <w:t>WPD</w:t>
      </w:r>
      <w:proofErr w:type="gramStart"/>
      <w:r w:rsidR="00DE55FC">
        <w:t>)</w:t>
      </w:r>
      <w:r>
        <w:t xml:space="preserve"> I</w:t>
      </w:r>
      <w:proofErr w:type="gramEnd"/>
      <w:r>
        <w:t xml:space="preserve"> page in </w:t>
      </w:r>
      <w:r w:rsidR="00EA6A4B">
        <w:t xml:space="preserve">Environmental Compliance Oversight </w:t>
      </w:r>
      <w:r w:rsidR="00EA6A4B" w:rsidRPr="00EA6A4B">
        <w:t>System (</w:t>
      </w:r>
      <w:r w:rsidRPr="00EA6A4B">
        <w:t>ECOS</w:t>
      </w:r>
      <w:r w:rsidR="00EA6A4B" w:rsidRPr="00EA6A4B">
        <w:t>)</w:t>
      </w:r>
      <w:r w:rsidRPr="00EA6A4B">
        <w:t>.</w:t>
      </w:r>
    </w:p>
    <w:p w14:paraId="277859D3" w14:textId="46CE2BA9" w:rsidR="00290A49" w:rsidRDefault="00290A49" w:rsidP="00DE55FC">
      <w:pPr>
        <w:keepLines w:val="0"/>
      </w:pPr>
      <w:r w:rsidRPr="00A82D0C">
        <w:rPr>
          <w:b/>
          <w:bCs/>
        </w:rPr>
        <w:t>Briefly</w:t>
      </w:r>
      <w:r>
        <w:t xml:space="preserve"> list each of the Section 4(f) properties that will be subject to a “use” by indicating the name, address, and type of property (</w:t>
      </w:r>
      <w:r w:rsidR="00FC4F60">
        <w:t>that is,</w:t>
      </w:r>
      <w:r>
        <w:t xml:space="preserve"> “park,” “historic site,” </w:t>
      </w:r>
      <w:r w:rsidR="00B50C26">
        <w:t>etcetera</w:t>
      </w:r>
      <w:r>
        <w:t>.).</w:t>
      </w:r>
      <w:r w:rsidR="00481407">
        <w:t xml:space="preserve"> </w:t>
      </w:r>
      <w:r>
        <w:t>If a property is both a park and a historic site, state so.</w:t>
      </w:r>
      <w:r w:rsidR="00481407">
        <w:t xml:space="preserve"> </w:t>
      </w:r>
      <w:r>
        <w:t xml:space="preserve">There will be a more </w:t>
      </w:r>
      <w:r>
        <w:lastRenderedPageBreak/>
        <w:t xml:space="preserve">detailed description of each property under Section </w:t>
      </w:r>
      <w:r w:rsidR="00542D23">
        <w:t>2</w:t>
      </w:r>
      <w:r w:rsidR="00DE55FC">
        <w:t>.0</w:t>
      </w:r>
      <w:r>
        <w:t>. below.</w:t>
      </w:r>
      <w:r w:rsidR="00481407">
        <w:t xml:space="preserve"> </w:t>
      </w:r>
      <w:r>
        <w:t>For the definition of a “use,” see 23</w:t>
      </w:r>
      <w:r w:rsidR="00F6500E">
        <w:t xml:space="preserve"> Code of Federal Regulations</w:t>
      </w:r>
      <w:r>
        <w:t xml:space="preserve"> </w:t>
      </w:r>
      <w:r w:rsidR="00F6500E">
        <w:t>(</w:t>
      </w:r>
      <w:r>
        <w:t>CFR</w:t>
      </w:r>
      <w:r w:rsidR="00F6500E">
        <w:t>)</w:t>
      </w:r>
      <w:r>
        <w:t xml:space="preserve"> 774.17 and Section 7 of FHWA’s </w:t>
      </w:r>
      <w:r w:rsidRPr="00543CC1">
        <w:rPr>
          <w:i/>
          <w:iCs/>
        </w:rPr>
        <w:t>Section 4(f) Policy Paper</w:t>
      </w:r>
      <w:r>
        <w:t>.</w:t>
      </w:r>
    </w:p>
    <w:p w14:paraId="0CCFA9B9" w14:textId="77777777" w:rsidR="00B8674C" w:rsidRDefault="00290A49" w:rsidP="00B8674C">
      <w:r>
        <w:t xml:space="preserve">Explain that this individual Section 4(f) evaluation is being prepared to comply with Section 4(f) of the Department of Transportation Act of 1966 (23 </w:t>
      </w:r>
      <w:r w:rsidR="00F6500E">
        <w:t>United States Code</w:t>
      </w:r>
      <w:r>
        <w:t xml:space="preserve"> 138) and FHWA’s regulations implementing Section 4(f) (23 CFR Part 774).</w:t>
      </w:r>
    </w:p>
    <w:p w14:paraId="019515B5" w14:textId="0D97B504" w:rsidR="003A1CDF" w:rsidRPr="005D4588" w:rsidRDefault="00B8674C" w:rsidP="00B8674C">
      <w:pPr>
        <w:pStyle w:val="Heading2"/>
      </w:pPr>
      <w:r>
        <w:t xml:space="preserve">2.0 </w:t>
      </w:r>
      <w:r w:rsidR="00572A00" w:rsidRPr="005D1618">
        <w:t xml:space="preserve">Section 4(f) </w:t>
      </w:r>
      <w:r w:rsidR="00572A00">
        <w:t>Evaluation</w:t>
      </w:r>
      <w:r w:rsidR="00572A00" w:rsidRPr="005D1618">
        <w:t xml:space="preserve"> for </w:t>
      </w:r>
      <w:r w:rsidR="003E4817">
        <w:rPr>
          <w:highlight w:val="lightGray"/>
        </w:rPr>
        <w:t>[</w:t>
      </w:r>
      <w:r w:rsidR="00572A00" w:rsidRPr="005D1618">
        <w:rPr>
          <w:highlight w:val="lightGray"/>
        </w:rPr>
        <w:t xml:space="preserve">insert name of the </w:t>
      </w:r>
      <w:r w:rsidR="00572A00" w:rsidRPr="005F590A">
        <w:rPr>
          <w:highlight w:val="lightGray"/>
        </w:rPr>
        <w:t>first</w:t>
      </w:r>
      <w:r w:rsidR="00572A00" w:rsidRPr="005D1618">
        <w:rPr>
          <w:highlight w:val="lightGray"/>
        </w:rPr>
        <w:t xml:space="preserve"> Section 4(f) property that will be subject to a “use”</w:t>
      </w:r>
      <w:r w:rsidR="003E4817" w:rsidRPr="00B65C4A">
        <w:rPr>
          <w:highlight w:val="lightGray"/>
        </w:rPr>
        <w:t>]</w:t>
      </w:r>
    </w:p>
    <w:p w14:paraId="6C88084E" w14:textId="7B883AD8" w:rsidR="00515BD3" w:rsidRPr="00767522" w:rsidRDefault="00515BD3" w:rsidP="00767522">
      <w:r w:rsidRPr="00767522">
        <w:t>If the property qualifies as both a park</w:t>
      </w:r>
      <w:r w:rsidR="009F6C39">
        <w:t xml:space="preserve">, </w:t>
      </w:r>
      <w:r w:rsidRPr="00767522">
        <w:t>recreation area</w:t>
      </w:r>
      <w:r w:rsidR="0028091F">
        <w:t>, or</w:t>
      </w:r>
      <w:r w:rsidR="009F6C39">
        <w:t xml:space="preserve"> </w:t>
      </w:r>
      <w:r w:rsidRPr="00767522">
        <w:t xml:space="preserve">refuge and an historic site, evaluate the property only once under this Section </w:t>
      </w:r>
      <w:r w:rsidR="0004145A">
        <w:t>2</w:t>
      </w:r>
      <w:r w:rsidR="00DE55FC">
        <w:t>.0</w:t>
      </w:r>
      <w:r w:rsidRPr="00767522">
        <w:t>, with explanation of both park</w:t>
      </w:r>
      <w:r w:rsidR="0028091F">
        <w:t xml:space="preserve">, </w:t>
      </w:r>
      <w:r w:rsidRPr="00767522">
        <w:t>recreation area</w:t>
      </w:r>
      <w:r w:rsidR="0028091F">
        <w:t xml:space="preserve">, or </w:t>
      </w:r>
      <w:r w:rsidRPr="00767522">
        <w:t>refuge and historic site considerations (</w:t>
      </w:r>
      <w:r w:rsidR="00FC4F60">
        <w:t>that is</w:t>
      </w:r>
      <w:r w:rsidRPr="00767522">
        <w:t xml:space="preserve">, do not repeat this entire Section </w:t>
      </w:r>
      <w:r w:rsidR="0004145A">
        <w:t>2</w:t>
      </w:r>
      <w:r w:rsidR="00DE55FC">
        <w:t>.0</w:t>
      </w:r>
      <w:r w:rsidRPr="00767522">
        <w:t xml:space="preserve"> for the same property, once as a park</w:t>
      </w:r>
      <w:r w:rsidR="00A942FD">
        <w:t xml:space="preserve">, </w:t>
      </w:r>
      <w:r w:rsidRPr="00767522">
        <w:t>recreation area</w:t>
      </w:r>
      <w:r w:rsidR="00A942FD">
        <w:t xml:space="preserve">, or </w:t>
      </w:r>
      <w:r w:rsidRPr="00767522">
        <w:t>refuge and a second time as an historic site).</w:t>
      </w:r>
    </w:p>
    <w:p w14:paraId="24368D2F" w14:textId="555D1BBB" w:rsidR="003A1CDF" w:rsidRPr="00767522" w:rsidRDefault="00515BD3" w:rsidP="00767522">
      <w:r w:rsidRPr="00767522">
        <w:t xml:space="preserve">If the project is an </w:t>
      </w:r>
      <w:r w:rsidR="002A7124">
        <w:t>Environmental Impact Statement (</w:t>
      </w:r>
      <w:r w:rsidR="00DE55FC">
        <w:t>EIS)</w:t>
      </w:r>
      <w:r w:rsidRPr="00767522">
        <w:t xml:space="preserve"> project, or an </w:t>
      </w:r>
      <w:r w:rsidR="002A7124">
        <w:t>Environmental Assessment (EA)</w:t>
      </w:r>
      <w:r w:rsidRPr="00767522">
        <w:t xml:space="preserve"> project with more than one build alternative being evaluated throughout the EA, then it is only necessary to discuss the preferred alternative under this Section </w:t>
      </w:r>
      <w:r w:rsidR="0004145A">
        <w:t>2</w:t>
      </w:r>
      <w:r w:rsidRPr="00767522">
        <w:t>.</w:t>
      </w:r>
      <w:r w:rsidR="00DE55FC">
        <w:t>0.</w:t>
      </w:r>
    </w:p>
    <w:p w14:paraId="560CB67B" w14:textId="109F95BE" w:rsidR="002D485C" w:rsidRPr="00FD6EF6" w:rsidRDefault="002D485C" w:rsidP="00184DA7">
      <w:pPr>
        <w:pStyle w:val="Heading3"/>
        <w:numPr>
          <w:ilvl w:val="0"/>
          <w:numId w:val="28"/>
        </w:numPr>
      </w:pPr>
      <w:r w:rsidRPr="00FD6EF6">
        <w:t xml:space="preserve">Description of </w:t>
      </w:r>
      <w:r w:rsidR="009960B1">
        <w:rPr>
          <w:highlight w:val="lightGray"/>
        </w:rPr>
        <w:t>[</w:t>
      </w:r>
      <w:r w:rsidRPr="009960B1">
        <w:rPr>
          <w:highlight w:val="lightGray"/>
        </w:rPr>
        <w:t>insert name of the first Section 4(f) property that will be subject to a “use”</w:t>
      </w:r>
      <w:r w:rsidR="009960B1" w:rsidRPr="009960B1">
        <w:rPr>
          <w:highlight w:val="lightGray"/>
        </w:rPr>
        <w:t>]</w:t>
      </w:r>
    </w:p>
    <w:p w14:paraId="43D08704" w14:textId="0308DAEA" w:rsidR="006F7905" w:rsidRDefault="00E26F67" w:rsidP="00767522">
      <w:r w:rsidRPr="00E26F67">
        <w:t>Describe the Section 4(f) property, including who owns it and what function it serves, and explain why it qualifies for Section 4(f) protection.</w:t>
      </w:r>
      <w:r w:rsidR="00481407">
        <w:t xml:space="preserve"> </w:t>
      </w:r>
      <w:r w:rsidRPr="00E26F67">
        <w:t>Refer to the map(s) and photographs in the appendices.</w:t>
      </w:r>
    </w:p>
    <w:p w14:paraId="295008AE" w14:textId="0DC56F2B" w:rsidR="002D1B75" w:rsidRPr="00FD6EF6" w:rsidRDefault="002D1B75" w:rsidP="00184DA7">
      <w:pPr>
        <w:pStyle w:val="Heading3"/>
        <w:numPr>
          <w:ilvl w:val="0"/>
          <w:numId w:val="28"/>
        </w:numPr>
      </w:pPr>
      <w:r w:rsidRPr="00FD6EF6">
        <w:t xml:space="preserve">Proposed use of </w:t>
      </w:r>
      <w:r w:rsidR="00ED0915">
        <w:rPr>
          <w:highlight w:val="lightGray"/>
        </w:rPr>
        <w:t>[</w:t>
      </w:r>
      <w:r w:rsidR="00ED0915" w:rsidRPr="009960B1">
        <w:rPr>
          <w:highlight w:val="lightGray"/>
        </w:rPr>
        <w:t>insert name of the first Section 4(f) property that will be subject to a “use”]</w:t>
      </w:r>
    </w:p>
    <w:p w14:paraId="7A7CAD03" w14:textId="23E3FFCF" w:rsidR="00F34E7D" w:rsidRDefault="00F34E7D" w:rsidP="00767522">
      <w:r w:rsidRPr="00F34E7D">
        <w:lastRenderedPageBreak/>
        <w:t>Explain how the project will use the Section 4(f) property.</w:t>
      </w:r>
      <w:r w:rsidR="00481407">
        <w:t xml:space="preserve"> </w:t>
      </w:r>
      <w:r w:rsidRPr="00F34E7D">
        <w:t>Refer to the map or schematic in the appendices.</w:t>
      </w:r>
    </w:p>
    <w:p w14:paraId="330CEAE4" w14:textId="2DF2B7D0" w:rsidR="0056195F" w:rsidRPr="00FD6EF6" w:rsidRDefault="0056195F" w:rsidP="00184DA7">
      <w:pPr>
        <w:pStyle w:val="Heading3"/>
        <w:numPr>
          <w:ilvl w:val="0"/>
          <w:numId w:val="28"/>
        </w:numPr>
      </w:pPr>
      <w:r w:rsidRPr="00FD6EF6">
        <w:t xml:space="preserve">Evaluation of “feasible and prudent avoidance alternatives” to the proposed use of </w:t>
      </w:r>
      <w:r w:rsidR="00ED0915">
        <w:rPr>
          <w:highlight w:val="lightGray"/>
        </w:rPr>
        <w:t>[</w:t>
      </w:r>
      <w:r w:rsidR="00ED0915" w:rsidRPr="009960B1">
        <w:rPr>
          <w:highlight w:val="lightGray"/>
        </w:rPr>
        <w:t>insert name of the first Section 4(f) property that will be subject to a “use”]</w:t>
      </w:r>
    </w:p>
    <w:p w14:paraId="78931458" w14:textId="553805A4" w:rsidR="008E6409" w:rsidRPr="006F7905" w:rsidRDefault="00861739" w:rsidP="004E6B7D">
      <w:r w:rsidRPr="00861739">
        <w:t>Identify any alternatives that would avoid use of the Section 4(f) property, including the no-build alternative.</w:t>
      </w:r>
      <w:r w:rsidR="00481407">
        <w:t xml:space="preserve"> </w:t>
      </w:r>
      <w:r w:rsidRPr="00861739">
        <w:t xml:space="preserve">This will include any alternatives that were previously considered and rejected as part of the </w:t>
      </w:r>
      <w:r w:rsidR="00404393">
        <w:t>National Environmental Policy Act (</w:t>
      </w:r>
      <w:r w:rsidRPr="00861739">
        <w:t>NEPA</w:t>
      </w:r>
      <w:r w:rsidR="00404393">
        <w:t>)</w:t>
      </w:r>
      <w:r w:rsidRPr="00861739">
        <w:t xml:space="preserve"> analysis for the project.</w:t>
      </w:r>
      <w:r w:rsidR="00481407">
        <w:t xml:space="preserve"> </w:t>
      </w:r>
      <w:r w:rsidRPr="00861739">
        <w:t>Potential alternatives to avoid use of the Section 4(f) property may include:</w:t>
      </w:r>
    </w:p>
    <w:p w14:paraId="3FB3BA81" w14:textId="6CA9309F" w:rsidR="00786A04" w:rsidRPr="0025610C" w:rsidRDefault="00786A04" w:rsidP="00C5617C">
      <w:pPr>
        <w:pStyle w:val="ListBullet"/>
      </w:pPr>
      <w:r w:rsidRPr="0025610C">
        <w:t>Location alternatives</w:t>
      </w:r>
      <w:r>
        <w:t xml:space="preserve"> (</w:t>
      </w:r>
      <w:r w:rsidR="00FC4F60">
        <w:t>that is</w:t>
      </w:r>
      <w:r>
        <w:t>, re-routing the entire project along a different alignment)</w:t>
      </w:r>
    </w:p>
    <w:p w14:paraId="6D06B516" w14:textId="15920536" w:rsidR="00786A04" w:rsidRPr="0025610C" w:rsidRDefault="00786A04" w:rsidP="00C5617C">
      <w:pPr>
        <w:pStyle w:val="ListBullet"/>
      </w:pPr>
      <w:r w:rsidRPr="0025610C">
        <w:t>Alternative actions</w:t>
      </w:r>
      <w:r>
        <w:t xml:space="preserve"> (</w:t>
      </w:r>
      <w:r w:rsidR="0078779C">
        <w:t>for example</w:t>
      </w:r>
      <w:r>
        <w:t>, a different mode of transportation)</w:t>
      </w:r>
    </w:p>
    <w:p w14:paraId="355DFF1C" w14:textId="77777777" w:rsidR="00786A04" w:rsidRPr="0025610C" w:rsidRDefault="00786A04" w:rsidP="00C5617C">
      <w:pPr>
        <w:pStyle w:val="ListBullet"/>
      </w:pPr>
      <w:r w:rsidRPr="0025610C">
        <w:t>Alignment shifts</w:t>
      </w:r>
    </w:p>
    <w:p w14:paraId="348D3B2B" w14:textId="0B623E88" w:rsidR="00F56ABF" w:rsidRDefault="00786A04" w:rsidP="00F56ABF">
      <w:pPr>
        <w:pStyle w:val="ListBullet"/>
      </w:pPr>
      <w:r w:rsidRPr="0025610C">
        <w:t>Design changes</w:t>
      </w:r>
    </w:p>
    <w:p w14:paraId="0F2EC2A6" w14:textId="07620B99" w:rsidR="00F56ABF" w:rsidRDefault="00F56ABF" w:rsidP="004E6B7D">
      <w:r>
        <w:t>After identifying any avoidance alternatives, evaluate each of them to determine whether they are both feasible and prudent.</w:t>
      </w:r>
      <w:r w:rsidR="00481407">
        <w:t xml:space="preserve"> </w:t>
      </w:r>
      <w:r>
        <w:t>If they are not feasible or prudent, explain why not.</w:t>
      </w:r>
    </w:p>
    <w:p w14:paraId="5BD4859B" w14:textId="0FEE24F0" w:rsidR="00F56ABF" w:rsidRPr="00F56ABF" w:rsidRDefault="00F56ABF" w:rsidP="004E6B7D">
      <w:r>
        <w:t xml:space="preserve">See FHWA’s </w:t>
      </w:r>
      <w:r w:rsidRPr="008B0DB5">
        <w:rPr>
          <w:i/>
          <w:iCs/>
        </w:rPr>
        <w:t>Section 4(f) Policy Paper</w:t>
      </w:r>
      <w:r>
        <w:t xml:space="preserve"> at Section 3.3.3.1 for further guidance regarding “feasible and prudent avoidance alternatives.”</w:t>
      </w:r>
    </w:p>
    <w:p w14:paraId="20251F18" w14:textId="0A1C9F73" w:rsidR="00C86CD9" w:rsidRPr="00FD6EF6" w:rsidRDefault="00C86CD9" w:rsidP="00184DA7">
      <w:pPr>
        <w:pStyle w:val="Heading3"/>
        <w:numPr>
          <w:ilvl w:val="0"/>
          <w:numId w:val="28"/>
        </w:numPr>
      </w:pPr>
      <w:r w:rsidRPr="00FD6EF6">
        <w:t xml:space="preserve">Evaluation of “all possible planning to minimize harm” to </w:t>
      </w:r>
      <w:r w:rsidR="00ED0915">
        <w:rPr>
          <w:highlight w:val="lightGray"/>
        </w:rPr>
        <w:t>[</w:t>
      </w:r>
      <w:r w:rsidR="00ED0915" w:rsidRPr="009960B1">
        <w:rPr>
          <w:highlight w:val="lightGray"/>
        </w:rPr>
        <w:t>insert name of the first Section 4(f) property that will be subject to a “use”]</w:t>
      </w:r>
      <w:r w:rsidR="00ED0915">
        <w:t xml:space="preserve"> </w:t>
      </w:r>
      <w:r w:rsidRPr="00FD6EF6">
        <w:t xml:space="preserve">resulting from the proposed use </w:t>
      </w:r>
    </w:p>
    <w:p w14:paraId="5A603540" w14:textId="77777777" w:rsidR="00A84012" w:rsidRDefault="00A84012" w:rsidP="004E6B7D">
      <w:r>
        <w:t>Explain how the project will incorporate all possible planning to minimize harm to the Section 4(f) property.</w:t>
      </w:r>
    </w:p>
    <w:p w14:paraId="2A93752B" w14:textId="37E7AD98" w:rsidR="008E6409" w:rsidRDefault="00A84012" w:rsidP="004E6B7D">
      <w:r>
        <w:lastRenderedPageBreak/>
        <w:t xml:space="preserve">See FHWA’s </w:t>
      </w:r>
      <w:r w:rsidRPr="008B0DB5">
        <w:rPr>
          <w:i/>
          <w:iCs/>
        </w:rPr>
        <w:t>Section 4(f) Policy Paper</w:t>
      </w:r>
      <w:r>
        <w:t xml:space="preserve"> at Section 3.5 for further guidance regarding ”all possible planning to minimize harm.”</w:t>
      </w:r>
    </w:p>
    <w:p w14:paraId="5B42F485" w14:textId="1AE466EC" w:rsidR="00781449" w:rsidRPr="00FD6EF6" w:rsidRDefault="00781449" w:rsidP="00184DA7">
      <w:pPr>
        <w:pStyle w:val="Heading3"/>
        <w:numPr>
          <w:ilvl w:val="0"/>
          <w:numId w:val="28"/>
        </w:numPr>
      </w:pPr>
      <w:r w:rsidRPr="00FD6EF6">
        <w:t xml:space="preserve">Conclusion regarding </w:t>
      </w:r>
      <w:r w:rsidR="00ED0915">
        <w:rPr>
          <w:highlight w:val="lightGray"/>
        </w:rPr>
        <w:t>[</w:t>
      </w:r>
      <w:r w:rsidR="00ED0915" w:rsidRPr="009960B1">
        <w:rPr>
          <w:highlight w:val="lightGray"/>
        </w:rPr>
        <w:t>insert name of the first Section 4(f) property that will be subject to a “use”]</w:t>
      </w:r>
    </w:p>
    <w:p w14:paraId="13C3DBD1" w14:textId="29E535A1" w:rsidR="00A84012" w:rsidRDefault="00A5611D" w:rsidP="00B15325">
      <w:r w:rsidRPr="00A5611D">
        <w:t>If accurate, state that (1) there is no feasible and prudent avoidance alternative, as defined in 23 CFR 774.17, to the use of the property and (2) that the proposed project includes all possible planning, as defined in 23 CFR 774.17, to minimize harm to the property resulting from such use.</w:t>
      </w:r>
    </w:p>
    <w:p w14:paraId="36E842AC" w14:textId="0D464945" w:rsidR="00CC1089" w:rsidRDefault="00CC1089" w:rsidP="00B15325">
      <w:r w:rsidRPr="00CC1089">
        <w:t xml:space="preserve">If multiple Section 4(f) properties will be subject to a “use,” repeat Section </w:t>
      </w:r>
      <w:r w:rsidR="0004145A">
        <w:t>2</w:t>
      </w:r>
      <w:r w:rsidR="00DE55FC">
        <w:t>.0</w:t>
      </w:r>
      <w:r w:rsidRPr="00CC1089">
        <w:t xml:space="preserve"> above in its entirety for the second property, third property, </w:t>
      </w:r>
      <w:r w:rsidR="00B50C26">
        <w:t>etcetera</w:t>
      </w:r>
      <w:r w:rsidRPr="00CC1089">
        <w:t xml:space="preserve"> and re-number accordingly (</w:t>
      </w:r>
      <w:r w:rsidR="00FC4F60">
        <w:t>that is</w:t>
      </w:r>
      <w:r w:rsidRPr="00CC1089">
        <w:t xml:space="preserve">, “Section </w:t>
      </w:r>
      <w:r w:rsidR="0004145A">
        <w:t>3</w:t>
      </w:r>
      <w:r w:rsidR="00DE55FC">
        <w:t>.0</w:t>
      </w:r>
      <w:r w:rsidRPr="00CC1089">
        <w:t xml:space="preserve">” for the second property, “Section </w:t>
      </w:r>
      <w:r w:rsidR="0004145A">
        <w:t>4</w:t>
      </w:r>
      <w:r w:rsidR="00DE55FC">
        <w:t>.0</w:t>
      </w:r>
      <w:r w:rsidRPr="00CC1089">
        <w:t xml:space="preserve">” for the third property, </w:t>
      </w:r>
      <w:r w:rsidR="00B50C26">
        <w:t>etcetera</w:t>
      </w:r>
      <w:r w:rsidRPr="00CC1089">
        <w:t>).</w:t>
      </w:r>
    </w:p>
    <w:p w14:paraId="485B92D5" w14:textId="6966E018" w:rsidR="009106EE" w:rsidRDefault="00B8674C" w:rsidP="00B8674C">
      <w:pPr>
        <w:pStyle w:val="Heading2"/>
      </w:pPr>
      <w:r>
        <w:t xml:space="preserve">3.0 </w:t>
      </w:r>
      <w:r w:rsidR="009106EE" w:rsidRPr="009106EE">
        <w:t xml:space="preserve">Least Overall Harm Analysis </w:t>
      </w:r>
      <w:r w:rsidR="009106EE" w:rsidRPr="00A51A13">
        <w:rPr>
          <w:highlight w:val="lightGray"/>
        </w:rPr>
        <w:t>[only if applicable]</w:t>
      </w:r>
    </w:p>
    <w:p w14:paraId="75F72653" w14:textId="2C0D16C5" w:rsidR="003D276B" w:rsidRPr="003D276B" w:rsidRDefault="003D276B" w:rsidP="004E6B7D">
      <w:r w:rsidRPr="003D276B">
        <w:t>A least overall harm analysis is required only if “multiple alternatives that use Section 4(f) property remain under consideration.”</w:t>
      </w:r>
      <w:r w:rsidR="00481407">
        <w:t xml:space="preserve"> </w:t>
      </w:r>
      <w:r w:rsidRPr="003D276B">
        <w:t xml:space="preserve">FHWA’s </w:t>
      </w:r>
      <w:r w:rsidRPr="00543CC1">
        <w:rPr>
          <w:i/>
          <w:iCs/>
        </w:rPr>
        <w:t>Section 4(f) Policy Paper</w:t>
      </w:r>
      <w:r w:rsidRPr="003D276B">
        <w:t xml:space="preserve"> at 3.3.3.2.</w:t>
      </w:r>
      <w:r w:rsidR="00481407">
        <w:t xml:space="preserve"> </w:t>
      </w:r>
      <w:r w:rsidRPr="003D276B">
        <w:t xml:space="preserve">Therefore, only include this Section </w:t>
      </w:r>
      <w:r w:rsidR="0004145A">
        <w:t>3</w:t>
      </w:r>
      <w:r w:rsidR="00DE55FC">
        <w:t>.0</w:t>
      </w:r>
      <w:r w:rsidRPr="003D276B">
        <w:t xml:space="preserve"> if the project is an EIS project, or an EA project with more than one build alternative being evaluated throughout the EA.</w:t>
      </w:r>
      <w:r w:rsidR="00481407">
        <w:t xml:space="preserve"> </w:t>
      </w:r>
      <w:r w:rsidRPr="003D276B">
        <w:t xml:space="preserve">For </w:t>
      </w:r>
      <w:r w:rsidR="00A51A13">
        <w:t>Categorical</w:t>
      </w:r>
      <w:r w:rsidR="00CD3DED">
        <w:t xml:space="preserve"> Exclusion (</w:t>
      </w:r>
      <w:r w:rsidRPr="003D276B">
        <w:t>CE</w:t>
      </w:r>
      <w:r w:rsidR="00CD3DED">
        <w:t>)</w:t>
      </w:r>
      <w:r w:rsidRPr="003D276B">
        <w:t xml:space="preserve"> projects, and EA projects with only one build alternative being evaluated throughout the EA, a least overall harm analysis is not required.</w:t>
      </w:r>
    </w:p>
    <w:p w14:paraId="330221B5" w14:textId="25863D28" w:rsidR="0001503F" w:rsidRDefault="003D276B" w:rsidP="004E6B7D">
      <w:r w:rsidRPr="003D276B">
        <w:t>Compare the reasonable alternatives that remain under consideration using a chart like this:</w:t>
      </w:r>
    </w:p>
    <w:p w14:paraId="11B7E7E8" w14:textId="416B8F01" w:rsidR="009C6E5B" w:rsidRPr="007C7AC2" w:rsidRDefault="007C7AC2" w:rsidP="007C7AC2">
      <w:pPr>
        <w:pStyle w:val="Caption"/>
        <w:rPr>
          <w:b/>
          <w:bCs/>
          <w:i w:val="0"/>
          <w:iCs w:val="0"/>
          <w:sz w:val="24"/>
          <w:szCs w:val="24"/>
        </w:rPr>
      </w:pPr>
      <w:r w:rsidRPr="007C7AC2">
        <w:rPr>
          <w:b/>
          <w:bCs/>
          <w:i w:val="0"/>
          <w:iCs w:val="0"/>
          <w:sz w:val="24"/>
          <w:szCs w:val="24"/>
        </w:rPr>
        <w:t xml:space="preserve">Table </w:t>
      </w:r>
      <w:r w:rsidRPr="007C7AC2">
        <w:rPr>
          <w:b/>
          <w:bCs/>
          <w:i w:val="0"/>
          <w:iCs w:val="0"/>
          <w:sz w:val="24"/>
          <w:szCs w:val="24"/>
        </w:rPr>
        <w:fldChar w:fldCharType="begin"/>
      </w:r>
      <w:r w:rsidRPr="007C7AC2">
        <w:rPr>
          <w:b/>
          <w:bCs/>
          <w:i w:val="0"/>
          <w:iCs w:val="0"/>
          <w:sz w:val="24"/>
          <w:szCs w:val="24"/>
        </w:rPr>
        <w:instrText xml:space="preserve"> SEQ Table \* ARABIC </w:instrText>
      </w:r>
      <w:r w:rsidRPr="007C7AC2">
        <w:rPr>
          <w:b/>
          <w:bCs/>
          <w:i w:val="0"/>
          <w:iCs w:val="0"/>
          <w:sz w:val="24"/>
          <w:szCs w:val="24"/>
        </w:rPr>
        <w:fldChar w:fldCharType="separate"/>
      </w:r>
      <w:r w:rsidRPr="007C7AC2">
        <w:rPr>
          <w:b/>
          <w:bCs/>
          <w:i w:val="0"/>
          <w:iCs w:val="0"/>
          <w:noProof/>
          <w:sz w:val="24"/>
          <w:szCs w:val="24"/>
        </w:rPr>
        <w:t>1</w:t>
      </w:r>
      <w:r w:rsidRPr="007C7AC2">
        <w:rPr>
          <w:b/>
          <w:bCs/>
          <w:i w:val="0"/>
          <w:iCs w:val="0"/>
          <w:sz w:val="24"/>
          <w:szCs w:val="24"/>
        </w:rPr>
        <w:fldChar w:fldCharType="end"/>
      </w:r>
      <w:r w:rsidRPr="007C7AC2">
        <w:rPr>
          <w:b/>
          <w:bCs/>
          <w:i w:val="0"/>
          <w:iCs w:val="0"/>
          <w:sz w:val="24"/>
          <w:szCs w:val="24"/>
        </w:rPr>
        <w:t xml:space="preserve">. Least </w:t>
      </w:r>
      <w:r w:rsidR="00CC7C44">
        <w:rPr>
          <w:b/>
          <w:bCs/>
          <w:i w:val="0"/>
          <w:iCs w:val="0"/>
          <w:sz w:val="24"/>
          <w:szCs w:val="24"/>
        </w:rPr>
        <w:t>O</w:t>
      </w:r>
      <w:r w:rsidRPr="007C7AC2">
        <w:rPr>
          <w:b/>
          <w:bCs/>
          <w:i w:val="0"/>
          <w:iCs w:val="0"/>
          <w:sz w:val="24"/>
          <w:szCs w:val="24"/>
        </w:rPr>
        <w:t xml:space="preserve">verall </w:t>
      </w:r>
      <w:r w:rsidR="00CC7C44">
        <w:rPr>
          <w:b/>
          <w:bCs/>
          <w:i w:val="0"/>
          <w:iCs w:val="0"/>
          <w:sz w:val="24"/>
          <w:szCs w:val="24"/>
        </w:rPr>
        <w:t>H</w:t>
      </w:r>
      <w:r w:rsidRPr="007C7AC2">
        <w:rPr>
          <w:b/>
          <w:bCs/>
          <w:i w:val="0"/>
          <w:iCs w:val="0"/>
          <w:sz w:val="24"/>
          <w:szCs w:val="24"/>
        </w:rPr>
        <w:t xml:space="preserve">arm </w:t>
      </w:r>
      <w:r w:rsidR="00CC7C44">
        <w:rPr>
          <w:b/>
          <w:bCs/>
          <w:i w:val="0"/>
          <w:iCs w:val="0"/>
          <w:sz w:val="24"/>
          <w:szCs w:val="24"/>
        </w:rPr>
        <w:t>A</w:t>
      </w:r>
      <w:r w:rsidRPr="007C7AC2">
        <w:rPr>
          <w:b/>
          <w:bCs/>
          <w:i w:val="0"/>
          <w:iCs w:val="0"/>
          <w:sz w:val="24"/>
          <w:szCs w:val="24"/>
        </w:rPr>
        <w:t>nalysis</w:t>
      </w:r>
    </w:p>
    <w:tbl>
      <w:tblPr>
        <w:tblStyle w:val="DSTxDOTTable"/>
        <w:tblpPr w:leftFromText="180" w:rightFromText="180" w:vertAnchor="text" w:tblpY="1"/>
        <w:tblOverlap w:val="never"/>
        <w:tblW w:w="0" w:type="auto"/>
        <w:tblLook w:val="0420" w:firstRow="1" w:lastRow="0" w:firstColumn="0" w:lastColumn="0" w:noHBand="0" w:noVBand="1"/>
        <w:tblCaption w:val="Least Overall Harm Analysis"/>
        <w:tblDescription w:val="A table discussing lease overall harm analysis including factors from 23 CRF 774.3(c) (1) including Alternatives 1 and 2."/>
      </w:tblPr>
      <w:tblGrid>
        <w:gridCol w:w="4651"/>
        <w:gridCol w:w="3174"/>
        <w:gridCol w:w="2965"/>
      </w:tblGrid>
      <w:tr w:rsidR="00A22EA3" w:rsidRPr="00211BC0" w14:paraId="20CC23F6" w14:textId="77777777" w:rsidTr="00DE55FC">
        <w:trPr>
          <w:cnfStyle w:val="100000000000" w:firstRow="1" w:lastRow="0" w:firstColumn="0" w:lastColumn="0" w:oddVBand="0" w:evenVBand="0" w:oddHBand="0" w:evenHBand="0" w:firstRowFirstColumn="0" w:firstRowLastColumn="0" w:lastRowFirstColumn="0" w:lastRowLastColumn="0"/>
        </w:trPr>
        <w:tc>
          <w:tcPr>
            <w:tcW w:w="4651" w:type="dxa"/>
          </w:tcPr>
          <w:p w14:paraId="5605BC09" w14:textId="5C3206CC" w:rsidR="00A22EA3" w:rsidRPr="00A8243A" w:rsidRDefault="00A22EA3" w:rsidP="002D4678">
            <w:pPr>
              <w:widowControl w:val="0"/>
            </w:pPr>
            <w:r w:rsidRPr="009D05BB">
              <w:rPr>
                <w:bCs/>
              </w:rPr>
              <w:t>Factor from 23 CFR 774.3(c)(1)</w:t>
            </w:r>
          </w:p>
        </w:tc>
        <w:tc>
          <w:tcPr>
            <w:tcW w:w="3174" w:type="dxa"/>
          </w:tcPr>
          <w:p w14:paraId="350B8375" w14:textId="2B1F82C0" w:rsidR="00A22EA3" w:rsidRPr="00A8243A" w:rsidRDefault="00A22EA3" w:rsidP="002D4678">
            <w:pPr>
              <w:widowControl w:val="0"/>
            </w:pPr>
            <w:r w:rsidRPr="009D05BB">
              <w:rPr>
                <w:bCs/>
              </w:rPr>
              <w:t>Alternative 1</w:t>
            </w:r>
          </w:p>
        </w:tc>
        <w:tc>
          <w:tcPr>
            <w:tcW w:w="2965" w:type="dxa"/>
          </w:tcPr>
          <w:p w14:paraId="15BEDF59" w14:textId="29B99D10" w:rsidR="00A22EA3" w:rsidRPr="00A8243A" w:rsidRDefault="00A22EA3" w:rsidP="002D4678">
            <w:pPr>
              <w:widowControl w:val="0"/>
            </w:pPr>
            <w:r w:rsidRPr="009D05BB">
              <w:rPr>
                <w:bCs/>
              </w:rPr>
              <w:t>Alternative 2</w:t>
            </w:r>
          </w:p>
        </w:tc>
      </w:tr>
      <w:tr w:rsidR="002D4678" w:rsidRPr="00211BC0" w14:paraId="42D0FF75" w14:textId="77777777" w:rsidTr="00DE55FC">
        <w:trPr>
          <w:cnfStyle w:val="000000100000" w:firstRow="0" w:lastRow="0" w:firstColumn="0" w:lastColumn="0" w:oddVBand="0" w:evenVBand="0" w:oddHBand="1" w:evenHBand="0" w:firstRowFirstColumn="0" w:firstRowLastColumn="0" w:lastRowFirstColumn="0" w:lastRowLastColumn="0"/>
        </w:trPr>
        <w:tc>
          <w:tcPr>
            <w:tcW w:w="4651" w:type="dxa"/>
            <w:vAlign w:val="top"/>
          </w:tcPr>
          <w:p w14:paraId="528C5A80" w14:textId="501D0BA5" w:rsidR="002D4678" w:rsidRPr="00352687" w:rsidRDefault="002D4678" w:rsidP="002D4678">
            <w:pPr>
              <w:widowControl w:val="0"/>
              <w:rPr>
                <w:rFonts w:ascii="Verdana" w:hAnsi="Verdana"/>
                <w:bCs/>
              </w:rPr>
            </w:pPr>
            <w:r>
              <w:t>1)</w:t>
            </w:r>
            <w:r w:rsidR="00481407">
              <w:t xml:space="preserve"> </w:t>
            </w:r>
            <w:r>
              <w:t>The ability to mitigate adverse impacts to each Section 4(f) property (including any measures that result in benefits to the property)</w:t>
            </w:r>
          </w:p>
        </w:tc>
        <w:tc>
          <w:tcPr>
            <w:tcW w:w="3174" w:type="dxa"/>
            <w:vAlign w:val="top"/>
          </w:tcPr>
          <w:p w14:paraId="6D78BAF0" w14:textId="14A8D3F9" w:rsidR="002D4678" w:rsidRPr="00352687" w:rsidRDefault="00ED0915" w:rsidP="002D4678">
            <w:pPr>
              <w:widowControl w:val="0"/>
              <w:rPr>
                <w:rFonts w:ascii="Verdana" w:hAnsi="Verdana"/>
                <w:bCs/>
              </w:rPr>
            </w:pPr>
            <w:r>
              <w:rPr>
                <w:highlight w:val="lightGray"/>
              </w:rPr>
              <w:t>[</w:t>
            </w:r>
            <w:r w:rsidR="002D4678" w:rsidRPr="009D05BB">
              <w:rPr>
                <w:highlight w:val="lightGray"/>
              </w:rPr>
              <w:t>insert “Comparable,” “More favorable,” or “Less favorable”</w:t>
            </w:r>
            <w:r w:rsidRPr="00313007">
              <w:rPr>
                <w:highlight w:val="lightGray"/>
              </w:rPr>
              <w:t>]</w:t>
            </w:r>
          </w:p>
        </w:tc>
        <w:tc>
          <w:tcPr>
            <w:tcW w:w="2965" w:type="dxa"/>
            <w:vAlign w:val="top"/>
          </w:tcPr>
          <w:p w14:paraId="4BA86C3E" w14:textId="78A38A0B" w:rsidR="002D4678" w:rsidRPr="00352687" w:rsidRDefault="00313007" w:rsidP="002D4678">
            <w:pPr>
              <w:widowControl w:val="0"/>
              <w:rPr>
                <w:rFonts w:ascii="Verdana" w:hAnsi="Verdana"/>
                <w:bCs/>
              </w:rPr>
            </w:pPr>
            <w:r>
              <w:rPr>
                <w:highlight w:val="lightGray"/>
              </w:rPr>
              <w:t>[</w:t>
            </w:r>
            <w:r w:rsidR="002D4678" w:rsidRPr="009D05BB">
              <w:rPr>
                <w:highlight w:val="lightGray"/>
              </w:rPr>
              <w:t>insert “Comparable,” “More favorable,” or “Less favorable</w:t>
            </w:r>
            <w:r w:rsidR="002D4678" w:rsidRPr="00313007">
              <w:rPr>
                <w:highlight w:val="lightGray"/>
              </w:rPr>
              <w:t>”</w:t>
            </w:r>
            <w:r w:rsidRPr="00313007">
              <w:rPr>
                <w:highlight w:val="lightGray"/>
              </w:rPr>
              <w:t>]</w:t>
            </w:r>
          </w:p>
        </w:tc>
      </w:tr>
      <w:tr w:rsidR="002D4678" w:rsidRPr="00211BC0" w14:paraId="7791B4F1" w14:textId="77777777" w:rsidTr="00DE55FC">
        <w:trPr>
          <w:cnfStyle w:val="000000010000" w:firstRow="0" w:lastRow="0" w:firstColumn="0" w:lastColumn="0" w:oddVBand="0" w:evenVBand="0" w:oddHBand="0" w:evenHBand="1" w:firstRowFirstColumn="0" w:firstRowLastColumn="0" w:lastRowFirstColumn="0" w:lastRowLastColumn="0"/>
        </w:trPr>
        <w:tc>
          <w:tcPr>
            <w:tcW w:w="4651" w:type="dxa"/>
            <w:vAlign w:val="top"/>
          </w:tcPr>
          <w:p w14:paraId="66E51334" w14:textId="1B95118B" w:rsidR="002D4678" w:rsidRPr="00352687" w:rsidRDefault="002D4678" w:rsidP="002D4678">
            <w:pPr>
              <w:widowControl w:val="0"/>
              <w:rPr>
                <w:rFonts w:ascii="Verdana" w:hAnsi="Verdana"/>
                <w:bCs/>
              </w:rPr>
            </w:pPr>
            <w:r>
              <w:lastRenderedPageBreak/>
              <w:t>2)</w:t>
            </w:r>
            <w:r w:rsidR="00481407">
              <w:t xml:space="preserve"> </w:t>
            </w:r>
            <w:r>
              <w:t>The relative severity of the remining harm, after mitigation, to the protected activities, attributes, or features that qualify each Section 4(f) property for protection</w:t>
            </w:r>
          </w:p>
        </w:tc>
        <w:tc>
          <w:tcPr>
            <w:tcW w:w="3174" w:type="dxa"/>
            <w:vAlign w:val="top"/>
          </w:tcPr>
          <w:p w14:paraId="7D1E9AB6" w14:textId="512322FF"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c>
          <w:tcPr>
            <w:tcW w:w="2965" w:type="dxa"/>
            <w:vAlign w:val="top"/>
          </w:tcPr>
          <w:p w14:paraId="1A223CBE" w14:textId="175C1239"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r>
      <w:tr w:rsidR="002D4678" w:rsidRPr="00211BC0" w14:paraId="367CC6E6" w14:textId="77777777" w:rsidTr="00DE55FC">
        <w:trPr>
          <w:cnfStyle w:val="000000100000" w:firstRow="0" w:lastRow="0" w:firstColumn="0" w:lastColumn="0" w:oddVBand="0" w:evenVBand="0" w:oddHBand="1" w:evenHBand="0" w:firstRowFirstColumn="0" w:firstRowLastColumn="0" w:lastRowFirstColumn="0" w:lastRowLastColumn="0"/>
        </w:trPr>
        <w:tc>
          <w:tcPr>
            <w:tcW w:w="4651" w:type="dxa"/>
            <w:vAlign w:val="top"/>
          </w:tcPr>
          <w:p w14:paraId="3ADA5935" w14:textId="5588A00D" w:rsidR="002D4678" w:rsidRPr="00352687" w:rsidRDefault="002D4678" w:rsidP="002D4678">
            <w:pPr>
              <w:widowControl w:val="0"/>
              <w:rPr>
                <w:rFonts w:ascii="Verdana" w:hAnsi="Verdana"/>
                <w:bCs/>
              </w:rPr>
            </w:pPr>
            <w:r>
              <w:t>3)</w:t>
            </w:r>
            <w:r w:rsidR="00481407">
              <w:t xml:space="preserve"> </w:t>
            </w:r>
            <w:r>
              <w:t>The relative significance of each Section 4(f) Property</w:t>
            </w:r>
          </w:p>
        </w:tc>
        <w:tc>
          <w:tcPr>
            <w:tcW w:w="3174" w:type="dxa"/>
            <w:vAlign w:val="top"/>
          </w:tcPr>
          <w:p w14:paraId="659D1035" w14:textId="33BC8ABB"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c>
          <w:tcPr>
            <w:tcW w:w="2965" w:type="dxa"/>
            <w:vAlign w:val="top"/>
          </w:tcPr>
          <w:p w14:paraId="5583A5CF" w14:textId="593FD17A"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r>
      <w:tr w:rsidR="002D4678" w:rsidRPr="00211BC0" w14:paraId="218A69B8" w14:textId="77777777" w:rsidTr="00DE55FC">
        <w:trPr>
          <w:cnfStyle w:val="000000010000" w:firstRow="0" w:lastRow="0" w:firstColumn="0" w:lastColumn="0" w:oddVBand="0" w:evenVBand="0" w:oddHBand="0" w:evenHBand="1" w:firstRowFirstColumn="0" w:firstRowLastColumn="0" w:lastRowFirstColumn="0" w:lastRowLastColumn="0"/>
        </w:trPr>
        <w:tc>
          <w:tcPr>
            <w:tcW w:w="4651" w:type="dxa"/>
            <w:vAlign w:val="top"/>
          </w:tcPr>
          <w:p w14:paraId="6BE73114" w14:textId="07D705FF" w:rsidR="002D4678" w:rsidRPr="00352687" w:rsidRDefault="002D4678" w:rsidP="002D4678">
            <w:pPr>
              <w:widowControl w:val="0"/>
              <w:rPr>
                <w:rFonts w:ascii="Verdana" w:hAnsi="Verdana"/>
                <w:bCs/>
              </w:rPr>
            </w:pPr>
            <w:r>
              <w:t>4)</w:t>
            </w:r>
            <w:r w:rsidR="00481407">
              <w:t xml:space="preserve"> </w:t>
            </w:r>
            <w:r>
              <w:t>The views of the official(s) with jurisdiction over each Section 4(f) property</w:t>
            </w:r>
          </w:p>
        </w:tc>
        <w:tc>
          <w:tcPr>
            <w:tcW w:w="3174" w:type="dxa"/>
            <w:vAlign w:val="top"/>
          </w:tcPr>
          <w:p w14:paraId="1F52D011" w14:textId="50C5CBF6"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c>
          <w:tcPr>
            <w:tcW w:w="2965" w:type="dxa"/>
            <w:vAlign w:val="top"/>
          </w:tcPr>
          <w:p w14:paraId="4704E322" w14:textId="46652AD0"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r>
      <w:tr w:rsidR="002D4678" w:rsidRPr="00211BC0" w14:paraId="37ACCA49" w14:textId="77777777" w:rsidTr="00DE55FC">
        <w:trPr>
          <w:cnfStyle w:val="000000100000" w:firstRow="0" w:lastRow="0" w:firstColumn="0" w:lastColumn="0" w:oddVBand="0" w:evenVBand="0" w:oddHBand="1" w:evenHBand="0" w:firstRowFirstColumn="0" w:firstRowLastColumn="0" w:lastRowFirstColumn="0" w:lastRowLastColumn="0"/>
        </w:trPr>
        <w:tc>
          <w:tcPr>
            <w:tcW w:w="4651" w:type="dxa"/>
            <w:vAlign w:val="top"/>
          </w:tcPr>
          <w:p w14:paraId="56066D91" w14:textId="2EA78400" w:rsidR="002D4678" w:rsidRPr="00352687" w:rsidRDefault="002D4678" w:rsidP="002D4678">
            <w:pPr>
              <w:widowControl w:val="0"/>
              <w:rPr>
                <w:rFonts w:ascii="Verdana" w:hAnsi="Verdana"/>
                <w:bCs/>
              </w:rPr>
            </w:pPr>
            <w:r>
              <w:t>5)</w:t>
            </w:r>
            <w:r w:rsidR="00481407">
              <w:t xml:space="preserve"> </w:t>
            </w:r>
            <w:r>
              <w:t xml:space="preserve">The degree to which each alternative meets the purpose and </w:t>
            </w:r>
            <w:proofErr w:type="gramStart"/>
            <w:r>
              <w:t>need</w:t>
            </w:r>
            <w:proofErr w:type="gramEnd"/>
            <w:r>
              <w:t xml:space="preserve"> for the project</w:t>
            </w:r>
          </w:p>
        </w:tc>
        <w:tc>
          <w:tcPr>
            <w:tcW w:w="3174" w:type="dxa"/>
            <w:vAlign w:val="top"/>
          </w:tcPr>
          <w:p w14:paraId="4FA63695" w14:textId="4C17854F"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c>
          <w:tcPr>
            <w:tcW w:w="2965" w:type="dxa"/>
            <w:vAlign w:val="top"/>
          </w:tcPr>
          <w:p w14:paraId="3688C2FA" w14:textId="73830112"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r>
      <w:tr w:rsidR="002D4678" w:rsidRPr="00211BC0" w14:paraId="11D2FF06" w14:textId="77777777" w:rsidTr="00DE55FC">
        <w:trPr>
          <w:cnfStyle w:val="000000010000" w:firstRow="0" w:lastRow="0" w:firstColumn="0" w:lastColumn="0" w:oddVBand="0" w:evenVBand="0" w:oddHBand="0" w:evenHBand="1" w:firstRowFirstColumn="0" w:firstRowLastColumn="0" w:lastRowFirstColumn="0" w:lastRowLastColumn="0"/>
        </w:trPr>
        <w:tc>
          <w:tcPr>
            <w:tcW w:w="4651" w:type="dxa"/>
            <w:vAlign w:val="top"/>
          </w:tcPr>
          <w:p w14:paraId="0B0940CE" w14:textId="1D6AEC6C" w:rsidR="002D4678" w:rsidRPr="00352687" w:rsidRDefault="002D4678" w:rsidP="002D4678">
            <w:pPr>
              <w:widowControl w:val="0"/>
              <w:rPr>
                <w:rFonts w:ascii="Verdana" w:hAnsi="Verdana"/>
                <w:bCs/>
              </w:rPr>
            </w:pPr>
            <w:r>
              <w:t>6)</w:t>
            </w:r>
            <w:r w:rsidR="00481407">
              <w:t xml:space="preserve"> </w:t>
            </w:r>
            <w:r>
              <w:t>After reasonable mitigation, the magnitude of any adverse impacts to resources not protected by Section 4(f)</w:t>
            </w:r>
          </w:p>
        </w:tc>
        <w:tc>
          <w:tcPr>
            <w:tcW w:w="3174" w:type="dxa"/>
            <w:vAlign w:val="top"/>
          </w:tcPr>
          <w:p w14:paraId="7D07CC04" w14:textId="6A32BC9A"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c>
          <w:tcPr>
            <w:tcW w:w="2965" w:type="dxa"/>
            <w:vAlign w:val="top"/>
          </w:tcPr>
          <w:p w14:paraId="2F2AA399" w14:textId="6AD619D9"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r>
      <w:tr w:rsidR="002D4678" w:rsidRPr="00211BC0" w14:paraId="21AC705D" w14:textId="77777777" w:rsidTr="00DE55FC">
        <w:trPr>
          <w:cnfStyle w:val="000000100000" w:firstRow="0" w:lastRow="0" w:firstColumn="0" w:lastColumn="0" w:oddVBand="0" w:evenVBand="0" w:oddHBand="1" w:evenHBand="0" w:firstRowFirstColumn="0" w:firstRowLastColumn="0" w:lastRowFirstColumn="0" w:lastRowLastColumn="0"/>
        </w:trPr>
        <w:tc>
          <w:tcPr>
            <w:tcW w:w="4651" w:type="dxa"/>
            <w:vAlign w:val="top"/>
          </w:tcPr>
          <w:p w14:paraId="2BD78AD2" w14:textId="5EB45782" w:rsidR="002D4678" w:rsidRPr="00352687" w:rsidRDefault="002D4678" w:rsidP="002D4678">
            <w:pPr>
              <w:widowControl w:val="0"/>
              <w:rPr>
                <w:rFonts w:ascii="Verdana" w:hAnsi="Verdana"/>
                <w:bCs/>
              </w:rPr>
            </w:pPr>
            <w:r>
              <w:t>7)</w:t>
            </w:r>
            <w:r w:rsidR="00481407">
              <w:t xml:space="preserve"> </w:t>
            </w:r>
            <w:r>
              <w:t>Substantial differences in costs among the alternatives</w:t>
            </w:r>
          </w:p>
        </w:tc>
        <w:tc>
          <w:tcPr>
            <w:tcW w:w="3174" w:type="dxa"/>
            <w:vAlign w:val="top"/>
          </w:tcPr>
          <w:p w14:paraId="06F56B24" w14:textId="536E9943"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c>
          <w:tcPr>
            <w:tcW w:w="2965" w:type="dxa"/>
            <w:vAlign w:val="top"/>
          </w:tcPr>
          <w:p w14:paraId="101BF72F" w14:textId="2AFBA95F" w:rsidR="002D4678" w:rsidRPr="00352687" w:rsidRDefault="00313007" w:rsidP="002D4678">
            <w:pPr>
              <w:widowControl w:val="0"/>
              <w:rPr>
                <w:rFonts w:ascii="Verdana" w:hAnsi="Verdana"/>
                <w:bCs/>
              </w:rPr>
            </w:pPr>
            <w:r>
              <w:rPr>
                <w:highlight w:val="lightGray"/>
              </w:rPr>
              <w:t>[</w:t>
            </w:r>
            <w:r w:rsidRPr="009D05BB">
              <w:rPr>
                <w:highlight w:val="lightGray"/>
              </w:rPr>
              <w:t>insert “Comparable,” “More favorable,” or “Less favorable”</w:t>
            </w:r>
            <w:r w:rsidRPr="00313007">
              <w:rPr>
                <w:highlight w:val="lightGray"/>
              </w:rPr>
              <w:t>]</w:t>
            </w:r>
          </w:p>
        </w:tc>
      </w:tr>
    </w:tbl>
    <w:p w14:paraId="253F5392" w14:textId="0CB9E7CF" w:rsidR="00201B4F" w:rsidRDefault="00201B4F" w:rsidP="00DE55FC">
      <w:pPr>
        <w:keepLines w:val="0"/>
        <w:spacing w:before="200"/>
      </w:pPr>
      <w:r>
        <w:t>Following this chart, for each of the seven factors, provide a paragraph explaining the basis for the ratings selected for each alternative.</w:t>
      </w:r>
      <w:r w:rsidR="00481407">
        <w:t xml:space="preserve"> </w:t>
      </w:r>
      <w:r>
        <w:t>Then, provide a conclusion regarding which alternative would cause the least overall harm, and explain the basis for that conclusion.</w:t>
      </w:r>
      <w:r w:rsidR="00481407">
        <w:t xml:space="preserve"> </w:t>
      </w:r>
      <w:r>
        <w:t xml:space="preserve">The project can only move forward if the “least overall harm” alternative and </w:t>
      </w:r>
      <w:r>
        <w:lastRenderedPageBreak/>
        <w:t>the alternative identified as the “preferred” alternative in the EA or EIS are the same alternative.</w:t>
      </w:r>
    </w:p>
    <w:p w14:paraId="508B32C2" w14:textId="43DB4A82" w:rsidR="00945287" w:rsidRDefault="00201B4F" w:rsidP="002756DE">
      <w:r>
        <w:t xml:space="preserve">See FHWA’s </w:t>
      </w:r>
      <w:r w:rsidRPr="00543CC1">
        <w:rPr>
          <w:i/>
          <w:iCs/>
        </w:rPr>
        <w:t>Section 4(f) Policy Paper</w:t>
      </w:r>
      <w:r>
        <w:t xml:space="preserve"> at Section 3.3.3.2 for further guidance regarding the least overall harm analysis.</w:t>
      </w:r>
    </w:p>
    <w:p w14:paraId="206D57F7" w14:textId="32198700" w:rsidR="006E197F" w:rsidRDefault="006E197F" w:rsidP="00250F38">
      <w:pPr>
        <w:pStyle w:val="Heading2"/>
      </w:pPr>
      <w:r w:rsidRPr="006E197F">
        <w:t xml:space="preserve">Coordination </w:t>
      </w:r>
      <w:r w:rsidRPr="003B3ADE">
        <w:rPr>
          <w:highlight w:val="lightGray"/>
        </w:rPr>
        <w:t xml:space="preserve">[only </w:t>
      </w:r>
      <w:proofErr w:type="gramStart"/>
      <w:r w:rsidRPr="003B3ADE">
        <w:rPr>
          <w:highlight w:val="lightGray"/>
        </w:rPr>
        <w:t>include</w:t>
      </w:r>
      <w:proofErr w:type="gramEnd"/>
      <w:r w:rsidRPr="003B3ADE">
        <w:rPr>
          <w:highlight w:val="lightGray"/>
        </w:rPr>
        <w:t xml:space="preserve"> this Section </w:t>
      </w:r>
      <w:r w:rsidR="00774444">
        <w:rPr>
          <w:highlight w:val="lightGray"/>
        </w:rPr>
        <w:t>4</w:t>
      </w:r>
      <w:r w:rsidRPr="003B3ADE">
        <w:rPr>
          <w:highlight w:val="lightGray"/>
        </w:rPr>
        <w:t>. after coordination of this individual Section 4(f) determination with outside entities is complete]</w:t>
      </w:r>
      <w:r w:rsidRPr="006E197F">
        <w:t xml:space="preserve"> </w:t>
      </w:r>
    </w:p>
    <w:p w14:paraId="0848DC3D" w14:textId="3E006692" w:rsidR="009009B2" w:rsidRDefault="004F391C" w:rsidP="00201911">
      <w:r w:rsidRPr="004F391C">
        <w:t xml:space="preserve">After </w:t>
      </w:r>
      <w:proofErr w:type="gramStart"/>
      <w:r w:rsidRPr="004F391C">
        <w:t>coordination of</w:t>
      </w:r>
      <w:proofErr w:type="gramEnd"/>
      <w:r w:rsidRPr="004F391C">
        <w:t xml:space="preserve"> this individual Section 4(f) evaluation with the official(s) with jurisdiction, Department of the Interior (and the Department of Agriculture and</w:t>
      </w:r>
      <w:r w:rsidR="00F1428F">
        <w:t xml:space="preserve"> </w:t>
      </w:r>
      <w:r w:rsidRPr="004F391C">
        <w:t xml:space="preserve">or the Department of Housing and Urban Development, if applicable), insert this Section </w:t>
      </w:r>
      <w:r w:rsidR="00774444">
        <w:t>4</w:t>
      </w:r>
      <w:r w:rsidRPr="004F391C">
        <w:t>.</w:t>
      </w:r>
      <w:r w:rsidR="00481407">
        <w:t xml:space="preserve"> </w:t>
      </w:r>
      <w:r w:rsidRPr="004F391C">
        <w:t>Identify the entities to whom the individual Section 4(f) evaluation was provided for review and comment, summarize any comments received from those entities and</w:t>
      </w:r>
      <w:r w:rsidR="003B3ADE">
        <w:t xml:space="preserve"> Texas Department of Transportation</w:t>
      </w:r>
      <w:r w:rsidRPr="004F391C">
        <w:t xml:space="preserve"> </w:t>
      </w:r>
      <w:r w:rsidR="003B3ADE">
        <w:t>(</w:t>
      </w:r>
      <w:r w:rsidRPr="004F391C">
        <w:t>TxDOT</w:t>
      </w:r>
      <w:r w:rsidR="003B3ADE">
        <w:t>)’s</w:t>
      </w:r>
      <w:r w:rsidRPr="004F391C">
        <w:t xml:space="preserve"> response to those comments.</w:t>
      </w:r>
    </w:p>
    <w:p w14:paraId="79F7D631" w14:textId="77777777" w:rsidR="009009B2" w:rsidRPr="009009B2" w:rsidRDefault="009009B2" w:rsidP="00201911">
      <w:pPr>
        <w:pStyle w:val="Heading3"/>
      </w:pPr>
      <w:r w:rsidRPr="009009B2">
        <w:t>Appendices</w:t>
      </w:r>
    </w:p>
    <w:p w14:paraId="33E11ABA" w14:textId="1FB8F693" w:rsidR="009009B2" w:rsidRPr="009009B2" w:rsidRDefault="009009B2" w:rsidP="00CE04B7">
      <w:pPr>
        <w:pStyle w:val="ListNumber"/>
      </w:pPr>
      <w:r w:rsidRPr="009009B2">
        <w:t>Map or schematic showing boundary of Section 4(f) properties and areas that will be subject to a “use”</w:t>
      </w:r>
    </w:p>
    <w:p w14:paraId="355DE1D6" w14:textId="40211560" w:rsidR="00945287" w:rsidRPr="006F7905" w:rsidRDefault="009009B2" w:rsidP="00CE04B7">
      <w:pPr>
        <w:pStyle w:val="ListNumber"/>
      </w:pPr>
      <w:r w:rsidRPr="009009B2">
        <w:t>Photographs of the Section 4(f) properties</w:t>
      </w:r>
    </w:p>
    <w:p w14:paraId="56D8BA0A" w14:textId="36CF4DB4" w:rsidR="00F50C7E" w:rsidRDefault="00F50C7E" w:rsidP="00F50C7E">
      <w:pPr>
        <w:rPr>
          <w:rFonts w:eastAsia="MS Mincho" w:cs="Traditional Arabic"/>
          <w:b/>
          <w:bCs/>
          <w:iCs/>
          <w:color w:val="000000" w:themeColor="text2"/>
          <w:kern w:val="0"/>
          <w:szCs w:val="18"/>
          <w14:ligatures w14:val="none"/>
        </w:rPr>
      </w:pPr>
      <w:bookmarkStart w:id="2" w:name="_Toc229661444"/>
      <w:r>
        <w:br w:type="page"/>
      </w:r>
    </w:p>
    <w:bookmarkEnd w:id="2"/>
    <w:p w14:paraId="76E31CF2" w14:textId="77777777" w:rsidR="00AC2181" w:rsidRPr="00FF6129" w:rsidRDefault="00AC2181" w:rsidP="00FF6129">
      <w:pPr>
        <w:pStyle w:val="Heading2"/>
      </w:pPr>
      <w:r w:rsidRPr="00FF6129">
        <w:lastRenderedPageBreak/>
        <w:t>Revision History</w:t>
      </w:r>
    </w:p>
    <w:p w14:paraId="01DA7285" w14:textId="4C3E0DAD" w:rsidR="00AC2181" w:rsidRPr="00352687" w:rsidRDefault="00AC2181" w:rsidP="00352687">
      <w:pPr>
        <w:pStyle w:val="CaptionTable"/>
      </w:pPr>
      <w:bookmarkStart w:id="3" w:name="_Toc229661445"/>
      <w:r w:rsidRPr="00352687">
        <w:t xml:space="preserve">Table </w:t>
      </w:r>
      <w:fldSimple w:instr=" SEQ Table \* ARABIC ">
        <w:r w:rsidR="007C7AC2">
          <w:rPr>
            <w:noProof/>
          </w:rPr>
          <w:t>2</w:t>
        </w:r>
      </w:fldSimple>
      <w:r w:rsidRPr="00352687">
        <w:t>. Document revision history</w:t>
      </w:r>
      <w:bookmarkEnd w:id="3"/>
    </w:p>
    <w:tbl>
      <w:tblPr>
        <w:tblStyle w:val="DSTxDOTTable"/>
        <w:tblW w:w="0" w:type="auto"/>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8365"/>
      </w:tblGrid>
      <w:tr w:rsidR="00352687" w14:paraId="2F936392" w14:textId="77777777" w:rsidTr="00485277">
        <w:trPr>
          <w:cnfStyle w:val="100000000000" w:firstRow="1" w:lastRow="0" w:firstColumn="0" w:lastColumn="0" w:oddVBand="0" w:evenVBand="0" w:oddHBand="0" w:evenHBand="0" w:firstRowFirstColumn="0" w:firstRowLastColumn="0" w:lastRowFirstColumn="0" w:lastRowLastColumn="0"/>
          <w:trHeight w:val="576"/>
        </w:trPr>
        <w:tc>
          <w:tcPr>
            <w:tcW w:w="2425" w:type="dxa"/>
          </w:tcPr>
          <w:p w14:paraId="3467FC82" w14:textId="77777777" w:rsidR="00AC2181" w:rsidRPr="00A07348" w:rsidRDefault="00AC2181" w:rsidP="00334CB7">
            <w:r w:rsidRPr="00A07348">
              <w:t>Effective date (month year)</w:t>
            </w:r>
          </w:p>
        </w:tc>
        <w:tc>
          <w:tcPr>
            <w:tcW w:w="8365" w:type="dxa"/>
          </w:tcPr>
          <w:p w14:paraId="144ED6CE" w14:textId="77777777" w:rsidR="00AC2181" w:rsidRPr="00A07348" w:rsidRDefault="00AC2181" w:rsidP="00334CB7">
            <w:r w:rsidRPr="00A07348">
              <w:t>Reason for and description of change</w:t>
            </w:r>
          </w:p>
        </w:tc>
      </w:tr>
      <w:tr w:rsidR="00485277" w14:paraId="166145D8" w14:textId="77777777" w:rsidTr="00F50C7E">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445F9D7F" w14:textId="409B5A40" w:rsidR="00AC2181" w:rsidRPr="00A07348" w:rsidRDefault="00152E34" w:rsidP="00334CB7">
            <w:pPr>
              <w:rPr>
                <w:b/>
                <w:bCs/>
              </w:rPr>
            </w:pPr>
            <w:r>
              <w:t>October</w:t>
            </w:r>
            <w:r w:rsidR="00AC2181">
              <w:t xml:space="preserve"> </w:t>
            </w:r>
            <w:r>
              <w:t>2026</w:t>
            </w:r>
          </w:p>
        </w:tc>
        <w:tc>
          <w:tcPr>
            <w:tcW w:w="8365" w:type="dxa"/>
          </w:tcPr>
          <w:p w14:paraId="2329F997" w14:textId="006DC165" w:rsidR="00AC2181" w:rsidRDefault="00AC2181" w:rsidP="00F50C7E">
            <w:r>
              <w:t xml:space="preserve">Version </w:t>
            </w:r>
            <w:r w:rsidR="00134F6F">
              <w:t>4</w:t>
            </w:r>
          </w:p>
          <w:p w14:paraId="1C58D147" w14:textId="1D212A35" w:rsidR="00AC2181" w:rsidRPr="00352687" w:rsidRDefault="00451F71" w:rsidP="00F50C7E">
            <w:pPr>
              <w:pStyle w:val="ListBullet"/>
              <w:tabs>
                <w:tab w:val="clear" w:pos="1080"/>
              </w:tabs>
              <w:ind w:left="398"/>
            </w:pPr>
            <w:r>
              <w:t>Updated to comply with accessibility and TxDOT branding standards.</w:t>
            </w:r>
          </w:p>
        </w:tc>
      </w:tr>
      <w:tr w:rsidR="009A5676" w14:paraId="59F2BE8E" w14:textId="77777777" w:rsidTr="009A5676">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78D066D0" w14:textId="2C80672C" w:rsidR="009A5676" w:rsidRPr="00A07348" w:rsidRDefault="009A5676" w:rsidP="006110B0">
            <w:pPr>
              <w:rPr>
                <w:b/>
                <w:bCs/>
              </w:rPr>
            </w:pPr>
            <w:r>
              <w:t>July 2023</w:t>
            </w:r>
          </w:p>
        </w:tc>
        <w:tc>
          <w:tcPr>
            <w:tcW w:w="8365" w:type="dxa"/>
          </w:tcPr>
          <w:p w14:paraId="6E0525E8" w14:textId="454943E7" w:rsidR="009A5676" w:rsidRDefault="009A5676" w:rsidP="006110B0">
            <w:r>
              <w:t xml:space="preserve">Version </w:t>
            </w:r>
            <w:r w:rsidR="00134F6F">
              <w:t>3</w:t>
            </w:r>
          </w:p>
          <w:p w14:paraId="568C284C" w14:textId="25EEDD79" w:rsidR="009A5676" w:rsidRPr="00352687" w:rsidRDefault="000E105F" w:rsidP="006110B0">
            <w:pPr>
              <w:pStyle w:val="ListBullet"/>
              <w:tabs>
                <w:tab w:val="clear" w:pos="1080"/>
              </w:tabs>
              <w:ind w:left="398"/>
            </w:pPr>
            <w:r>
              <w:t>Rewrote more comprehensively to be more concise and more closely track regulatory requirements.</w:t>
            </w:r>
          </w:p>
        </w:tc>
      </w:tr>
      <w:tr w:rsidR="009A5676" w14:paraId="0B0B60A4" w14:textId="77777777" w:rsidTr="009A567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50852A59" w14:textId="3014BD16" w:rsidR="009A5676" w:rsidRPr="00A07348" w:rsidRDefault="009A5676" w:rsidP="006110B0">
            <w:pPr>
              <w:rPr>
                <w:b/>
                <w:bCs/>
              </w:rPr>
            </w:pPr>
            <w:r>
              <w:t xml:space="preserve">December 2019 </w:t>
            </w:r>
          </w:p>
        </w:tc>
        <w:tc>
          <w:tcPr>
            <w:tcW w:w="8365" w:type="dxa"/>
          </w:tcPr>
          <w:p w14:paraId="1FB66D3A" w14:textId="3D1AAB08" w:rsidR="009A5676" w:rsidRDefault="009A5676" w:rsidP="006110B0">
            <w:r>
              <w:t xml:space="preserve">Version </w:t>
            </w:r>
            <w:r w:rsidR="00134F6F">
              <w:t>2</w:t>
            </w:r>
          </w:p>
          <w:p w14:paraId="34891C31" w14:textId="743A615E" w:rsidR="009A5676" w:rsidRPr="00352687" w:rsidRDefault="008E61CA" w:rsidP="006110B0">
            <w:pPr>
              <w:pStyle w:val="ListBullet"/>
              <w:tabs>
                <w:tab w:val="clear" w:pos="1080"/>
              </w:tabs>
              <w:ind w:left="398"/>
            </w:pPr>
            <w:r>
              <w:t>Added NEPA assignment disclaimer to list of cover page documents.</w:t>
            </w:r>
          </w:p>
        </w:tc>
      </w:tr>
      <w:tr w:rsidR="009A5676" w14:paraId="26EA645A" w14:textId="77777777" w:rsidTr="009A5676">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4E872914" w14:textId="0D171D8F" w:rsidR="009A5676" w:rsidRPr="00A07348" w:rsidRDefault="009A5676" w:rsidP="006110B0">
            <w:pPr>
              <w:rPr>
                <w:b/>
                <w:bCs/>
              </w:rPr>
            </w:pPr>
            <w:r>
              <w:t>August 2014</w:t>
            </w:r>
          </w:p>
        </w:tc>
        <w:tc>
          <w:tcPr>
            <w:tcW w:w="8365" w:type="dxa"/>
          </w:tcPr>
          <w:p w14:paraId="323FB244" w14:textId="54D5B8E8" w:rsidR="009A5676" w:rsidRDefault="009A5676" w:rsidP="006110B0">
            <w:r>
              <w:t xml:space="preserve">Version </w:t>
            </w:r>
            <w:r w:rsidR="00134F6F">
              <w:t>1</w:t>
            </w:r>
          </w:p>
          <w:p w14:paraId="50A6B7EA" w14:textId="2C08AB92" w:rsidR="009A5676" w:rsidRPr="00352687" w:rsidRDefault="00BC329B" w:rsidP="006110B0">
            <w:pPr>
              <w:pStyle w:val="ListBullet"/>
              <w:tabs>
                <w:tab w:val="clear" w:pos="1080"/>
              </w:tabs>
              <w:ind w:left="398"/>
            </w:pPr>
            <w:r w:rsidRPr="00BC329B">
              <w:t>Used to prepare an individual Section 4(f) evaluation and the documentation recording the basis for determining the required Section 4(f) findings for FHWA projects that impact parks, recreation areas, wildlife and waterfowl refuges, and historic sites</w:t>
            </w:r>
            <w:r w:rsidR="00835AF5">
              <w:t>.</w:t>
            </w:r>
          </w:p>
        </w:tc>
      </w:tr>
    </w:tbl>
    <w:p w14:paraId="2CC13A06" w14:textId="77777777" w:rsidR="00AC2181" w:rsidRDefault="00AC2181" w:rsidP="001A1F6A">
      <w:pPr>
        <w:pStyle w:val="CaptionFigure"/>
      </w:pPr>
    </w:p>
    <w:sectPr w:rsidR="00AC2181" w:rsidSect="00835AF5">
      <w:headerReference w:type="default" r:id="rId13"/>
      <w:footerReference w:type="default" r:id="rId14"/>
      <w:headerReference w:type="first" r:id="rId15"/>
      <w:footerReference w:type="first" r:id="rId16"/>
      <w:pgSz w:w="12240" w:h="15840"/>
      <w:pgMar w:top="720" w:right="720" w:bottom="720" w:left="720" w:header="432" w:footer="44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06DCC" w14:textId="77777777" w:rsidR="00DC0891" w:rsidRDefault="00DC0891" w:rsidP="00E9313B">
      <w:pPr>
        <w:spacing w:after="0" w:line="240" w:lineRule="auto"/>
      </w:pPr>
      <w:r>
        <w:separator/>
      </w:r>
    </w:p>
  </w:endnote>
  <w:endnote w:type="continuationSeparator" w:id="0">
    <w:p w14:paraId="4523C09E" w14:textId="77777777" w:rsidR="00DC0891" w:rsidRDefault="00DC0891" w:rsidP="003D0A5B">
      <w:pPr>
        <w:spacing w:after="0" w:line="240" w:lineRule="auto"/>
      </w:pPr>
      <w:r>
        <w:continuationSeparator/>
      </w:r>
    </w:p>
    <w:p w14:paraId="07A13AA7" w14:textId="77777777" w:rsidR="00DC0891" w:rsidRDefault="00DC0891"/>
    <w:p w14:paraId="4F53D68F" w14:textId="77777777" w:rsidR="00DC0891" w:rsidRDefault="00DC0891"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997CA789-5A06-4449-A98D-4A8A82F85886}"/>
    <w:embedBold r:id="rId2" w:fontKey="{7AC22324-4708-404A-8B84-42C546628109}"/>
    <w:embedItalic r:id="rId3" w:fontKey="{593984AD-1BA6-4454-BA73-49DEDFAD7219}"/>
    <w:embedBoldItalic r:id="rId4" w:fontKey="{2A265F53-E296-487E-8551-2C18DF90069E}"/>
  </w:font>
  <w:font w:name="Verdana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F13F2" w14:textId="19820D7E" w:rsidR="00883070" w:rsidRPr="00AC2093" w:rsidRDefault="00883070" w:rsidP="001A61FB">
    <w:pPr>
      <w:pStyle w:val="Footer"/>
      <w:spacing w:before="240"/>
      <w:jc w:val="right"/>
    </w:pPr>
    <w:r w:rsidRPr="00781A58">
      <mc:AlternateContent>
        <mc:Choice Requires="wps">
          <w:drawing>
            <wp:anchor distT="0" distB="0" distL="114300" distR="114300" simplePos="0" relativeHeight="251672576" behindDoc="0" locked="0" layoutInCell="1" allowOverlap="1" wp14:anchorId="2203045E" wp14:editId="4A84C0BF">
              <wp:simplePos x="0" y="0"/>
              <wp:positionH relativeFrom="margin">
                <wp:posOffset>0</wp:posOffset>
              </wp:positionH>
              <wp:positionV relativeFrom="paragraph">
                <wp:posOffset>16147</wp:posOffset>
              </wp:positionV>
              <wp:extent cx="9144000" cy="9144"/>
              <wp:effectExtent l="0" t="0" r="19050" b="29210"/>
              <wp:wrapNone/>
              <wp:docPr id="148123631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96B396" id="_x0000_t32" coordsize="21600,21600" o:spt="32" o:oned="t" path="m,l21600,21600e" filled="f">
              <v:path arrowok="t" fillok="f" o:connecttype="none"/>
              <o:lock v:ext="edit" shapetype="t"/>
            </v:shapetype>
            <v:shape id="AutoShape 12" o:spid="_x0000_s1026" type="#_x0000_t32" alt="&quot;&quot;" style="position:absolute;margin-left:0;margin-top:1.25pt;width:10in;height:.7p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" strokecolor="#d81f26">
              <w10:wrap anchorx="margin"/>
            </v:shape>
          </w:pict>
        </mc:Fallback>
      </mc:AlternateContent>
    </w:r>
    <w:r w:rsidR="00EA1B4F" w:rsidRPr="00EA1B4F">
      <w:t xml:space="preserve"> Documentation Standard Individual Section 4(f) Evaluation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E9B81" w14:textId="77777777" w:rsidR="00AC2093" w:rsidRPr="00AC2093" w:rsidRDefault="00AC2093" w:rsidP="00AC2093">
    <w:pPr>
      <w:pStyle w:val="Footer"/>
      <w:jc w:val="right"/>
    </w:pPr>
    <w:r w:rsidRPr="00781A58">
      <mc:AlternateContent>
        <mc:Choice Requires="wps">
          <w:drawing>
            <wp:anchor distT="0" distB="0" distL="114300" distR="114300" simplePos="0" relativeHeight="251670528" behindDoc="0" locked="0" layoutInCell="1" allowOverlap="1" wp14:anchorId="7BC31021" wp14:editId="054EAD11">
              <wp:simplePos x="0" y="0"/>
              <wp:positionH relativeFrom="margin">
                <wp:posOffset>0</wp:posOffset>
              </wp:positionH>
              <wp:positionV relativeFrom="paragraph">
                <wp:posOffset>82550</wp:posOffset>
              </wp:positionV>
              <wp:extent cx="9144000" cy="9144"/>
              <wp:effectExtent l="0" t="0" r="19050" b="2921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9144"/>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8210BA" id="_x0000_t32" coordsize="21600,21600" o:spt="32" o:oned="t" path="m,l21600,21600e" filled="f">
              <v:path arrowok="t" fillok="f" o:connecttype="none"/>
              <o:lock v:ext="edit" shapetype="t"/>
            </v:shapetype>
            <v:shape id="AutoShape 12" o:spid="_x0000_s1026" type="#_x0000_t32" alt="&quot;&quot;" style="position:absolute;margin-left:0;margin-top:6.5pt;width:10in;height:.7p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" strokecolor="#d81f26">
              <w10:wrap anchorx="margin"/>
            </v:shape>
          </w:pict>
        </mc:Fallback>
      </mc:AlternateContent>
    </w:r>
    <w:r>
      <w:rPr>
        <w:color w:val="0056A9"/>
      </w:rPr>
      <w:t xml:space="preserve">Document Title (H1)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F0EAB" w14:textId="77777777" w:rsidR="00DC0891" w:rsidRDefault="00DC0891" w:rsidP="00E9313B">
      <w:pPr>
        <w:spacing w:after="0" w:line="240" w:lineRule="auto"/>
      </w:pPr>
      <w:r>
        <w:separator/>
      </w:r>
    </w:p>
  </w:footnote>
  <w:footnote w:type="continuationSeparator" w:id="0">
    <w:p w14:paraId="717D7043" w14:textId="77777777" w:rsidR="00DC0891" w:rsidRDefault="00DC0891" w:rsidP="003D0A5B">
      <w:pPr>
        <w:spacing w:after="0" w:line="240" w:lineRule="auto"/>
      </w:pPr>
      <w:r>
        <w:continuationSeparator/>
      </w:r>
    </w:p>
    <w:p w14:paraId="7448B30C" w14:textId="77777777" w:rsidR="00DC0891" w:rsidRDefault="00DC0891"/>
    <w:p w14:paraId="2409C52D" w14:textId="77777777" w:rsidR="00DC0891" w:rsidRDefault="00DC0891" w:rsidP="008B0E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92BA" w14:textId="77777777" w:rsidR="00121BBC" w:rsidRDefault="00121BBC" w:rsidP="00B23CA4">
    <w:pPr>
      <w:pStyle w:val="Header"/>
      <w:tabs>
        <w:tab w:val="clear" w:pos="4680"/>
      </w:tabs>
      <w:jc w:val="right"/>
    </w:pPr>
    <w:r>
      <w:rPr>
        <w:noProof/>
      </w:rPr>
      <w:drawing>
        <wp:inline distT="0" distB="0" distL="0" distR="0" wp14:anchorId="1ADD7799" wp14:editId="3D41D7DD">
          <wp:extent cx="2020824" cy="384048"/>
          <wp:effectExtent l="0" t="0" r="0" b="0"/>
          <wp:docPr id="827125942"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6CEE" w14:textId="77777777" w:rsidR="00121BBC" w:rsidRDefault="00121BBC" w:rsidP="00121BBC">
    <w:pPr>
      <w:pStyle w:val="Header"/>
      <w:spacing w:after="400"/>
      <w:jc w:val="right"/>
    </w:pPr>
    <w:r>
      <w:rPr>
        <w:noProof/>
      </w:rPr>
      <w:drawing>
        <wp:inline distT="0" distB="0" distL="0" distR="0" wp14:anchorId="580DB489" wp14:editId="20D3E348">
          <wp:extent cx="2020824" cy="384048"/>
          <wp:effectExtent l="0" t="0" r="0" b="0"/>
          <wp:docPr id="200497517"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p w14:paraId="75D2A83F" w14:textId="77777777" w:rsidR="005D4588" w:rsidRPr="00121BBC" w:rsidRDefault="005D4588" w:rsidP="00121BBC">
    <w:pPr>
      <w:pStyle w:val="Header"/>
      <w:ind w:right="3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156DCF8"/>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3"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924B8"/>
    <w:multiLevelType w:val="multilevel"/>
    <w:tmpl w:val="D2F0F3C4"/>
    <w:lvl w:ilvl="0">
      <w:start w:val="4"/>
      <w:numFmt w:val="decimal"/>
      <w:lvlText w:val="%1.0"/>
      <w:lvlJc w:val="left"/>
      <w:pPr>
        <w:ind w:left="720" w:hanging="720"/>
      </w:pPr>
      <w:rPr>
        <w:rFonts w:hint="default"/>
      </w:rPr>
    </w:lvl>
    <w:lvl w:ilvl="1">
      <w:start w:val="1"/>
      <w:numFmt w:val="decimal"/>
      <w:lvlText w:val="%1.%2"/>
      <w:lvlJc w:val="left"/>
      <w:pPr>
        <w:ind w:left="1987" w:hanging="1080"/>
      </w:pPr>
      <w:rPr>
        <w:rFonts w:hint="default"/>
      </w:rPr>
    </w:lvl>
    <w:lvl w:ilvl="2">
      <w:start w:val="1"/>
      <w:numFmt w:val="decimal"/>
      <w:lvlText w:val="%1.%2.%3"/>
      <w:lvlJc w:val="left"/>
      <w:pPr>
        <w:ind w:left="3254" w:hanging="1440"/>
      </w:pPr>
      <w:rPr>
        <w:rFonts w:hint="default"/>
      </w:rPr>
    </w:lvl>
    <w:lvl w:ilvl="3">
      <w:start w:val="1"/>
      <w:numFmt w:val="decimal"/>
      <w:lvlText w:val="%1.%2.%3.%4"/>
      <w:lvlJc w:val="left"/>
      <w:pPr>
        <w:ind w:left="4521" w:hanging="1800"/>
      </w:pPr>
      <w:rPr>
        <w:rFonts w:hint="default"/>
      </w:rPr>
    </w:lvl>
    <w:lvl w:ilvl="4">
      <w:start w:val="1"/>
      <w:numFmt w:val="decimal"/>
      <w:lvlText w:val="%1.%2.%3.%4.%5"/>
      <w:lvlJc w:val="left"/>
      <w:pPr>
        <w:ind w:left="5788" w:hanging="2160"/>
      </w:pPr>
      <w:rPr>
        <w:rFonts w:hint="default"/>
      </w:rPr>
    </w:lvl>
    <w:lvl w:ilvl="5">
      <w:start w:val="1"/>
      <w:numFmt w:val="decimal"/>
      <w:lvlText w:val="%1.%2.%3.%4.%5.%6"/>
      <w:lvlJc w:val="left"/>
      <w:pPr>
        <w:ind w:left="7415" w:hanging="2880"/>
      </w:pPr>
      <w:rPr>
        <w:rFonts w:hint="default"/>
      </w:rPr>
    </w:lvl>
    <w:lvl w:ilvl="6">
      <w:start w:val="1"/>
      <w:numFmt w:val="decimal"/>
      <w:lvlText w:val="%1.%2.%3.%4.%5.%6.%7"/>
      <w:lvlJc w:val="left"/>
      <w:pPr>
        <w:ind w:left="8682" w:hanging="3240"/>
      </w:pPr>
      <w:rPr>
        <w:rFonts w:hint="default"/>
      </w:rPr>
    </w:lvl>
    <w:lvl w:ilvl="7">
      <w:start w:val="1"/>
      <w:numFmt w:val="decimal"/>
      <w:lvlText w:val="%1.%2.%3.%4.%5.%6.%7.%8"/>
      <w:lvlJc w:val="left"/>
      <w:pPr>
        <w:ind w:left="9949" w:hanging="3600"/>
      </w:pPr>
      <w:rPr>
        <w:rFonts w:hint="default"/>
      </w:rPr>
    </w:lvl>
    <w:lvl w:ilvl="8">
      <w:start w:val="1"/>
      <w:numFmt w:val="decimal"/>
      <w:lvlText w:val="%1.%2.%3.%4.%5.%6.%7.%8.%9"/>
      <w:lvlJc w:val="left"/>
      <w:pPr>
        <w:ind w:left="11216" w:hanging="3960"/>
      </w:pPr>
      <w:rPr>
        <w:rFonts w:hint="default"/>
      </w:rPr>
    </w:lvl>
  </w:abstractNum>
  <w:abstractNum w:abstractNumId="5" w15:restartNumberingAfterBreak="0">
    <w:nsid w:val="10374094"/>
    <w:multiLevelType w:val="multilevel"/>
    <w:tmpl w:val="39BA23C0"/>
    <w:lvl w:ilvl="0">
      <w:start w:val="2"/>
      <w:numFmt w:val="decimal"/>
      <w:lvlText w:val="%1.0"/>
      <w:lvlJc w:val="left"/>
      <w:pPr>
        <w:ind w:left="720" w:hanging="720"/>
      </w:pPr>
      <w:rPr>
        <w:rFonts w:hint="default"/>
      </w:rPr>
    </w:lvl>
    <w:lvl w:ilvl="1">
      <w:start w:val="1"/>
      <w:numFmt w:val="decimal"/>
      <w:lvlText w:val="%1.%2"/>
      <w:lvlJc w:val="left"/>
      <w:pPr>
        <w:ind w:left="1987" w:hanging="1080"/>
      </w:pPr>
      <w:rPr>
        <w:rFonts w:hint="default"/>
      </w:rPr>
    </w:lvl>
    <w:lvl w:ilvl="2">
      <w:start w:val="1"/>
      <w:numFmt w:val="decimal"/>
      <w:lvlText w:val="%1.%2.%3"/>
      <w:lvlJc w:val="left"/>
      <w:pPr>
        <w:ind w:left="3254" w:hanging="1440"/>
      </w:pPr>
      <w:rPr>
        <w:rFonts w:hint="default"/>
      </w:rPr>
    </w:lvl>
    <w:lvl w:ilvl="3">
      <w:start w:val="1"/>
      <w:numFmt w:val="decimal"/>
      <w:lvlText w:val="%1.%2.%3.%4"/>
      <w:lvlJc w:val="left"/>
      <w:pPr>
        <w:ind w:left="4521" w:hanging="1800"/>
      </w:pPr>
      <w:rPr>
        <w:rFonts w:hint="default"/>
      </w:rPr>
    </w:lvl>
    <w:lvl w:ilvl="4">
      <w:start w:val="1"/>
      <w:numFmt w:val="decimal"/>
      <w:lvlText w:val="%1.%2.%3.%4.%5"/>
      <w:lvlJc w:val="left"/>
      <w:pPr>
        <w:ind w:left="5788" w:hanging="2160"/>
      </w:pPr>
      <w:rPr>
        <w:rFonts w:hint="default"/>
      </w:rPr>
    </w:lvl>
    <w:lvl w:ilvl="5">
      <w:start w:val="1"/>
      <w:numFmt w:val="decimal"/>
      <w:lvlText w:val="%1.%2.%3.%4.%5.%6"/>
      <w:lvlJc w:val="left"/>
      <w:pPr>
        <w:ind w:left="7415" w:hanging="2880"/>
      </w:pPr>
      <w:rPr>
        <w:rFonts w:hint="default"/>
      </w:rPr>
    </w:lvl>
    <w:lvl w:ilvl="6">
      <w:start w:val="1"/>
      <w:numFmt w:val="decimal"/>
      <w:lvlText w:val="%1.%2.%3.%4.%5.%6.%7"/>
      <w:lvlJc w:val="left"/>
      <w:pPr>
        <w:ind w:left="8682" w:hanging="3240"/>
      </w:pPr>
      <w:rPr>
        <w:rFonts w:hint="default"/>
      </w:rPr>
    </w:lvl>
    <w:lvl w:ilvl="7">
      <w:start w:val="1"/>
      <w:numFmt w:val="decimal"/>
      <w:lvlText w:val="%1.%2.%3.%4.%5.%6.%7.%8"/>
      <w:lvlJc w:val="left"/>
      <w:pPr>
        <w:ind w:left="9949" w:hanging="3600"/>
      </w:pPr>
      <w:rPr>
        <w:rFonts w:hint="default"/>
      </w:rPr>
    </w:lvl>
    <w:lvl w:ilvl="8">
      <w:start w:val="1"/>
      <w:numFmt w:val="decimal"/>
      <w:lvlText w:val="%1.%2.%3.%4.%5.%6.%7.%8.%9"/>
      <w:lvlJc w:val="left"/>
      <w:pPr>
        <w:ind w:left="11216" w:hanging="3960"/>
      </w:pPr>
      <w:rPr>
        <w:rFonts w:hint="default"/>
      </w:rPr>
    </w:lvl>
  </w:abstractNum>
  <w:abstractNum w:abstractNumId="6"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8" w15:restartNumberingAfterBreak="0">
    <w:nsid w:val="2324568B"/>
    <w:multiLevelType w:val="multilevel"/>
    <w:tmpl w:val="C11E575C"/>
    <w:lvl w:ilvl="0">
      <w:start w:val="1"/>
      <w:numFmt w:val="decimal"/>
      <w:lvlText w:val="%1.0"/>
      <w:lvlJc w:val="left"/>
      <w:pPr>
        <w:ind w:left="720" w:hanging="720"/>
      </w:pPr>
      <w:rPr>
        <w:rFonts w:hint="default"/>
      </w:rPr>
    </w:lvl>
    <w:lvl w:ilvl="1">
      <w:start w:val="1"/>
      <w:numFmt w:val="decimal"/>
      <w:lvlText w:val="%1.%2"/>
      <w:lvlJc w:val="left"/>
      <w:pPr>
        <w:ind w:left="1987" w:hanging="1080"/>
      </w:pPr>
      <w:rPr>
        <w:rFonts w:hint="default"/>
      </w:rPr>
    </w:lvl>
    <w:lvl w:ilvl="2">
      <w:start w:val="1"/>
      <w:numFmt w:val="decimal"/>
      <w:lvlText w:val="%1.%2.%3"/>
      <w:lvlJc w:val="left"/>
      <w:pPr>
        <w:ind w:left="3254" w:hanging="1440"/>
      </w:pPr>
      <w:rPr>
        <w:rFonts w:hint="default"/>
      </w:rPr>
    </w:lvl>
    <w:lvl w:ilvl="3">
      <w:start w:val="1"/>
      <w:numFmt w:val="decimal"/>
      <w:lvlText w:val="%1.%2.%3.%4"/>
      <w:lvlJc w:val="left"/>
      <w:pPr>
        <w:ind w:left="4521" w:hanging="1800"/>
      </w:pPr>
      <w:rPr>
        <w:rFonts w:hint="default"/>
      </w:rPr>
    </w:lvl>
    <w:lvl w:ilvl="4">
      <w:start w:val="1"/>
      <w:numFmt w:val="decimal"/>
      <w:lvlText w:val="%1.%2.%3.%4.%5"/>
      <w:lvlJc w:val="left"/>
      <w:pPr>
        <w:ind w:left="5788" w:hanging="2160"/>
      </w:pPr>
      <w:rPr>
        <w:rFonts w:hint="default"/>
      </w:rPr>
    </w:lvl>
    <w:lvl w:ilvl="5">
      <w:start w:val="1"/>
      <w:numFmt w:val="decimal"/>
      <w:lvlText w:val="%1.%2.%3.%4.%5.%6"/>
      <w:lvlJc w:val="left"/>
      <w:pPr>
        <w:ind w:left="7415" w:hanging="2880"/>
      </w:pPr>
      <w:rPr>
        <w:rFonts w:hint="default"/>
      </w:rPr>
    </w:lvl>
    <w:lvl w:ilvl="6">
      <w:start w:val="1"/>
      <w:numFmt w:val="decimal"/>
      <w:lvlText w:val="%1.%2.%3.%4.%5.%6.%7"/>
      <w:lvlJc w:val="left"/>
      <w:pPr>
        <w:ind w:left="8682" w:hanging="3240"/>
      </w:pPr>
      <w:rPr>
        <w:rFonts w:hint="default"/>
      </w:rPr>
    </w:lvl>
    <w:lvl w:ilvl="7">
      <w:start w:val="1"/>
      <w:numFmt w:val="decimal"/>
      <w:lvlText w:val="%1.%2.%3.%4.%5.%6.%7.%8"/>
      <w:lvlJc w:val="left"/>
      <w:pPr>
        <w:ind w:left="9949" w:hanging="3600"/>
      </w:pPr>
      <w:rPr>
        <w:rFonts w:hint="default"/>
      </w:rPr>
    </w:lvl>
    <w:lvl w:ilvl="8">
      <w:start w:val="1"/>
      <w:numFmt w:val="decimal"/>
      <w:lvlText w:val="%1.%2.%3.%4.%5.%6.%7.%8.%9"/>
      <w:lvlJc w:val="left"/>
      <w:pPr>
        <w:ind w:left="11216" w:hanging="3960"/>
      </w:pPr>
      <w:rPr>
        <w:rFonts w:hint="default"/>
      </w:rPr>
    </w:lvl>
  </w:abstractNum>
  <w:abstractNum w:abstractNumId="9"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4C12DE"/>
    <w:multiLevelType w:val="multilevel"/>
    <w:tmpl w:val="5830985E"/>
    <w:lvl w:ilvl="0">
      <w:start w:val="1"/>
      <w:numFmt w:val="upperLetter"/>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11"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2"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4" w15:restartNumberingAfterBreak="0">
    <w:nsid w:val="39D42D2C"/>
    <w:multiLevelType w:val="hybridMultilevel"/>
    <w:tmpl w:val="50124D1A"/>
    <w:lvl w:ilvl="0" w:tplc="67046C9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6" w15:restartNumberingAfterBreak="0">
    <w:nsid w:val="3C84467E"/>
    <w:multiLevelType w:val="hybridMultilevel"/>
    <w:tmpl w:val="4FA26A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8" w15:restartNumberingAfterBreak="0">
    <w:nsid w:val="407B6D40"/>
    <w:multiLevelType w:val="multilevel"/>
    <w:tmpl w:val="FBA8E5C2"/>
    <w:lvl w:ilvl="0">
      <w:start w:val="1"/>
      <w:numFmt w:val="decimal"/>
      <w:lvlText w:val="%1.0"/>
      <w:lvlJc w:val="left"/>
      <w:pPr>
        <w:ind w:left="720" w:hanging="720"/>
      </w:pPr>
      <w:rPr>
        <w:rFonts w:hint="default"/>
      </w:rPr>
    </w:lvl>
    <w:lvl w:ilvl="1">
      <w:start w:val="1"/>
      <w:numFmt w:val="decimal"/>
      <w:lvlText w:val="%1.%2"/>
      <w:lvlJc w:val="left"/>
      <w:pPr>
        <w:ind w:left="1987" w:hanging="1080"/>
      </w:pPr>
      <w:rPr>
        <w:rFonts w:hint="default"/>
      </w:rPr>
    </w:lvl>
    <w:lvl w:ilvl="2">
      <w:start w:val="1"/>
      <w:numFmt w:val="decimal"/>
      <w:lvlText w:val="%1.%2.%3"/>
      <w:lvlJc w:val="left"/>
      <w:pPr>
        <w:ind w:left="3254" w:hanging="1440"/>
      </w:pPr>
      <w:rPr>
        <w:rFonts w:hint="default"/>
      </w:rPr>
    </w:lvl>
    <w:lvl w:ilvl="3">
      <w:start w:val="1"/>
      <w:numFmt w:val="decimal"/>
      <w:lvlText w:val="%1.%2.%3.%4"/>
      <w:lvlJc w:val="left"/>
      <w:pPr>
        <w:ind w:left="4521" w:hanging="1800"/>
      </w:pPr>
      <w:rPr>
        <w:rFonts w:hint="default"/>
      </w:rPr>
    </w:lvl>
    <w:lvl w:ilvl="4">
      <w:start w:val="1"/>
      <w:numFmt w:val="decimal"/>
      <w:lvlText w:val="%1.%2.%3.%4.%5"/>
      <w:lvlJc w:val="left"/>
      <w:pPr>
        <w:ind w:left="5788" w:hanging="2160"/>
      </w:pPr>
      <w:rPr>
        <w:rFonts w:hint="default"/>
      </w:rPr>
    </w:lvl>
    <w:lvl w:ilvl="5">
      <w:start w:val="1"/>
      <w:numFmt w:val="decimal"/>
      <w:lvlText w:val="%1.%2.%3.%4.%5.%6"/>
      <w:lvlJc w:val="left"/>
      <w:pPr>
        <w:ind w:left="7415" w:hanging="2880"/>
      </w:pPr>
      <w:rPr>
        <w:rFonts w:hint="default"/>
      </w:rPr>
    </w:lvl>
    <w:lvl w:ilvl="6">
      <w:start w:val="1"/>
      <w:numFmt w:val="decimal"/>
      <w:lvlText w:val="%1.%2.%3.%4.%5.%6.%7"/>
      <w:lvlJc w:val="left"/>
      <w:pPr>
        <w:ind w:left="8682" w:hanging="3240"/>
      </w:pPr>
      <w:rPr>
        <w:rFonts w:hint="default"/>
      </w:rPr>
    </w:lvl>
    <w:lvl w:ilvl="7">
      <w:start w:val="1"/>
      <w:numFmt w:val="decimal"/>
      <w:lvlText w:val="%1.%2.%3.%4.%5.%6.%7.%8"/>
      <w:lvlJc w:val="left"/>
      <w:pPr>
        <w:ind w:left="9949" w:hanging="3600"/>
      </w:pPr>
      <w:rPr>
        <w:rFonts w:hint="default"/>
      </w:rPr>
    </w:lvl>
    <w:lvl w:ilvl="8">
      <w:start w:val="1"/>
      <w:numFmt w:val="decimal"/>
      <w:lvlText w:val="%1.%2.%3.%4.%5.%6.%7.%8.%9"/>
      <w:lvlJc w:val="left"/>
      <w:pPr>
        <w:ind w:left="11216" w:hanging="3960"/>
      </w:pPr>
      <w:rPr>
        <w:rFonts w:hint="default"/>
      </w:rPr>
    </w:lvl>
  </w:abstractNum>
  <w:abstractNum w:abstractNumId="19" w15:restartNumberingAfterBreak="0">
    <w:nsid w:val="415D3EB0"/>
    <w:multiLevelType w:val="hybridMultilevel"/>
    <w:tmpl w:val="9170D83E"/>
    <w:lvl w:ilvl="0" w:tplc="BA586E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21"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23" w15:restartNumberingAfterBreak="0">
    <w:nsid w:val="4F757F16"/>
    <w:multiLevelType w:val="hybridMultilevel"/>
    <w:tmpl w:val="15164132"/>
    <w:lvl w:ilvl="0" w:tplc="AEE8960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25" w15:restartNumberingAfterBreak="0">
    <w:nsid w:val="5E7E5857"/>
    <w:multiLevelType w:val="multilevel"/>
    <w:tmpl w:val="8D1C0838"/>
    <w:lvl w:ilvl="0">
      <w:start w:val="1"/>
      <w:numFmt w:val="decimal"/>
      <w:lvlText w:val="%1.0"/>
      <w:lvlJc w:val="left"/>
      <w:pPr>
        <w:ind w:left="720" w:hanging="720"/>
      </w:pPr>
      <w:rPr>
        <w:rFonts w:hint="default"/>
      </w:rPr>
    </w:lvl>
    <w:lvl w:ilvl="1">
      <w:start w:val="1"/>
      <w:numFmt w:val="decimal"/>
      <w:lvlText w:val="%1.%2"/>
      <w:lvlJc w:val="left"/>
      <w:pPr>
        <w:ind w:left="1987" w:hanging="1080"/>
      </w:pPr>
      <w:rPr>
        <w:rFonts w:hint="default"/>
      </w:rPr>
    </w:lvl>
    <w:lvl w:ilvl="2">
      <w:start w:val="1"/>
      <w:numFmt w:val="decimal"/>
      <w:lvlText w:val="%1.%2.%3"/>
      <w:lvlJc w:val="left"/>
      <w:pPr>
        <w:ind w:left="3254" w:hanging="1440"/>
      </w:pPr>
      <w:rPr>
        <w:rFonts w:hint="default"/>
      </w:rPr>
    </w:lvl>
    <w:lvl w:ilvl="3">
      <w:start w:val="1"/>
      <w:numFmt w:val="decimal"/>
      <w:lvlText w:val="%1.%2.%3.%4"/>
      <w:lvlJc w:val="left"/>
      <w:pPr>
        <w:ind w:left="4521" w:hanging="1800"/>
      </w:pPr>
      <w:rPr>
        <w:rFonts w:hint="default"/>
      </w:rPr>
    </w:lvl>
    <w:lvl w:ilvl="4">
      <w:start w:val="1"/>
      <w:numFmt w:val="decimal"/>
      <w:lvlText w:val="%1.%2.%3.%4.%5"/>
      <w:lvlJc w:val="left"/>
      <w:pPr>
        <w:ind w:left="5788" w:hanging="2160"/>
      </w:pPr>
      <w:rPr>
        <w:rFonts w:hint="default"/>
      </w:rPr>
    </w:lvl>
    <w:lvl w:ilvl="5">
      <w:start w:val="1"/>
      <w:numFmt w:val="decimal"/>
      <w:lvlText w:val="%1.%2.%3.%4.%5.%6"/>
      <w:lvlJc w:val="left"/>
      <w:pPr>
        <w:ind w:left="7415" w:hanging="2880"/>
      </w:pPr>
      <w:rPr>
        <w:rFonts w:hint="default"/>
      </w:rPr>
    </w:lvl>
    <w:lvl w:ilvl="6">
      <w:start w:val="1"/>
      <w:numFmt w:val="decimal"/>
      <w:lvlText w:val="%1.%2.%3.%4.%5.%6.%7"/>
      <w:lvlJc w:val="left"/>
      <w:pPr>
        <w:ind w:left="8682" w:hanging="3240"/>
      </w:pPr>
      <w:rPr>
        <w:rFonts w:hint="default"/>
      </w:rPr>
    </w:lvl>
    <w:lvl w:ilvl="7">
      <w:start w:val="1"/>
      <w:numFmt w:val="decimal"/>
      <w:lvlText w:val="%1.%2.%3.%4.%5.%6.%7.%8"/>
      <w:lvlJc w:val="left"/>
      <w:pPr>
        <w:ind w:left="9949" w:hanging="3600"/>
      </w:pPr>
      <w:rPr>
        <w:rFonts w:hint="default"/>
      </w:rPr>
    </w:lvl>
    <w:lvl w:ilvl="8">
      <w:start w:val="1"/>
      <w:numFmt w:val="decimal"/>
      <w:lvlText w:val="%1.%2.%3.%4.%5.%6.%7.%8.%9"/>
      <w:lvlJc w:val="left"/>
      <w:pPr>
        <w:ind w:left="11216" w:hanging="3960"/>
      </w:pPr>
      <w:rPr>
        <w:rFonts w:hint="default"/>
      </w:rPr>
    </w:lvl>
  </w:abstractNum>
  <w:abstractNum w:abstractNumId="26"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27"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28403C"/>
    <w:multiLevelType w:val="multilevel"/>
    <w:tmpl w:val="EF4023D8"/>
    <w:lvl w:ilvl="0">
      <w:start w:val="1"/>
      <w:numFmt w:val="decimal"/>
      <w:lvlText w:val="%1.0"/>
      <w:lvlJc w:val="left"/>
      <w:pPr>
        <w:ind w:left="720" w:hanging="720"/>
      </w:pPr>
      <w:rPr>
        <w:rFonts w:hint="default"/>
      </w:rPr>
    </w:lvl>
    <w:lvl w:ilvl="1">
      <w:start w:val="1"/>
      <w:numFmt w:val="decimal"/>
      <w:lvlText w:val="%1.%2"/>
      <w:lvlJc w:val="left"/>
      <w:pPr>
        <w:ind w:left="1987" w:hanging="1080"/>
      </w:pPr>
      <w:rPr>
        <w:rFonts w:hint="default"/>
      </w:rPr>
    </w:lvl>
    <w:lvl w:ilvl="2">
      <w:start w:val="1"/>
      <w:numFmt w:val="decimal"/>
      <w:lvlText w:val="%1.%2.%3"/>
      <w:lvlJc w:val="left"/>
      <w:pPr>
        <w:ind w:left="3254" w:hanging="1440"/>
      </w:pPr>
      <w:rPr>
        <w:rFonts w:hint="default"/>
      </w:rPr>
    </w:lvl>
    <w:lvl w:ilvl="3">
      <w:start w:val="1"/>
      <w:numFmt w:val="decimal"/>
      <w:lvlText w:val="%1.%2.%3.%4"/>
      <w:lvlJc w:val="left"/>
      <w:pPr>
        <w:ind w:left="4521" w:hanging="1800"/>
      </w:pPr>
      <w:rPr>
        <w:rFonts w:hint="default"/>
      </w:rPr>
    </w:lvl>
    <w:lvl w:ilvl="4">
      <w:start w:val="1"/>
      <w:numFmt w:val="decimal"/>
      <w:lvlText w:val="%1.%2.%3.%4.%5"/>
      <w:lvlJc w:val="left"/>
      <w:pPr>
        <w:ind w:left="5788" w:hanging="2160"/>
      </w:pPr>
      <w:rPr>
        <w:rFonts w:hint="default"/>
      </w:rPr>
    </w:lvl>
    <w:lvl w:ilvl="5">
      <w:start w:val="1"/>
      <w:numFmt w:val="decimal"/>
      <w:lvlText w:val="%1.%2.%3.%4.%5.%6"/>
      <w:lvlJc w:val="left"/>
      <w:pPr>
        <w:ind w:left="7415" w:hanging="2880"/>
      </w:pPr>
      <w:rPr>
        <w:rFonts w:hint="default"/>
      </w:rPr>
    </w:lvl>
    <w:lvl w:ilvl="6">
      <w:start w:val="1"/>
      <w:numFmt w:val="decimal"/>
      <w:lvlText w:val="%1.%2.%3.%4.%5.%6.%7"/>
      <w:lvlJc w:val="left"/>
      <w:pPr>
        <w:ind w:left="8682" w:hanging="3240"/>
      </w:pPr>
      <w:rPr>
        <w:rFonts w:hint="default"/>
      </w:rPr>
    </w:lvl>
    <w:lvl w:ilvl="7">
      <w:start w:val="1"/>
      <w:numFmt w:val="decimal"/>
      <w:lvlText w:val="%1.%2.%3.%4.%5.%6.%7.%8"/>
      <w:lvlJc w:val="left"/>
      <w:pPr>
        <w:ind w:left="9949" w:hanging="3600"/>
      </w:pPr>
      <w:rPr>
        <w:rFonts w:hint="default"/>
      </w:rPr>
    </w:lvl>
    <w:lvl w:ilvl="8">
      <w:start w:val="1"/>
      <w:numFmt w:val="decimal"/>
      <w:lvlText w:val="%1.%2.%3.%4.%5.%6.%7.%8.%9"/>
      <w:lvlJc w:val="left"/>
      <w:pPr>
        <w:ind w:left="11216" w:hanging="3960"/>
      </w:pPr>
      <w:rPr>
        <w:rFonts w:hint="default"/>
      </w:rPr>
    </w:lvl>
  </w:abstractNum>
  <w:abstractNum w:abstractNumId="29"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DF6044"/>
    <w:multiLevelType w:val="hybridMultilevel"/>
    <w:tmpl w:val="E4821202"/>
    <w:lvl w:ilvl="0" w:tplc="880E287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2"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10"/>
  </w:num>
  <w:num w:numId="2" w16cid:durableId="486940803">
    <w:abstractNumId w:val="33"/>
  </w:num>
  <w:num w:numId="3" w16cid:durableId="1131048890">
    <w:abstractNumId w:val="21"/>
  </w:num>
  <w:num w:numId="4" w16cid:durableId="222251917">
    <w:abstractNumId w:val="9"/>
  </w:num>
  <w:num w:numId="5" w16cid:durableId="2033070563">
    <w:abstractNumId w:val="3"/>
  </w:num>
  <w:num w:numId="6" w16cid:durableId="1427189449">
    <w:abstractNumId w:val="7"/>
  </w:num>
  <w:num w:numId="7" w16cid:durableId="1942908512">
    <w:abstractNumId w:val="2"/>
  </w:num>
  <w:num w:numId="8" w16cid:durableId="1474175729">
    <w:abstractNumId w:val="20"/>
  </w:num>
  <w:num w:numId="9" w16cid:durableId="1460957834">
    <w:abstractNumId w:val="11"/>
  </w:num>
  <w:num w:numId="10" w16cid:durableId="1740984280">
    <w:abstractNumId w:val="15"/>
  </w:num>
  <w:num w:numId="11" w16cid:durableId="1429078049">
    <w:abstractNumId w:val="26"/>
  </w:num>
  <w:num w:numId="12" w16cid:durableId="431317070">
    <w:abstractNumId w:val="24"/>
  </w:num>
  <w:num w:numId="13" w16cid:durableId="413824661">
    <w:abstractNumId w:val="33"/>
    <w:lvlOverride w:ilvl="0">
      <w:lvl w:ilvl="0">
        <w:start w:val="1"/>
        <w:numFmt w:val="bullet"/>
        <w:pStyle w:val="ListBullet"/>
        <w:lvlText w:val=""/>
        <w:lvlJc w:val="left"/>
        <w:pPr>
          <w:ind w:left="936" w:hanging="360"/>
        </w:pPr>
        <w:rPr>
          <w:rFonts w:ascii="Symbol" w:hAnsi="Symbol" w:hint="default"/>
          <w:color w:val="0056A9" w:themeColor="accent1"/>
        </w:rPr>
      </w:lvl>
    </w:lvlOverride>
    <w:lvlOverride w:ilvl="1">
      <w:lvl w:ilvl="1">
        <w:start w:val="1"/>
        <w:numFmt w:val="bullet"/>
        <w:lvlText w:val="o"/>
        <w:lvlJc w:val="left"/>
        <w:pPr>
          <w:ind w:left="1296" w:hanging="360"/>
        </w:pPr>
        <w:rPr>
          <w:rFonts w:ascii="Courier New" w:hAnsi="Courier New" w:hint="default"/>
          <w:color w:val="0056A9"/>
        </w:rPr>
      </w:lvl>
    </w:lvlOverride>
    <w:lvlOverride w:ilvl="2">
      <w:lvl w:ilvl="2">
        <w:start w:val="1"/>
        <w:numFmt w:val="bullet"/>
        <w:lvlText w:val=""/>
        <w:lvlJc w:val="left"/>
        <w:pPr>
          <w:ind w:left="1656" w:hanging="360"/>
        </w:pPr>
        <w:rPr>
          <w:rFonts w:ascii="Wingdings" w:hAnsi="Wingdings" w:hint="default"/>
          <w:color w:val="0056A9" w:themeColor="accent1"/>
        </w:rPr>
      </w:lvl>
    </w:lvlOverride>
    <w:lvlOverride w:ilvl="3">
      <w:lvl w:ilvl="3">
        <w:start w:val="1"/>
        <w:numFmt w:val="bullet"/>
        <w:lvlText w:val=""/>
        <w:lvlJc w:val="left"/>
        <w:pPr>
          <w:ind w:left="2016" w:hanging="360"/>
        </w:pPr>
        <w:rPr>
          <w:rFonts w:ascii="Symbol" w:hAnsi="Symbol" w:hint="default"/>
          <w:color w:val="0056A9" w:themeColor="accent1"/>
        </w:rPr>
      </w:lvl>
    </w:lvlOverride>
    <w:lvlOverride w:ilvl="4">
      <w:lvl w:ilvl="4">
        <w:start w:val="1"/>
        <w:numFmt w:val="bullet"/>
        <w:lvlText w:val="°"/>
        <w:lvlJc w:val="left"/>
        <w:pPr>
          <w:ind w:left="2376" w:hanging="360"/>
        </w:pPr>
        <w:rPr>
          <w:rFonts w:ascii="Verdana" w:hAnsi="Verdana" w:hint="default"/>
          <w:color w:val="0056A9" w:themeColor="accent1"/>
        </w:rPr>
      </w:lvl>
    </w:lvlOverride>
    <w:lvlOverride w:ilvl="5">
      <w:lvl w:ilvl="5">
        <w:start w:val="1"/>
        <w:numFmt w:val="bullet"/>
        <w:lvlText w:val=""/>
        <w:lvlJc w:val="left"/>
        <w:pPr>
          <w:ind w:left="2736" w:hanging="360"/>
        </w:pPr>
        <w:rPr>
          <w:rFonts w:ascii="Wingdings" w:hAnsi="Wingdings" w:hint="default"/>
        </w:rPr>
      </w:lvl>
    </w:lvlOverride>
    <w:lvlOverride w:ilvl="6">
      <w:lvl w:ilvl="6">
        <w:start w:val="1"/>
        <w:numFmt w:val="bullet"/>
        <w:lvlText w:val=""/>
        <w:lvlJc w:val="left"/>
        <w:pPr>
          <w:ind w:left="3096" w:hanging="360"/>
        </w:pPr>
        <w:rPr>
          <w:rFonts w:ascii="Wingdings" w:hAnsi="Wingdings" w:hint="default"/>
        </w:rPr>
      </w:lvl>
    </w:lvlOverride>
    <w:lvlOverride w:ilvl="7">
      <w:lvl w:ilvl="7">
        <w:start w:val="1"/>
        <w:numFmt w:val="bullet"/>
        <w:lvlText w:val=""/>
        <w:lvlJc w:val="left"/>
        <w:pPr>
          <w:ind w:left="3456" w:hanging="360"/>
        </w:pPr>
        <w:rPr>
          <w:rFonts w:ascii="Symbol" w:hAnsi="Symbol" w:hint="default"/>
        </w:rPr>
      </w:lvl>
    </w:lvlOverride>
    <w:lvlOverride w:ilvl="8">
      <w:lvl w:ilvl="8">
        <w:start w:val="1"/>
        <w:numFmt w:val="bullet"/>
        <w:lvlText w:val=""/>
        <w:lvlJc w:val="left"/>
        <w:pPr>
          <w:ind w:left="3816" w:hanging="360"/>
        </w:pPr>
        <w:rPr>
          <w:rFonts w:ascii="Symbol" w:hAnsi="Symbol" w:hint="default"/>
        </w:rPr>
      </w:lvl>
    </w:lvlOverride>
  </w:num>
  <w:num w:numId="14" w16cid:durableId="688485580">
    <w:abstractNumId w:val="13"/>
  </w:num>
  <w:num w:numId="15" w16cid:durableId="604967028">
    <w:abstractNumId w:val="29"/>
  </w:num>
  <w:num w:numId="16" w16cid:durableId="1641494522">
    <w:abstractNumId w:val="6"/>
  </w:num>
  <w:num w:numId="17" w16cid:durableId="1575041375">
    <w:abstractNumId w:val="1"/>
  </w:num>
  <w:num w:numId="18" w16cid:durableId="204024362">
    <w:abstractNumId w:val="17"/>
  </w:num>
  <w:num w:numId="19" w16cid:durableId="1670906848">
    <w:abstractNumId w:val="27"/>
  </w:num>
  <w:num w:numId="20" w16cid:durableId="1751190812">
    <w:abstractNumId w:val="22"/>
  </w:num>
  <w:num w:numId="21" w16cid:durableId="1620069720">
    <w:abstractNumId w:val="31"/>
  </w:num>
  <w:num w:numId="22" w16cid:durableId="2134975669">
    <w:abstractNumId w:val="32"/>
  </w:num>
  <w:num w:numId="23" w16cid:durableId="1341470677">
    <w:abstractNumId w:val="12"/>
  </w:num>
  <w:num w:numId="24" w16cid:durableId="1596477208">
    <w:abstractNumId w:val="33"/>
    <w:lvlOverride w:ilvl="0">
      <w:lvl w:ilvl="0">
        <w:start w:val="1"/>
        <w:numFmt w:val="bullet"/>
        <w:pStyle w:val="ListBullet"/>
        <w:lvlText w:val=""/>
        <w:lvlJc w:val="left"/>
        <w:pPr>
          <w:tabs>
            <w:tab w:val="num" w:pos="1080"/>
          </w:tabs>
          <w:ind w:left="1368" w:hanging="288"/>
        </w:pPr>
        <w:rPr>
          <w:rFonts w:ascii="Symbol" w:hAnsi="Symbol" w:hint="default"/>
          <w:color w:val="0056A9" w:themeColor="accent1"/>
        </w:rPr>
      </w:lvl>
    </w:lvlOverride>
    <w:lvlOverride w:ilvl="1">
      <w:lvl w:ilvl="1">
        <w:start w:val="1"/>
        <w:numFmt w:val="bullet"/>
        <w:lvlText w:val="o"/>
        <w:lvlJc w:val="left"/>
        <w:pPr>
          <w:tabs>
            <w:tab w:val="num" w:pos="1224"/>
          </w:tabs>
          <w:ind w:left="1512" w:hanging="288"/>
        </w:pPr>
        <w:rPr>
          <w:rFonts w:ascii="Courier New" w:hAnsi="Courier New" w:hint="default"/>
          <w:color w:val="0056A9" w:themeColor="accent1"/>
        </w:rPr>
      </w:lvl>
    </w:lvlOverride>
    <w:lvlOverride w:ilvl="2">
      <w:lvl w:ilvl="2">
        <w:start w:val="1"/>
        <w:numFmt w:val="bullet"/>
        <w:lvlText w:val=""/>
        <w:lvlJc w:val="left"/>
        <w:pPr>
          <w:tabs>
            <w:tab w:val="num" w:pos="1368"/>
          </w:tabs>
          <w:ind w:left="1656" w:hanging="288"/>
        </w:pPr>
        <w:rPr>
          <w:rFonts w:ascii="Wingdings" w:hAnsi="Wingdings" w:hint="default"/>
          <w:color w:val="0056A9" w:themeColor="accent1"/>
        </w:rPr>
      </w:lvl>
    </w:lvlOverride>
    <w:lvlOverride w:ilvl="3">
      <w:lvl w:ilvl="3">
        <w:start w:val="1"/>
        <w:numFmt w:val="bullet"/>
        <w:lvlText w:val=""/>
        <w:lvlJc w:val="left"/>
        <w:pPr>
          <w:tabs>
            <w:tab w:val="num" w:pos="1512"/>
          </w:tabs>
          <w:ind w:left="1800" w:hanging="288"/>
        </w:pPr>
        <w:rPr>
          <w:rFonts w:ascii="Symbol" w:hAnsi="Symbol" w:hint="default"/>
          <w:color w:val="0056A9" w:themeColor="accent1"/>
        </w:rPr>
      </w:lvl>
    </w:lvlOverride>
    <w:lvlOverride w:ilvl="4">
      <w:lvl w:ilvl="4">
        <w:start w:val="1"/>
        <w:numFmt w:val="bullet"/>
        <w:lvlText w:val="°"/>
        <w:lvlJc w:val="left"/>
        <w:pPr>
          <w:tabs>
            <w:tab w:val="num" w:pos="1656"/>
          </w:tabs>
          <w:ind w:left="1944" w:hanging="288"/>
        </w:pPr>
        <w:rPr>
          <w:rFonts w:ascii="Verdana" w:hAnsi="Verdana" w:hint="default"/>
          <w:color w:val="0056A9" w:themeColor="accent1"/>
        </w:rPr>
      </w:lvl>
    </w:lvlOverride>
    <w:lvlOverride w:ilvl="5">
      <w:lvl w:ilvl="5">
        <w:start w:val="1"/>
        <w:numFmt w:val="bullet"/>
        <w:lvlText w:val=""/>
        <w:lvlJc w:val="left"/>
        <w:pPr>
          <w:tabs>
            <w:tab w:val="num" w:pos="1800"/>
          </w:tabs>
          <w:ind w:left="2088" w:hanging="288"/>
        </w:pPr>
        <w:rPr>
          <w:rFonts w:ascii="Wingdings" w:hAnsi="Wingdings" w:hint="default"/>
        </w:rPr>
      </w:lvl>
    </w:lvlOverride>
    <w:lvlOverride w:ilvl="6">
      <w:lvl w:ilvl="6">
        <w:start w:val="1"/>
        <w:numFmt w:val="bullet"/>
        <w:lvlText w:val=""/>
        <w:lvlJc w:val="left"/>
        <w:pPr>
          <w:tabs>
            <w:tab w:val="num" w:pos="1944"/>
          </w:tabs>
          <w:ind w:left="2232" w:hanging="288"/>
        </w:pPr>
        <w:rPr>
          <w:rFonts w:ascii="Wingdings" w:hAnsi="Wingdings" w:hint="default"/>
        </w:rPr>
      </w:lvl>
    </w:lvlOverride>
    <w:lvlOverride w:ilvl="7">
      <w:lvl w:ilvl="7">
        <w:start w:val="1"/>
        <w:numFmt w:val="bullet"/>
        <w:lvlText w:val=""/>
        <w:lvlJc w:val="left"/>
        <w:pPr>
          <w:tabs>
            <w:tab w:val="num" w:pos="2088"/>
          </w:tabs>
          <w:ind w:left="2376" w:hanging="288"/>
        </w:pPr>
        <w:rPr>
          <w:rFonts w:ascii="Symbol" w:hAnsi="Symbol" w:hint="default"/>
        </w:rPr>
      </w:lvl>
    </w:lvlOverride>
    <w:lvlOverride w:ilvl="8">
      <w:lvl w:ilvl="8">
        <w:start w:val="1"/>
        <w:numFmt w:val="bullet"/>
        <w:lvlText w:val=""/>
        <w:lvlJc w:val="left"/>
        <w:pPr>
          <w:tabs>
            <w:tab w:val="num" w:pos="2232"/>
          </w:tabs>
          <w:ind w:left="2520" w:hanging="288"/>
        </w:pPr>
        <w:rPr>
          <w:rFonts w:ascii="Symbol" w:hAnsi="Symbol" w:hint="default"/>
        </w:rPr>
      </w:lvl>
    </w:lvlOverride>
  </w:num>
  <w:num w:numId="25" w16cid:durableId="2032797433">
    <w:abstractNumId w:val="16"/>
  </w:num>
  <w:num w:numId="26" w16cid:durableId="765998579">
    <w:abstractNumId w:val="23"/>
  </w:num>
  <w:num w:numId="27" w16cid:durableId="1384328143">
    <w:abstractNumId w:val="19"/>
  </w:num>
  <w:num w:numId="28" w16cid:durableId="690690414">
    <w:abstractNumId w:val="30"/>
  </w:num>
  <w:num w:numId="29" w16cid:durableId="1836796656">
    <w:abstractNumId w:val="8"/>
  </w:num>
  <w:num w:numId="30" w16cid:durableId="909778277">
    <w:abstractNumId w:val="4"/>
  </w:num>
  <w:num w:numId="31" w16cid:durableId="1732733194">
    <w:abstractNumId w:val="18"/>
  </w:num>
  <w:num w:numId="32" w16cid:durableId="579825769">
    <w:abstractNumId w:val="14"/>
  </w:num>
  <w:num w:numId="33" w16cid:durableId="1613586472">
    <w:abstractNumId w:val="5"/>
  </w:num>
  <w:num w:numId="34" w16cid:durableId="1060373039">
    <w:abstractNumId w:val="28"/>
  </w:num>
  <w:num w:numId="35" w16cid:durableId="877935528">
    <w:abstractNumId w:val="0"/>
  </w:num>
  <w:num w:numId="36" w16cid:durableId="151010240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saveSubsetFonts/>
  <w:proofState w:spelling="clean" w:grammar="clean"/>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90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095"/>
    <w:rsid w:val="0001503F"/>
    <w:rsid w:val="00016DE4"/>
    <w:rsid w:val="00020226"/>
    <w:rsid w:val="00020E5C"/>
    <w:rsid w:val="00027BE0"/>
    <w:rsid w:val="0004145A"/>
    <w:rsid w:val="000424F1"/>
    <w:rsid w:val="000446C8"/>
    <w:rsid w:val="00064619"/>
    <w:rsid w:val="000672C6"/>
    <w:rsid w:val="00077CE9"/>
    <w:rsid w:val="000A7095"/>
    <w:rsid w:val="000B2C8E"/>
    <w:rsid w:val="000B3CDB"/>
    <w:rsid w:val="000B67B1"/>
    <w:rsid w:val="000B7C75"/>
    <w:rsid w:val="000C0BF2"/>
    <w:rsid w:val="000C0D5B"/>
    <w:rsid w:val="000C1AA6"/>
    <w:rsid w:val="000C784A"/>
    <w:rsid w:val="000D78CE"/>
    <w:rsid w:val="000E0D7D"/>
    <w:rsid w:val="000E105F"/>
    <w:rsid w:val="000F126D"/>
    <w:rsid w:val="00110D33"/>
    <w:rsid w:val="001149B9"/>
    <w:rsid w:val="00116601"/>
    <w:rsid w:val="00121BBC"/>
    <w:rsid w:val="001225FE"/>
    <w:rsid w:val="00133632"/>
    <w:rsid w:val="00134F6F"/>
    <w:rsid w:val="00143BAB"/>
    <w:rsid w:val="00145F56"/>
    <w:rsid w:val="00152E34"/>
    <w:rsid w:val="00155E89"/>
    <w:rsid w:val="001721C1"/>
    <w:rsid w:val="00177682"/>
    <w:rsid w:val="001809BD"/>
    <w:rsid w:val="00184DA7"/>
    <w:rsid w:val="00185FCD"/>
    <w:rsid w:val="001A1F6A"/>
    <w:rsid w:val="001A61FB"/>
    <w:rsid w:val="001B5742"/>
    <w:rsid w:val="001C12E5"/>
    <w:rsid w:val="001D09DF"/>
    <w:rsid w:val="001D276C"/>
    <w:rsid w:val="001F1B63"/>
    <w:rsid w:val="001F3E0C"/>
    <w:rsid w:val="001F603C"/>
    <w:rsid w:val="001F628E"/>
    <w:rsid w:val="00201911"/>
    <w:rsid w:val="00201B4F"/>
    <w:rsid w:val="00211BC0"/>
    <w:rsid w:val="002301AB"/>
    <w:rsid w:val="00232D1C"/>
    <w:rsid w:val="00240B34"/>
    <w:rsid w:val="0024512C"/>
    <w:rsid w:val="0024753E"/>
    <w:rsid w:val="00247CB8"/>
    <w:rsid w:val="00250F38"/>
    <w:rsid w:val="002664DF"/>
    <w:rsid w:val="002756DE"/>
    <w:rsid w:val="0028091F"/>
    <w:rsid w:val="00290A49"/>
    <w:rsid w:val="00295654"/>
    <w:rsid w:val="002A04D8"/>
    <w:rsid w:val="002A05A5"/>
    <w:rsid w:val="002A3C78"/>
    <w:rsid w:val="002A7124"/>
    <w:rsid w:val="002B0BA2"/>
    <w:rsid w:val="002B37CB"/>
    <w:rsid w:val="002B3B3A"/>
    <w:rsid w:val="002D1B75"/>
    <w:rsid w:val="002D4678"/>
    <w:rsid w:val="002D485C"/>
    <w:rsid w:val="002D4E37"/>
    <w:rsid w:val="002D50B6"/>
    <w:rsid w:val="002D6560"/>
    <w:rsid w:val="002E1115"/>
    <w:rsid w:val="002E29AB"/>
    <w:rsid w:val="00300CD1"/>
    <w:rsid w:val="00300E82"/>
    <w:rsid w:val="003125EC"/>
    <w:rsid w:val="00313007"/>
    <w:rsid w:val="00326DC1"/>
    <w:rsid w:val="0032760F"/>
    <w:rsid w:val="00330402"/>
    <w:rsid w:val="00333FB6"/>
    <w:rsid w:val="00340593"/>
    <w:rsid w:val="00345AEF"/>
    <w:rsid w:val="00352687"/>
    <w:rsid w:val="00357D5E"/>
    <w:rsid w:val="003617A5"/>
    <w:rsid w:val="0037156B"/>
    <w:rsid w:val="003829ED"/>
    <w:rsid w:val="003852FC"/>
    <w:rsid w:val="00387F2F"/>
    <w:rsid w:val="003A1CDF"/>
    <w:rsid w:val="003B0619"/>
    <w:rsid w:val="003B27D0"/>
    <w:rsid w:val="003B3ADE"/>
    <w:rsid w:val="003B6CAE"/>
    <w:rsid w:val="003C2A4C"/>
    <w:rsid w:val="003C71B7"/>
    <w:rsid w:val="003D0A5B"/>
    <w:rsid w:val="003D192A"/>
    <w:rsid w:val="003D276B"/>
    <w:rsid w:val="003D4749"/>
    <w:rsid w:val="003E43D0"/>
    <w:rsid w:val="003E4817"/>
    <w:rsid w:val="003F5EA7"/>
    <w:rsid w:val="003F767E"/>
    <w:rsid w:val="003F7E90"/>
    <w:rsid w:val="00400F33"/>
    <w:rsid w:val="004021B0"/>
    <w:rsid w:val="00402F1A"/>
    <w:rsid w:val="00404393"/>
    <w:rsid w:val="004053A6"/>
    <w:rsid w:val="0041293E"/>
    <w:rsid w:val="00435F70"/>
    <w:rsid w:val="00442811"/>
    <w:rsid w:val="00442D5B"/>
    <w:rsid w:val="00445393"/>
    <w:rsid w:val="00451F71"/>
    <w:rsid w:val="00466FDF"/>
    <w:rsid w:val="0046726C"/>
    <w:rsid w:val="00481407"/>
    <w:rsid w:val="00485277"/>
    <w:rsid w:val="00490361"/>
    <w:rsid w:val="004B0DE9"/>
    <w:rsid w:val="004D3590"/>
    <w:rsid w:val="004D525F"/>
    <w:rsid w:val="004D6301"/>
    <w:rsid w:val="004E6B7D"/>
    <w:rsid w:val="004F391C"/>
    <w:rsid w:val="00505CA3"/>
    <w:rsid w:val="00515BD3"/>
    <w:rsid w:val="005218C4"/>
    <w:rsid w:val="005260EC"/>
    <w:rsid w:val="005275CB"/>
    <w:rsid w:val="00542D23"/>
    <w:rsid w:val="00543CC1"/>
    <w:rsid w:val="00546918"/>
    <w:rsid w:val="005470AB"/>
    <w:rsid w:val="00552A72"/>
    <w:rsid w:val="0056195F"/>
    <w:rsid w:val="005622ED"/>
    <w:rsid w:val="00566923"/>
    <w:rsid w:val="00572A00"/>
    <w:rsid w:val="00574731"/>
    <w:rsid w:val="00581C8B"/>
    <w:rsid w:val="00582328"/>
    <w:rsid w:val="005941E5"/>
    <w:rsid w:val="005969E9"/>
    <w:rsid w:val="005C2664"/>
    <w:rsid w:val="005C2BFE"/>
    <w:rsid w:val="005C5281"/>
    <w:rsid w:val="005D2983"/>
    <w:rsid w:val="005D3011"/>
    <w:rsid w:val="005D38BE"/>
    <w:rsid w:val="005D4588"/>
    <w:rsid w:val="005E210E"/>
    <w:rsid w:val="005F590A"/>
    <w:rsid w:val="00604295"/>
    <w:rsid w:val="006075A6"/>
    <w:rsid w:val="006158A6"/>
    <w:rsid w:val="00621995"/>
    <w:rsid w:val="00626F7E"/>
    <w:rsid w:val="00632E8E"/>
    <w:rsid w:val="0063391A"/>
    <w:rsid w:val="0063569F"/>
    <w:rsid w:val="00642BC1"/>
    <w:rsid w:val="006440DC"/>
    <w:rsid w:val="006458E6"/>
    <w:rsid w:val="00651507"/>
    <w:rsid w:val="006516DC"/>
    <w:rsid w:val="006550CD"/>
    <w:rsid w:val="0065532A"/>
    <w:rsid w:val="00680303"/>
    <w:rsid w:val="0068078C"/>
    <w:rsid w:val="00682555"/>
    <w:rsid w:val="006848E5"/>
    <w:rsid w:val="00685C66"/>
    <w:rsid w:val="006A60EA"/>
    <w:rsid w:val="006B20C1"/>
    <w:rsid w:val="006B2846"/>
    <w:rsid w:val="006C2174"/>
    <w:rsid w:val="006E197F"/>
    <w:rsid w:val="006F7905"/>
    <w:rsid w:val="007142F9"/>
    <w:rsid w:val="00715F60"/>
    <w:rsid w:val="007202E7"/>
    <w:rsid w:val="00723362"/>
    <w:rsid w:val="00723F12"/>
    <w:rsid w:val="00731509"/>
    <w:rsid w:val="0073448D"/>
    <w:rsid w:val="00745D4A"/>
    <w:rsid w:val="00757F79"/>
    <w:rsid w:val="00760D4F"/>
    <w:rsid w:val="00767522"/>
    <w:rsid w:val="00774444"/>
    <w:rsid w:val="00781449"/>
    <w:rsid w:val="00786A04"/>
    <w:rsid w:val="0078779C"/>
    <w:rsid w:val="00795D53"/>
    <w:rsid w:val="007975FA"/>
    <w:rsid w:val="007B6653"/>
    <w:rsid w:val="007C7010"/>
    <w:rsid w:val="007C7AC2"/>
    <w:rsid w:val="007E4E02"/>
    <w:rsid w:val="0081346F"/>
    <w:rsid w:val="00816599"/>
    <w:rsid w:val="00816C46"/>
    <w:rsid w:val="00830DDB"/>
    <w:rsid w:val="00835AF5"/>
    <w:rsid w:val="00836187"/>
    <w:rsid w:val="0084263E"/>
    <w:rsid w:val="00857EE1"/>
    <w:rsid w:val="00861739"/>
    <w:rsid w:val="0088087A"/>
    <w:rsid w:val="00883070"/>
    <w:rsid w:val="008A57EA"/>
    <w:rsid w:val="008B0D7A"/>
    <w:rsid w:val="008B0DB5"/>
    <w:rsid w:val="008B0E37"/>
    <w:rsid w:val="008B3AE8"/>
    <w:rsid w:val="008D1645"/>
    <w:rsid w:val="008D2811"/>
    <w:rsid w:val="008D72A6"/>
    <w:rsid w:val="008E10F4"/>
    <w:rsid w:val="008E4682"/>
    <w:rsid w:val="008E61CA"/>
    <w:rsid w:val="008E6409"/>
    <w:rsid w:val="008E6AA5"/>
    <w:rsid w:val="008F4A5B"/>
    <w:rsid w:val="009009B2"/>
    <w:rsid w:val="00905C75"/>
    <w:rsid w:val="00907379"/>
    <w:rsid w:val="009106EE"/>
    <w:rsid w:val="00910CC7"/>
    <w:rsid w:val="00913DF0"/>
    <w:rsid w:val="0091552B"/>
    <w:rsid w:val="00935DFA"/>
    <w:rsid w:val="00937873"/>
    <w:rsid w:val="00941F40"/>
    <w:rsid w:val="00945287"/>
    <w:rsid w:val="00952F15"/>
    <w:rsid w:val="00953721"/>
    <w:rsid w:val="00953F21"/>
    <w:rsid w:val="00980550"/>
    <w:rsid w:val="009960B1"/>
    <w:rsid w:val="009A5676"/>
    <w:rsid w:val="009C460F"/>
    <w:rsid w:val="009C5EF8"/>
    <w:rsid w:val="009C6E5B"/>
    <w:rsid w:val="009D1F42"/>
    <w:rsid w:val="009D3D76"/>
    <w:rsid w:val="009D6EB9"/>
    <w:rsid w:val="009E02BD"/>
    <w:rsid w:val="009E1957"/>
    <w:rsid w:val="009E5068"/>
    <w:rsid w:val="009E5554"/>
    <w:rsid w:val="009F1DD4"/>
    <w:rsid w:val="009F6C39"/>
    <w:rsid w:val="009F6FD1"/>
    <w:rsid w:val="00A02B24"/>
    <w:rsid w:val="00A115D3"/>
    <w:rsid w:val="00A13AE8"/>
    <w:rsid w:val="00A1426D"/>
    <w:rsid w:val="00A22EA3"/>
    <w:rsid w:val="00A3514F"/>
    <w:rsid w:val="00A51A13"/>
    <w:rsid w:val="00A5611D"/>
    <w:rsid w:val="00A60E08"/>
    <w:rsid w:val="00A66AF4"/>
    <w:rsid w:val="00A7674C"/>
    <w:rsid w:val="00A80824"/>
    <w:rsid w:val="00A8243A"/>
    <w:rsid w:val="00A82D0C"/>
    <w:rsid w:val="00A84012"/>
    <w:rsid w:val="00A942FD"/>
    <w:rsid w:val="00A9577C"/>
    <w:rsid w:val="00AA10E8"/>
    <w:rsid w:val="00AA49FA"/>
    <w:rsid w:val="00AA4F86"/>
    <w:rsid w:val="00AA6003"/>
    <w:rsid w:val="00AB41E2"/>
    <w:rsid w:val="00AC2093"/>
    <w:rsid w:val="00AC2181"/>
    <w:rsid w:val="00AD08F0"/>
    <w:rsid w:val="00AD60DC"/>
    <w:rsid w:val="00AE247A"/>
    <w:rsid w:val="00AE4C68"/>
    <w:rsid w:val="00B03859"/>
    <w:rsid w:val="00B11660"/>
    <w:rsid w:val="00B15325"/>
    <w:rsid w:val="00B15547"/>
    <w:rsid w:val="00B22498"/>
    <w:rsid w:val="00B227C9"/>
    <w:rsid w:val="00B23CA4"/>
    <w:rsid w:val="00B272A7"/>
    <w:rsid w:val="00B274FE"/>
    <w:rsid w:val="00B30867"/>
    <w:rsid w:val="00B435D2"/>
    <w:rsid w:val="00B436C9"/>
    <w:rsid w:val="00B50C26"/>
    <w:rsid w:val="00B65C4A"/>
    <w:rsid w:val="00B71F7F"/>
    <w:rsid w:val="00B72EAF"/>
    <w:rsid w:val="00B73F6C"/>
    <w:rsid w:val="00B84643"/>
    <w:rsid w:val="00B8674C"/>
    <w:rsid w:val="00B93B4F"/>
    <w:rsid w:val="00B97FE5"/>
    <w:rsid w:val="00BA63DC"/>
    <w:rsid w:val="00BB1CD5"/>
    <w:rsid w:val="00BB29D7"/>
    <w:rsid w:val="00BB4982"/>
    <w:rsid w:val="00BC0F6E"/>
    <w:rsid w:val="00BC2A0C"/>
    <w:rsid w:val="00BC2FB8"/>
    <w:rsid w:val="00BC329B"/>
    <w:rsid w:val="00BC7158"/>
    <w:rsid w:val="00BE3E16"/>
    <w:rsid w:val="00C001A8"/>
    <w:rsid w:val="00C136C1"/>
    <w:rsid w:val="00C27891"/>
    <w:rsid w:val="00C33034"/>
    <w:rsid w:val="00C41BAA"/>
    <w:rsid w:val="00C423F6"/>
    <w:rsid w:val="00C427D2"/>
    <w:rsid w:val="00C431EA"/>
    <w:rsid w:val="00C436ED"/>
    <w:rsid w:val="00C445B3"/>
    <w:rsid w:val="00C50472"/>
    <w:rsid w:val="00C5303D"/>
    <w:rsid w:val="00C548C9"/>
    <w:rsid w:val="00C5617C"/>
    <w:rsid w:val="00C6189D"/>
    <w:rsid w:val="00C63105"/>
    <w:rsid w:val="00C639EB"/>
    <w:rsid w:val="00C64139"/>
    <w:rsid w:val="00C749F8"/>
    <w:rsid w:val="00C74B3E"/>
    <w:rsid w:val="00C76708"/>
    <w:rsid w:val="00C776E4"/>
    <w:rsid w:val="00C86CD9"/>
    <w:rsid w:val="00C87EDA"/>
    <w:rsid w:val="00CA3AA1"/>
    <w:rsid w:val="00CC1089"/>
    <w:rsid w:val="00CC1F1A"/>
    <w:rsid w:val="00CC2BDA"/>
    <w:rsid w:val="00CC7C2E"/>
    <w:rsid w:val="00CC7C44"/>
    <w:rsid w:val="00CD3DED"/>
    <w:rsid w:val="00CE04B7"/>
    <w:rsid w:val="00D04CBF"/>
    <w:rsid w:val="00D21F8F"/>
    <w:rsid w:val="00D27D71"/>
    <w:rsid w:val="00D3522B"/>
    <w:rsid w:val="00D47744"/>
    <w:rsid w:val="00D52D72"/>
    <w:rsid w:val="00D56EAD"/>
    <w:rsid w:val="00D6230A"/>
    <w:rsid w:val="00D63A51"/>
    <w:rsid w:val="00D7426E"/>
    <w:rsid w:val="00D775EA"/>
    <w:rsid w:val="00D8266D"/>
    <w:rsid w:val="00D92134"/>
    <w:rsid w:val="00D9786F"/>
    <w:rsid w:val="00DB317A"/>
    <w:rsid w:val="00DC0891"/>
    <w:rsid w:val="00DC480D"/>
    <w:rsid w:val="00DE34F5"/>
    <w:rsid w:val="00DE5111"/>
    <w:rsid w:val="00DE55FC"/>
    <w:rsid w:val="00DE69FF"/>
    <w:rsid w:val="00DF0E25"/>
    <w:rsid w:val="00DF6126"/>
    <w:rsid w:val="00E00839"/>
    <w:rsid w:val="00E112C3"/>
    <w:rsid w:val="00E1758E"/>
    <w:rsid w:val="00E21354"/>
    <w:rsid w:val="00E26F67"/>
    <w:rsid w:val="00E27D9F"/>
    <w:rsid w:val="00E3034B"/>
    <w:rsid w:val="00E3234C"/>
    <w:rsid w:val="00E43CD8"/>
    <w:rsid w:val="00E455A8"/>
    <w:rsid w:val="00E9313B"/>
    <w:rsid w:val="00EA1B4F"/>
    <w:rsid w:val="00EA4356"/>
    <w:rsid w:val="00EA6A4B"/>
    <w:rsid w:val="00EB3C3E"/>
    <w:rsid w:val="00EB4E5F"/>
    <w:rsid w:val="00EB6AE0"/>
    <w:rsid w:val="00EB78FA"/>
    <w:rsid w:val="00EC1C9F"/>
    <w:rsid w:val="00ED0775"/>
    <w:rsid w:val="00ED0915"/>
    <w:rsid w:val="00ED5131"/>
    <w:rsid w:val="00EF1329"/>
    <w:rsid w:val="00EF1531"/>
    <w:rsid w:val="00EF5B22"/>
    <w:rsid w:val="00F02824"/>
    <w:rsid w:val="00F1428F"/>
    <w:rsid w:val="00F250E1"/>
    <w:rsid w:val="00F34E7D"/>
    <w:rsid w:val="00F4254C"/>
    <w:rsid w:val="00F50C7E"/>
    <w:rsid w:val="00F56ABF"/>
    <w:rsid w:val="00F602D4"/>
    <w:rsid w:val="00F6500E"/>
    <w:rsid w:val="00F66D09"/>
    <w:rsid w:val="00F84154"/>
    <w:rsid w:val="00F919D6"/>
    <w:rsid w:val="00F92530"/>
    <w:rsid w:val="00F96D2C"/>
    <w:rsid w:val="00FB2011"/>
    <w:rsid w:val="00FB6EB5"/>
    <w:rsid w:val="00FC262D"/>
    <w:rsid w:val="00FC4F60"/>
    <w:rsid w:val="00FD0EAF"/>
    <w:rsid w:val="00FD568D"/>
    <w:rsid w:val="00FD6EF6"/>
    <w:rsid w:val="00FE0689"/>
    <w:rsid w:val="00FE2113"/>
    <w:rsid w:val="00FE5B5D"/>
    <w:rsid w:val="00FE5D65"/>
    <w:rsid w:val="00FF57DC"/>
    <w:rsid w:val="00FF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73A97"/>
  <w15:chartTrackingRefBased/>
  <w15:docId w15:val="{DB827A67-5574-4281-B13B-14E0DF21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225FE"/>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1225FE"/>
    <w:pPr>
      <w:outlineLvl w:val="0"/>
    </w:pPr>
    <w:rPr>
      <w:sz w:val="40"/>
      <w:szCs w:val="40"/>
    </w:rPr>
  </w:style>
  <w:style w:type="paragraph" w:styleId="Heading2">
    <w:name w:val="heading 2"/>
    <w:next w:val="Normal"/>
    <w:link w:val="Heading2Char"/>
    <w:uiPriority w:val="9"/>
    <w:unhideWhenUsed/>
    <w:qFormat/>
    <w:rsid w:val="001225FE"/>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1225FE"/>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1225FE"/>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1225FE"/>
    <w:pPr>
      <w:ind w:left="1080"/>
      <w:outlineLvl w:val="4"/>
    </w:pPr>
    <w:rPr>
      <w:color w:val="003F7E" w:themeColor="accent1" w:themeShade="BF"/>
      <w:sz w:val="26"/>
      <w:szCs w:val="26"/>
      <w14:textFill>
        <w14:solidFill>
          <w14:schemeClr w14:val="accent1">
            <w14:lumMod w14:val="75000"/>
            <w14:lumMod w14:val="75000"/>
          </w14:schemeClr>
        </w14:solidFill>
      </w14:textFill>
    </w:rPr>
  </w:style>
  <w:style w:type="paragraph" w:styleId="Heading6">
    <w:name w:val="heading 6"/>
    <w:next w:val="Normal"/>
    <w:link w:val="Heading6Char"/>
    <w:uiPriority w:val="9"/>
    <w:unhideWhenUsed/>
    <w:rsid w:val="001225FE"/>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1225FE"/>
    <w:pPr>
      <w:outlineLvl w:val="6"/>
    </w:pPr>
    <w:rPr>
      <w:sz w:val="24"/>
    </w:rPr>
  </w:style>
  <w:style w:type="paragraph" w:styleId="Heading8">
    <w:name w:val="heading 8"/>
    <w:basedOn w:val="Normal"/>
    <w:next w:val="Normal"/>
    <w:link w:val="Heading8Char"/>
    <w:uiPriority w:val="9"/>
    <w:semiHidden/>
    <w:unhideWhenUsed/>
    <w:qFormat/>
    <w:rsid w:val="001225FE"/>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25FE"/>
    <w:pPr>
      <w:outlineLvl w:val="8"/>
    </w:pPr>
    <w:rPr>
      <w:rFonts w:eastAsiaTheme="majorEastAsia" w:cstheme="majorBidi"/>
      <w:color w:val="272727" w:themeColor="text1" w:themeTint="D8"/>
    </w:rPr>
  </w:style>
  <w:style w:type="character" w:default="1" w:styleId="DefaultParagraphFont">
    <w:name w:val="Default Paragraph Font"/>
    <w:uiPriority w:val="1"/>
    <w:unhideWhenUsed/>
    <w:rsid w:val="00122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5FE"/>
  </w:style>
  <w:style w:type="character" w:customStyle="1" w:styleId="Heading1Char">
    <w:name w:val="Heading 1 Char"/>
    <w:aliases w:val="No cover page Char"/>
    <w:basedOn w:val="DefaultParagraphFont"/>
    <w:link w:val="Heading1"/>
    <w:uiPriority w:val="9"/>
    <w:rsid w:val="001225FE"/>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1225FE"/>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1225FE"/>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1225FE"/>
    <w:rPr>
      <w:rFonts w:asciiTheme="majorHAnsi" w:hAnsiTheme="majorHAnsi"/>
      <w:b/>
      <w:i/>
      <w:iCs/>
      <w:color w:val="0056A9"/>
      <w:sz w:val="28"/>
      <w:szCs w:val="28"/>
      <w14:textFill>
        <w14:solidFill>
          <w14:srgbClr w14:val="0056A9">
            <w14:lumMod w14:val="75000"/>
          </w14:srgbClr>
        </w14:solidFill>
      </w14:textFill>
    </w:rPr>
  </w:style>
  <w:style w:type="character" w:customStyle="1" w:styleId="Heading5Char">
    <w:name w:val="Heading 5 Char"/>
    <w:basedOn w:val="DefaultParagraphFont"/>
    <w:link w:val="Heading5"/>
    <w:uiPriority w:val="9"/>
    <w:rsid w:val="001225FE"/>
    <w:rPr>
      <w:rFonts w:asciiTheme="majorHAnsi" w:hAnsiTheme="majorHAnsi"/>
      <w:b/>
      <w:i/>
      <w:iCs/>
      <w:color w:val="003F7E" w:themeColor="accent1" w:themeShade="BF"/>
      <w:sz w:val="26"/>
      <w:szCs w:val="26"/>
      <w14:textFill>
        <w14:solidFill>
          <w14:schemeClr w14:val="accent1">
            <w14:lumMod w14:val="75000"/>
            <w14:lumMod w14:val="75000"/>
          </w14:schemeClr>
        </w14:solidFill>
      </w14:textFill>
    </w:rPr>
  </w:style>
  <w:style w:type="character" w:customStyle="1" w:styleId="Heading6Char">
    <w:name w:val="Heading 6 Char"/>
    <w:basedOn w:val="DefaultParagraphFont"/>
    <w:link w:val="Heading6"/>
    <w:uiPriority w:val="9"/>
    <w:rsid w:val="001225FE"/>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1225FE"/>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1225FE"/>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1225FE"/>
    <w:rPr>
      <w:rFonts w:eastAsiaTheme="majorEastAsia" w:cstheme="majorBidi"/>
      <w:color w:val="272727" w:themeColor="text1" w:themeTint="D8"/>
      <w:szCs w:val="20"/>
    </w:rPr>
  </w:style>
  <w:style w:type="paragraph" w:customStyle="1" w:styleId="Footnote">
    <w:name w:val="Footnote"/>
    <w:basedOn w:val="Normal"/>
    <w:rsid w:val="001225FE"/>
    <w:rPr>
      <w:szCs w:val="24"/>
    </w:rPr>
  </w:style>
  <w:style w:type="paragraph" w:styleId="Footer">
    <w:name w:val="footer"/>
    <w:basedOn w:val="Normal"/>
    <w:link w:val="FooterChar"/>
    <w:uiPriority w:val="99"/>
    <w:unhideWhenUsed/>
    <w:rsid w:val="001225FE"/>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1225FE"/>
    <w:rPr>
      <w:noProof/>
      <w:color w:val="0056A9" w:themeColor="accent1"/>
      <w:szCs w:val="20"/>
    </w:rPr>
  </w:style>
  <w:style w:type="table" w:customStyle="1" w:styleId="DSTxDOTTable">
    <w:name w:val="DS TxDOT Table"/>
    <w:basedOn w:val="TableNormal"/>
    <w:uiPriority w:val="99"/>
    <w:rsid w:val="001225FE"/>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1225FE"/>
    <w:rPr>
      <w:i w:val="0"/>
      <w:iCs w:val="0"/>
      <w:sz w:val="24"/>
      <w:szCs w:val="24"/>
    </w:rPr>
  </w:style>
  <w:style w:type="paragraph" w:styleId="TOC5">
    <w:name w:val="toc 5"/>
    <w:basedOn w:val="Normal"/>
    <w:next w:val="Normal"/>
    <w:autoRedefine/>
    <w:uiPriority w:val="39"/>
    <w:unhideWhenUsed/>
    <w:rsid w:val="001225FE"/>
    <w:pPr>
      <w:tabs>
        <w:tab w:val="right" w:leader="dot" w:pos="10800"/>
      </w:tabs>
      <w:ind w:left="720"/>
    </w:pPr>
    <w:rPr>
      <w:noProof/>
    </w:rPr>
  </w:style>
  <w:style w:type="paragraph" w:styleId="TOC1">
    <w:name w:val="toc 1"/>
    <w:basedOn w:val="Normal"/>
    <w:next w:val="Normal"/>
    <w:autoRedefine/>
    <w:uiPriority w:val="39"/>
    <w:rsid w:val="001225FE"/>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1225FE"/>
    <w:rPr>
      <w:rFonts w:cs="Times New Roman"/>
      <w:color w:val="0056A9" w:themeColor="accent1"/>
      <w:u w:val="single"/>
    </w:rPr>
  </w:style>
  <w:style w:type="paragraph" w:styleId="TOCHeading">
    <w:name w:val="TOC Heading"/>
    <w:basedOn w:val="Heading1"/>
    <w:next w:val="Normal"/>
    <w:uiPriority w:val="39"/>
    <w:unhideWhenUsed/>
    <w:qFormat/>
    <w:rsid w:val="001225FE"/>
    <w:pPr>
      <w:tabs>
        <w:tab w:val="left" w:pos="10710"/>
      </w:tabs>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122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1225FE"/>
    <w:pPr>
      <w:tabs>
        <w:tab w:val="right" w:leader="dot" w:pos="10800"/>
      </w:tabs>
      <w:ind w:left="360"/>
    </w:pPr>
    <w:rPr>
      <w:bCs/>
      <w:noProof/>
    </w:rPr>
  </w:style>
  <w:style w:type="paragraph" w:styleId="TOC2">
    <w:name w:val="toc 2"/>
    <w:basedOn w:val="Normal"/>
    <w:next w:val="Normal"/>
    <w:autoRedefine/>
    <w:uiPriority w:val="39"/>
    <w:unhideWhenUsed/>
    <w:rsid w:val="001225FE"/>
    <w:pPr>
      <w:tabs>
        <w:tab w:val="right" w:leader="dot" w:pos="10800"/>
      </w:tabs>
      <w:spacing w:before="100"/>
      <w:ind w:left="180"/>
    </w:pPr>
    <w:rPr>
      <w:noProof/>
    </w:rPr>
  </w:style>
  <w:style w:type="paragraph" w:styleId="Header">
    <w:name w:val="header"/>
    <w:basedOn w:val="Normal"/>
    <w:link w:val="HeaderChar"/>
    <w:uiPriority w:val="99"/>
    <w:unhideWhenUsed/>
    <w:rsid w:val="001225FE"/>
    <w:pPr>
      <w:tabs>
        <w:tab w:val="center" w:pos="4680"/>
        <w:tab w:val="right" w:pos="10710"/>
      </w:tabs>
    </w:pPr>
  </w:style>
  <w:style w:type="character" w:customStyle="1" w:styleId="HeaderChar">
    <w:name w:val="Header Char"/>
    <w:basedOn w:val="DefaultParagraphFont"/>
    <w:link w:val="Header"/>
    <w:uiPriority w:val="99"/>
    <w:rsid w:val="001225FE"/>
    <w:rPr>
      <w:szCs w:val="20"/>
    </w:rPr>
  </w:style>
  <w:style w:type="character" w:styleId="PageNumber">
    <w:name w:val="page number"/>
    <w:basedOn w:val="DefaultParagraphFont"/>
    <w:uiPriority w:val="99"/>
    <w:semiHidden/>
    <w:unhideWhenUsed/>
    <w:rsid w:val="001225FE"/>
  </w:style>
  <w:style w:type="paragraph" w:styleId="ListBullet">
    <w:name w:val="List Bullet"/>
    <w:next w:val="Normal"/>
    <w:uiPriority w:val="1"/>
    <w:qFormat/>
    <w:rsid w:val="001225FE"/>
    <w:pPr>
      <w:keepNext/>
      <w:keepLines/>
      <w:numPr>
        <w:numId w:val="24"/>
      </w:numPr>
      <w:spacing w:before="200" w:after="200" w:line="360" w:lineRule="auto"/>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1225FE"/>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1225FE"/>
    <w:pPr>
      <w:spacing w:after="120"/>
    </w:pPr>
  </w:style>
  <w:style w:type="character" w:customStyle="1" w:styleId="BodyTextChar">
    <w:name w:val="Body Text Char"/>
    <w:basedOn w:val="DefaultParagraphFont"/>
    <w:link w:val="BodyText"/>
    <w:uiPriority w:val="99"/>
    <w:semiHidden/>
    <w:rsid w:val="001225FE"/>
    <w:rPr>
      <w:szCs w:val="20"/>
    </w:rPr>
  </w:style>
  <w:style w:type="paragraph" w:customStyle="1" w:styleId="CVRTxDOTLogoSpacing">
    <w:name w:val="CVR TxDOT Logo Spacing"/>
    <w:rsid w:val="001225FE"/>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1225FE"/>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1225F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otnoteReference">
    <w:name w:val="footnote reference"/>
    <w:basedOn w:val="DefaultParagraphFont"/>
    <w:uiPriority w:val="99"/>
    <w:semiHidden/>
    <w:unhideWhenUsed/>
    <w:rsid w:val="001225FE"/>
    <w:rPr>
      <w:vertAlign w:val="superscript"/>
    </w:rPr>
  </w:style>
  <w:style w:type="table" w:styleId="ListTable3-Accent1">
    <w:name w:val="List Table 3 Accent 1"/>
    <w:basedOn w:val="TableNormal"/>
    <w:uiPriority w:val="48"/>
    <w:rsid w:val="001225FE"/>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styleId="Caption">
    <w:name w:val="caption"/>
    <w:basedOn w:val="Normal"/>
    <w:next w:val="Normal"/>
    <w:uiPriority w:val="35"/>
    <w:unhideWhenUsed/>
    <w:rsid w:val="001225FE"/>
    <w:pPr>
      <w:spacing w:after="200" w:line="240" w:lineRule="auto"/>
    </w:pPr>
    <w:rPr>
      <w:i/>
      <w:iCs/>
      <w:color w:val="000000" w:themeColor="text2"/>
      <w:sz w:val="18"/>
      <w:szCs w:val="18"/>
    </w:rPr>
  </w:style>
  <w:style w:type="paragraph" w:styleId="TableofFigures">
    <w:name w:val="table of figures"/>
    <w:basedOn w:val="Normal"/>
    <w:next w:val="Normal"/>
    <w:uiPriority w:val="99"/>
    <w:unhideWhenUsed/>
    <w:rsid w:val="001225FE"/>
  </w:style>
  <w:style w:type="paragraph" w:customStyle="1" w:styleId="CoverPageSubtext">
    <w:name w:val="Cover Page Subtext"/>
    <w:qFormat/>
    <w:rsid w:val="001225FE"/>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1225FE"/>
    <w:pPr>
      <w:tabs>
        <w:tab w:val="right" w:leader="dot" w:pos="10800"/>
      </w:tabs>
      <w:ind w:left="540"/>
    </w:pPr>
  </w:style>
  <w:style w:type="paragraph" w:styleId="ListParagraph">
    <w:name w:val="List Paragraph"/>
    <w:basedOn w:val="Normal"/>
    <w:uiPriority w:val="34"/>
    <w:qFormat/>
    <w:rsid w:val="001225FE"/>
    <w:pPr>
      <w:ind w:left="540"/>
    </w:pPr>
  </w:style>
  <w:style w:type="paragraph" w:customStyle="1" w:styleId="CaptionTable">
    <w:name w:val="Caption Table"/>
    <w:basedOn w:val="Normal"/>
    <w:qFormat/>
    <w:rsid w:val="001225FE"/>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1225FE"/>
    <w:pPr>
      <w:tabs>
        <w:tab w:val="left" w:pos="8400"/>
      </w:tabs>
      <w:ind w:left="1260"/>
    </w:pPr>
    <w:rPr>
      <w:color w:val="FFFFFF" w:themeColor="background1"/>
    </w:rPr>
  </w:style>
  <w:style w:type="paragraph" w:customStyle="1" w:styleId="CoverPageNormal">
    <w:name w:val="Cover Page Normal"/>
    <w:qFormat/>
    <w:rsid w:val="001225FE"/>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table" w:customStyle="1" w:styleId="ATFTxDOTTable">
    <w:name w:val="ATF TxDOT Table"/>
    <w:basedOn w:val="TableNormal"/>
    <w:uiPriority w:val="99"/>
    <w:rsid w:val="001225FE"/>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HH1-Text">
    <w:name w:val="CH_H1-Text"/>
    <w:basedOn w:val="Normal"/>
    <w:next w:val="Normal"/>
    <w:link w:val="CHH1-TextChar"/>
    <w:qFormat/>
    <w:rsid w:val="00C63105"/>
    <w:pPr>
      <w:autoSpaceDE w:val="0"/>
      <w:autoSpaceDN w:val="0"/>
      <w:adjustRightInd w:val="0"/>
      <w:spacing w:before="120" w:after="120" w:line="276" w:lineRule="auto"/>
    </w:pPr>
    <w:rPr>
      <w:rFonts w:ascii="Arial" w:hAnsi="Arial" w:cstheme="minorHAnsi"/>
      <w:kern w:val="0"/>
      <w:sz w:val="20"/>
      <w14:ligatures w14:val="none"/>
    </w:rPr>
  </w:style>
  <w:style w:type="character" w:customStyle="1" w:styleId="CHH1-TextChar">
    <w:name w:val="CH_H1-Text Char"/>
    <w:basedOn w:val="DefaultParagraphFont"/>
    <w:link w:val="CHH1-Text"/>
    <w:rsid w:val="00C63105"/>
    <w:rPr>
      <w:rFonts w:ascii="Arial" w:hAnsi="Arial" w:cstheme="minorHAnsi"/>
      <w:kern w:val="0"/>
      <w:sz w:val="20"/>
      <w14:ligatures w14:val="none"/>
    </w:rPr>
  </w:style>
  <w:style w:type="character" w:styleId="EndnoteReference">
    <w:name w:val="endnote reference"/>
    <w:basedOn w:val="DefaultParagraphFont"/>
    <w:uiPriority w:val="99"/>
    <w:semiHidden/>
    <w:unhideWhenUsed/>
    <w:rsid w:val="001225FE"/>
    <w:rPr>
      <w:vertAlign w:val="superscript"/>
    </w:rPr>
  </w:style>
  <w:style w:type="paragraph" w:styleId="EndnoteText">
    <w:name w:val="endnote text"/>
    <w:basedOn w:val="Normal"/>
    <w:link w:val="EndnoteTextChar"/>
    <w:uiPriority w:val="99"/>
    <w:semiHidden/>
    <w:unhideWhenUsed/>
    <w:rsid w:val="001225FE"/>
    <w:pPr>
      <w:spacing w:after="0" w:line="240" w:lineRule="auto"/>
    </w:pPr>
    <w:rPr>
      <w:sz w:val="20"/>
    </w:rPr>
  </w:style>
  <w:style w:type="character" w:customStyle="1" w:styleId="EndnoteTextChar">
    <w:name w:val="Endnote Text Char"/>
    <w:basedOn w:val="DefaultParagraphFont"/>
    <w:link w:val="EndnoteText"/>
    <w:uiPriority w:val="99"/>
    <w:semiHidden/>
    <w:rsid w:val="001225FE"/>
    <w:rPr>
      <w:sz w:val="20"/>
      <w:szCs w:val="20"/>
    </w:rPr>
  </w:style>
  <w:style w:type="paragraph" w:styleId="FootnoteText">
    <w:name w:val="footnote text"/>
    <w:basedOn w:val="Normal"/>
    <w:link w:val="FootnoteTextChar"/>
    <w:uiPriority w:val="99"/>
    <w:semiHidden/>
    <w:unhideWhenUsed/>
    <w:rsid w:val="001225FE"/>
    <w:pPr>
      <w:spacing w:after="0" w:line="240" w:lineRule="auto"/>
    </w:pPr>
    <w:rPr>
      <w:sz w:val="20"/>
    </w:rPr>
  </w:style>
  <w:style w:type="character" w:customStyle="1" w:styleId="FootnoteTextChar">
    <w:name w:val="Footnote Text Char"/>
    <w:basedOn w:val="DefaultParagraphFont"/>
    <w:link w:val="FootnoteText"/>
    <w:uiPriority w:val="99"/>
    <w:semiHidden/>
    <w:rsid w:val="001225FE"/>
    <w:rPr>
      <w:sz w:val="20"/>
      <w:szCs w:val="20"/>
    </w:rPr>
  </w:style>
  <w:style w:type="paragraph" w:styleId="NoSpacing">
    <w:name w:val="No Spacing"/>
    <w:basedOn w:val="Normal"/>
    <w:uiPriority w:val="1"/>
    <w:rsid w:val="001225FE"/>
    <w:rPr>
      <w:sz w:val="18"/>
    </w:rPr>
  </w:style>
  <w:style w:type="paragraph" w:customStyle="1" w:styleId="NormalSingleSpaceNoSpaceAfter">
    <w:name w:val="Normal Single Space (No Space After)"/>
    <w:basedOn w:val="Normal"/>
    <w:rsid w:val="001225FE"/>
    <w:pPr>
      <w:spacing w:after="0"/>
    </w:pPr>
    <w:rPr>
      <w:noProof/>
    </w:rPr>
  </w:style>
  <w:style w:type="paragraph" w:customStyle="1" w:styleId="SpecialCentered">
    <w:name w:val="Special Centered"/>
    <w:basedOn w:val="Normal"/>
    <w:link w:val="SpecialCenteredChar"/>
    <w:rsid w:val="001225FE"/>
    <w:pPr>
      <w:jc w:val="center"/>
    </w:pPr>
    <w:rPr>
      <w:kern w:val="0"/>
      <w:szCs w:val="28"/>
      <w14:ligatures w14:val="none"/>
    </w:rPr>
  </w:style>
  <w:style w:type="character" w:customStyle="1" w:styleId="SpecialCenteredChar">
    <w:name w:val="Special Centered Char"/>
    <w:basedOn w:val="DefaultParagraphFont"/>
    <w:link w:val="SpecialCentered"/>
    <w:rsid w:val="001225FE"/>
    <w:rPr>
      <w:kern w:val="0"/>
      <w:szCs w:val="28"/>
      <w14:ligatures w14:val="none"/>
    </w:rPr>
  </w:style>
  <w:style w:type="paragraph" w:customStyle="1" w:styleId="TableHeadingSingle">
    <w:name w:val="Table Heading (Single"/>
    <w:aliases w:val="No Space After)"/>
    <w:basedOn w:val="Normal"/>
    <w:rsid w:val="001225FE"/>
    <w:pPr>
      <w:framePr w:wrap="around" w:vAnchor="text" w:hAnchor="text" w:y="1"/>
      <w:spacing w:after="0" w:line="240" w:lineRule="auto"/>
      <w:suppressOverlap/>
    </w:pPr>
    <w:rPr>
      <w:rFonts w:asciiTheme="majorHAnsi" w:hAnsiTheme="majorHAnsi"/>
      <w:b/>
      <w:color w:val="FFFFFF" w:themeColor="background1"/>
    </w:rPr>
  </w:style>
  <w:style w:type="paragraph" w:customStyle="1" w:styleId="TableNormalNoSpaceAfter">
    <w:name w:val="Table Normal (No Space After)"/>
    <w:basedOn w:val="Normal"/>
    <w:rsid w:val="001225FE"/>
    <w:pPr>
      <w:spacing w:after="0"/>
    </w:pPr>
  </w:style>
  <w:style w:type="paragraph" w:styleId="TOC9">
    <w:name w:val="toc 9"/>
    <w:basedOn w:val="Normal"/>
    <w:next w:val="Normal"/>
    <w:autoRedefine/>
    <w:uiPriority w:val="39"/>
    <w:semiHidden/>
    <w:unhideWhenUsed/>
    <w:rsid w:val="001225FE"/>
    <w:pPr>
      <w:ind w:left="1920"/>
    </w:pPr>
  </w:style>
  <w:style w:type="table" w:customStyle="1" w:styleId="TxDOTsimpleleftaxistable">
    <w:name w:val="TxDOT simple left axis table"/>
    <w:basedOn w:val="TableNormal"/>
    <w:uiPriority w:val="99"/>
    <w:rsid w:val="001225FE"/>
    <w:rPr>
      <w:sz w:val="18"/>
    </w:rPr>
    <w:tblPr>
      <w:tblCellMar>
        <w:top w:w="115" w:type="dxa"/>
        <w:left w:w="58" w:type="dxa"/>
        <w:bottom w:w="115" w:type="dxa"/>
        <w:right w:w="58" w:type="dxa"/>
      </w:tblCellMar>
    </w:tblPr>
    <w:tblStylePr w:type="firstRow">
      <w:rPr>
        <w:b/>
        <w:sz w:val="18"/>
      </w:rPr>
      <w:tblPr/>
      <w:tcPr>
        <w:tcBorders>
          <w:top w:val="nil"/>
          <w:left w:val="nil"/>
          <w:bottom w:val="single" w:sz="24" w:space="0" w:color="000000" w:themeColor="text1"/>
          <w:right w:val="nil"/>
          <w:insideH w:val="nil"/>
          <w:insideV w:val="nil"/>
          <w:tl2br w:val="nil"/>
          <w:tr2bl w:val="nil"/>
        </w:tcBorders>
      </w:tcPr>
    </w:tblStylePr>
    <w:tblStylePr w:type="firstCol">
      <w:rPr>
        <w:b/>
        <w:sz w:val="1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nvironment.fhwa.dot.gov/legislation/section4f/4fpolic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xdot.gov/business/resources/environmental/compliance-toolkits.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ivision%20Services%20-%20Team%20Documents\Records%20Mgmt\Accessibility\00-Resources\Accessibility%20Templates\env-word-accessible-template.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Props1.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customXml/itemProps2.xml><?xml version="1.0" encoding="utf-8"?>
<ds:datastoreItem xmlns:ds="http://schemas.openxmlformats.org/officeDocument/2006/customXml" ds:itemID="{DB25186A-57A5-40A3-93B4-0F818A17F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3F433B-7D0F-409B-8615-66E6631FD8B3}">
  <ds:schemaRefs>
    <ds:schemaRef ds:uri="http://schemas.microsoft.com/sharepoint/v3/contenttype/forms"/>
  </ds:schemaRefs>
</ds:datastoreItem>
</file>

<file path=customXml/itemProps4.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docProps/app.xml><?xml version="1.0" encoding="utf-8"?>
<Properties xmlns="http://schemas.openxmlformats.org/officeDocument/2006/extended-properties" xmlns:vt="http://schemas.openxmlformats.org/officeDocument/2006/docPropsVTypes">
  <Template>env-word-accessible-template.dotx</Template>
  <TotalTime>1166</TotalTime>
  <Pages>7</Pages>
  <Words>1527</Words>
  <Characters>8706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Documentation Standard Individual Section 4(f) Evaluation</vt:lpstr>
    </vt:vector>
  </TitlesOfParts>
  <Company/>
  <LinksUpToDate>false</LinksUpToDate>
  <CharactersWithSpaces>10213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Standard Individual Section 4(f) Evaluation</dc:title>
  <dc:subject>Used to prepare an individual Section 4(f) evaluation and the documentation recording the basis for determining the required Section 4(f) findings for FHWA projects that impact parks, recreation areas, wildlife and waterfowl refuges, and historic sites</dc:subject>
  <dc:creator>TxDOT</dc:creator>
  <cp:keywords>811-01-ds; documentation standard; Section 4(f)</cp:keywords>
  <dc:description/>
  <cp:lastModifiedBy>Elisa Garcia</cp:lastModifiedBy>
  <cp:revision>126</cp:revision>
  <dcterms:created xsi:type="dcterms:W3CDTF">2026-10-05T21:38:00Z</dcterms:created>
  <dcterms:modified xsi:type="dcterms:W3CDTF">2026-10-09T13:32:00Z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ies>
</file>