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C8E3" w14:textId="2A0A1C2A" w:rsidR="004F697B" w:rsidRPr="00917F65" w:rsidRDefault="000426FE" w:rsidP="000426FE">
      <w:pPr>
        <w:pStyle w:val="Heading1"/>
        <w:rPr>
          <w:szCs w:val="48"/>
        </w:rPr>
      </w:pPr>
      <w:r w:rsidRPr="000426FE">
        <w:rPr>
          <w:szCs w:val="48"/>
        </w:rPr>
        <w:t>Documentation Standard</w:t>
      </w:r>
      <w:r>
        <w:rPr>
          <w:szCs w:val="48"/>
        </w:rPr>
        <w:t xml:space="preserve"> </w:t>
      </w:r>
      <w:r w:rsidRPr="000426FE">
        <w:rPr>
          <w:szCs w:val="48"/>
        </w:rPr>
        <w:t>for Interim Hydrogeomorphic Functional Assessment</w:t>
      </w:r>
    </w:p>
    <w:p w14:paraId="0C81D8BD" w14:textId="679B0720" w:rsidR="00C70B3E" w:rsidRDefault="00457E05" w:rsidP="00C26DE1">
      <w:pPr>
        <w:rPr>
          <w:color w:val="0056A9" w:themeColor="accent1"/>
        </w:rPr>
      </w:pPr>
      <w:r w:rsidRPr="00C26DE1">
        <w:rPr>
          <w:color w:val="0056A9" w:themeColor="accent1"/>
        </w:rPr>
        <w:t>This documentation standard (DS) is used by project sponsors preparing an Interim Hydrogeomorphic (</w:t>
      </w:r>
      <w:proofErr w:type="spellStart"/>
      <w:r w:rsidRPr="00C26DE1">
        <w:rPr>
          <w:color w:val="0056A9" w:themeColor="accent1"/>
        </w:rPr>
        <w:t>HGMi</w:t>
      </w:r>
      <w:proofErr w:type="spellEnd"/>
      <w:r w:rsidRPr="00C26DE1">
        <w:rPr>
          <w:color w:val="0056A9" w:themeColor="accent1"/>
        </w:rPr>
        <w:t>) Functional Assessment in accordance with guidance from the U</w:t>
      </w:r>
      <w:r w:rsidR="00BC772D">
        <w:rPr>
          <w:color w:val="0056A9" w:themeColor="accent1"/>
        </w:rPr>
        <w:t>nited States</w:t>
      </w:r>
      <w:r w:rsidRPr="00C26DE1">
        <w:rPr>
          <w:color w:val="0056A9" w:themeColor="accent1"/>
        </w:rPr>
        <w:t xml:space="preserve"> Army Corps of Engineers (USACE). The </w:t>
      </w:r>
      <w:proofErr w:type="spellStart"/>
      <w:r w:rsidRPr="00C26DE1">
        <w:rPr>
          <w:color w:val="0056A9" w:themeColor="accent1"/>
        </w:rPr>
        <w:t>HGMi</w:t>
      </w:r>
      <w:proofErr w:type="spellEnd"/>
      <w:r w:rsidRPr="00C26DE1">
        <w:rPr>
          <w:color w:val="0056A9" w:themeColor="accent1"/>
        </w:rPr>
        <w:t xml:space="preserve"> may be used to calculate current wetland functions and predict potential changes to a wetland’s functions that may result from proposed activities. The </w:t>
      </w:r>
      <w:proofErr w:type="spellStart"/>
      <w:r w:rsidRPr="00C26DE1">
        <w:rPr>
          <w:color w:val="0056A9" w:themeColor="accent1"/>
        </w:rPr>
        <w:t>HGMi</w:t>
      </w:r>
      <w:proofErr w:type="spellEnd"/>
      <w:r w:rsidRPr="00C26DE1">
        <w:rPr>
          <w:color w:val="0056A9" w:themeColor="accent1"/>
        </w:rPr>
        <w:t xml:space="preserve"> Functional Assessment is only utilized within the USACE Galveston District Office (SWG).</w:t>
      </w:r>
      <w:r w:rsidR="00BD320A">
        <w:rPr>
          <w:color w:val="0056A9" w:themeColor="accent1"/>
        </w:rPr>
        <w:t xml:space="preserve"> </w:t>
      </w:r>
      <w:r w:rsidR="00C70B3E" w:rsidRPr="00C70B3E">
        <w:rPr>
          <w:color w:val="0056A9" w:themeColor="accent1"/>
        </w:rPr>
        <w:t xml:space="preserve">This DS also references Hydrogeomorphic (HGM) worksheets to be used in the </w:t>
      </w:r>
      <w:proofErr w:type="spellStart"/>
      <w:r w:rsidR="00C70B3E" w:rsidRPr="00C70B3E">
        <w:rPr>
          <w:color w:val="0056A9" w:themeColor="accent1"/>
        </w:rPr>
        <w:t>HGMi</w:t>
      </w:r>
      <w:proofErr w:type="spellEnd"/>
      <w:r w:rsidR="00C70B3E" w:rsidRPr="00C70B3E">
        <w:rPr>
          <w:color w:val="0056A9" w:themeColor="accent1"/>
        </w:rPr>
        <w:t xml:space="preserve"> Functional Assessment.</w:t>
      </w:r>
    </w:p>
    <w:p w14:paraId="52959224" w14:textId="09794612" w:rsidR="005456F3" w:rsidRPr="00C26DE1" w:rsidRDefault="00457E05" w:rsidP="00C26DE1">
      <w:pPr>
        <w:rPr>
          <w:b/>
          <w:color w:val="0056A9" w:themeColor="accent1"/>
        </w:rPr>
      </w:pPr>
      <w:r w:rsidRPr="00C26DE1">
        <w:rPr>
          <w:color w:val="0056A9" w:themeColor="accent1"/>
        </w:rPr>
        <w:t xml:space="preserve">This DS lists and describes information that must be included within a </w:t>
      </w:r>
      <w:proofErr w:type="spellStart"/>
      <w:r w:rsidRPr="00C26DE1">
        <w:rPr>
          <w:color w:val="0056A9" w:themeColor="accent1"/>
        </w:rPr>
        <w:t>HGMi</w:t>
      </w:r>
      <w:proofErr w:type="spellEnd"/>
      <w:r w:rsidRPr="00C26DE1">
        <w:rPr>
          <w:color w:val="0056A9" w:themeColor="accent1"/>
        </w:rPr>
        <w:t xml:space="preserve"> Functional Assessment report. Additional information may be necessary. </w:t>
      </w:r>
      <w:proofErr w:type="spellStart"/>
      <w:r w:rsidRPr="00C26DE1">
        <w:rPr>
          <w:color w:val="0056A9" w:themeColor="accent1"/>
        </w:rPr>
        <w:t>HGMi</w:t>
      </w:r>
      <w:proofErr w:type="spellEnd"/>
      <w:r w:rsidRPr="00C26DE1">
        <w:rPr>
          <w:color w:val="0056A9" w:themeColor="accent1"/>
        </w:rPr>
        <w:t xml:space="preserve"> assessments must be presented in report format and include more information than a standalone table. The </w:t>
      </w:r>
      <w:proofErr w:type="spellStart"/>
      <w:r w:rsidRPr="00C26DE1">
        <w:rPr>
          <w:color w:val="0056A9" w:themeColor="accent1"/>
        </w:rPr>
        <w:t>HGMi</w:t>
      </w:r>
      <w:proofErr w:type="spellEnd"/>
      <w:r w:rsidRPr="00C26DE1">
        <w:rPr>
          <w:color w:val="0056A9" w:themeColor="accent1"/>
        </w:rPr>
        <w:t xml:space="preserve"> report may be combined with a Stream Assessment report, if applicable. The format below must be followed, and the information listed included within the report. All SWG guidance on wetland functional assessments must also be followed, including clear descriptions of how and why the site was scored and how the theoretical score was determined. All information used to make the determinations and specific discussion on how scores were derived (pre- and post- </w:t>
      </w:r>
      <w:proofErr w:type="gramStart"/>
      <w:r w:rsidRPr="00C26DE1">
        <w:rPr>
          <w:color w:val="0056A9" w:themeColor="accent1"/>
        </w:rPr>
        <w:t>project</w:t>
      </w:r>
      <w:proofErr w:type="gramEnd"/>
      <w:r w:rsidRPr="00C26DE1">
        <w:rPr>
          <w:color w:val="0056A9" w:themeColor="accent1"/>
        </w:rPr>
        <w:t>) must be included within the report, along with the amount of mitigation that would be required.</w:t>
      </w:r>
    </w:p>
    <w:p w14:paraId="4F145B93" w14:textId="4E57F68F" w:rsidR="005456F3" w:rsidRPr="005456F3" w:rsidRDefault="00263E21" w:rsidP="00E57758">
      <w:pPr>
        <w:pStyle w:val="Heading2"/>
      </w:pPr>
      <w:r>
        <w:t>Cover</w:t>
      </w:r>
    </w:p>
    <w:p w14:paraId="33E0DE65" w14:textId="0DD3AAB0" w:rsidR="00204772" w:rsidRDefault="00204772" w:rsidP="00204772">
      <w:r>
        <w:t>If the report is in draft form, add the word “Draft” at the end of the report title. If the report is in final form, delete the word “Draft.”</w:t>
      </w:r>
    </w:p>
    <w:p w14:paraId="5B09F0D7" w14:textId="63C033AD" w:rsidR="0064565C" w:rsidRDefault="00204772" w:rsidP="00204772">
      <w:r>
        <w:t xml:space="preserve">Enter the road name and limits, project </w:t>
      </w:r>
      <w:r w:rsidR="00BC772D">
        <w:t>Control Section Job (C</w:t>
      </w:r>
      <w:r>
        <w:t>SJ</w:t>
      </w:r>
      <w:r w:rsidR="00BC772D">
        <w:t>)</w:t>
      </w:r>
      <w:r>
        <w:t xml:space="preserve">, </w:t>
      </w:r>
      <w:r w:rsidR="00BC772D">
        <w:t>Texas Department of Transportation (</w:t>
      </w:r>
      <w:r>
        <w:t>TxDOT</w:t>
      </w:r>
      <w:r w:rsidR="00BC772D">
        <w:t>)</w:t>
      </w:r>
      <w:r>
        <w:t xml:space="preserve"> district, and month and year of the report.</w:t>
      </w:r>
    </w:p>
    <w:p w14:paraId="31CB93F7" w14:textId="36387F33" w:rsidR="00C3106C" w:rsidRPr="005456F3" w:rsidRDefault="004972EB" w:rsidP="00D675B0">
      <w:pPr>
        <w:pStyle w:val="Heading2"/>
        <w:keepLines w:val="0"/>
      </w:pPr>
      <w:r>
        <w:lastRenderedPageBreak/>
        <w:t>T</w:t>
      </w:r>
      <w:r w:rsidR="00567A89">
        <w:t>able of Contents</w:t>
      </w:r>
    </w:p>
    <w:p w14:paraId="7E2568F4" w14:textId="2B552E8A" w:rsidR="00F17F29" w:rsidRDefault="00F17F29" w:rsidP="00D675B0">
      <w:pPr>
        <w:keepNext/>
      </w:pPr>
      <w:r>
        <w:t>Once the report is complete, make sure to update the Table of Contents and List of Tables.</w:t>
      </w:r>
    </w:p>
    <w:p w14:paraId="69F8458B" w14:textId="57FC6B16" w:rsidR="00C3106C" w:rsidRDefault="00F17F29" w:rsidP="00D675B0">
      <w:pPr>
        <w:keepNext/>
      </w:pPr>
      <w:r>
        <w:t>Add the project CSJ to the footer.</w:t>
      </w:r>
    </w:p>
    <w:p w14:paraId="0822E913" w14:textId="65B938A1" w:rsidR="00C3106C" w:rsidRPr="005456F3" w:rsidRDefault="00230C90" w:rsidP="00230C90">
      <w:pPr>
        <w:pStyle w:val="Heading2"/>
      </w:pPr>
      <w:r>
        <w:t xml:space="preserve">1.0 </w:t>
      </w:r>
      <w:r w:rsidR="00564CDA" w:rsidRPr="00564CDA">
        <w:t>Introduction</w:t>
      </w:r>
    </w:p>
    <w:p w14:paraId="10A83024" w14:textId="61D29FC3" w:rsidR="00E52383" w:rsidRDefault="00E52383" w:rsidP="00E52383">
      <w:r>
        <w:t xml:space="preserve">Introduce the proposed transportation project and state when the functional assessment field work was completed. If the functional assessment was completed across several days, </w:t>
      </w:r>
      <w:proofErr w:type="gramStart"/>
      <w:r>
        <w:t>include</w:t>
      </w:r>
      <w:proofErr w:type="gramEnd"/>
      <w:r>
        <w:t xml:space="preserve"> the range(s) of days the site was accessed for the assessment. If there were portions of the project area that could not be accessed due to right-of-entry (ROE) limitations, describe in the introduction. Similarly, if a desktop analysis was made on all, or a portion of the project, discuss that in the introduction. </w:t>
      </w:r>
    </w:p>
    <w:p w14:paraId="3E543B1F" w14:textId="5901FFCC" w:rsidR="00C3106C" w:rsidRDefault="00E52383" w:rsidP="00E52383">
      <w:r>
        <w:t>Include a general description of the project area and a project description.</w:t>
      </w:r>
    </w:p>
    <w:p w14:paraId="353C03DC" w14:textId="57442DB4" w:rsidR="00C3106C" w:rsidRPr="005456F3" w:rsidRDefault="00230C90" w:rsidP="00230C90">
      <w:pPr>
        <w:pStyle w:val="Heading2"/>
      </w:pPr>
      <w:r>
        <w:t xml:space="preserve">2.0 </w:t>
      </w:r>
      <w:r w:rsidR="006808EF" w:rsidRPr="006808EF">
        <w:t>Existing Conditions</w:t>
      </w:r>
    </w:p>
    <w:p w14:paraId="5A6CE1A4" w14:textId="620FEA8E" w:rsidR="00C3106C" w:rsidRDefault="008C7661" w:rsidP="00C3106C">
      <w:r w:rsidRPr="008C7661">
        <w:t>Provide a general description of the project area, including the following components, as applicable and appropriate: physiography, geology, soils, climate, watershed characteristics, fluvial geomorphology, vegetation, and hydrologic regimes.</w:t>
      </w:r>
    </w:p>
    <w:p w14:paraId="1114DED8" w14:textId="4CC1B916" w:rsidR="00C3106C" w:rsidRPr="005456F3" w:rsidRDefault="00230C90" w:rsidP="00230C90">
      <w:pPr>
        <w:pStyle w:val="Heading2"/>
      </w:pPr>
      <w:r>
        <w:t xml:space="preserve">3.0 </w:t>
      </w:r>
      <w:r w:rsidR="00982873">
        <w:t>Methods</w:t>
      </w:r>
    </w:p>
    <w:p w14:paraId="68B5D16B" w14:textId="53740476" w:rsidR="00C3106C" w:rsidRDefault="00D23229" w:rsidP="00C3106C">
      <w:r w:rsidRPr="00D23229">
        <w:t xml:space="preserve">Describe the desktop analysis to substantiate the numbers on the </w:t>
      </w:r>
      <w:proofErr w:type="spellStart"/>
      <w:r w:rsidRPr="00D23229">
        <w:t>HGMi</w:t>
      </w:r>
      <w:proofErr w:type="spellEnd"/>
      <w:r w:rsidRPr="00D23229">
        <w:t xml:space="preserve"> worksheets. Also, discuss materials used to make desktop </w:t>
      </w:r>
      <w:proofErr w:type="gramStart"/>
      <w:r w:rsidRPr="00D23229">
        <w:t>assessment</w:t>
      </w:r>
      <w:proofErr w:type="gramEnd"/>
      <w:r w:rsidRPr="00D23229">
        <w:t xml:space="preserve"> and identify any assumptions.</w:t>
      </w:r>
    </w:p>
    <w:p w14:paraId="2E8FE2BA" w14:textId="2C3A05E6" w:rsidR="00C3106C" w:rsidRPr="005456F3" w:rsidRDefault="00230C90" w:rsidP="00230C90">
      <w:pPr>
        <w:pStyle w:val="Heading2"/>
      </w:pPr>
      <w:r>
        <w:t xml:space="preserve">4.0 </w:t>
      </w:r>
      <w:r w:rsidR="00AE3F84">
        <w:t>Results</w:t>
      </w:r>
    </w:p>
    <w:p w14:paraId="7B66D211" w14:textId="1B3D2F5E" w:rsidR="008928AC" w:rsidRDefault="008928AC" w:rsidP="008928AC">
      <w:r>
        <w:t>Include discussion on how each index value was assigned (Woody Vegetation (</w:t>
      </w:r>
      <w:proofErr w:type="spellStart"/>
      <w:r>
        <w:t>Vwood</w:t>
      </w:r>
      <w:proofErr w:type="spellEnd"/>
      <w:r>
        <w:t>), Duration of Flooding (</w:t>
      </w:r>
      <w:proofErr w:type="spellStart"/>
      <w:r>
        <w:t>Vdur</w:t>
      </w:r>
      <w:proofErr w:type="spellEnd"/>
      <w:r>
        <w:t xml:space="preserve">), </w:t>
      </w:r>
      <w:r w:rsidR="00FC43EB">
        <w:t>etcetera</w:t>
      </w:r>
      <w:r>
        <w:t>) and pre- and post-impact scores.</w:t>
      </w:r>
    </w:p>
    <w:p w14:paraId="60F9D43B" w14:textId="58DB1C43" w:rsidR="00C3106C" w:rsidRDefault="008928AC" w:rsidP="008928AC">
      <w:r>
        <w:t xml:space="preserve">The Results section should </w:t>
      </w:r>
      <w:proofErr w:type="gramStart"/>
      <w:r>
        <w:t>also</w:t>
      </w:r>
      <w:proofErr w:type="gramEnd"/>
      <w:r>
        <w:t xml:space="preserve"> two tables, one for pre-impact scores, and one for post-impact scores. Each table should summarize the Wetland Assessment Area (WAA) </w:t>
      </w:r>
      <w:r>
        <w:lastRenderedPageBreak/>
        <w:t>wetland acreage, Functional Capacity Index (FCI), and Functional Capacity Unit (FCU).  Calculations must be shown, including the formula(s) used.</w:t>
      </w:r>
    </w:p>
    <w:p w14:paraId="12E2678F" w14:textId="7838F392" w:rsidR="00C3106C" w:rsidRPr="005456F3" w:rsidRDefault="00230C90" w:rsidP="00230C90">
      <w:pPr>
        <w:pStyle w:val="Heading2"/>
      </w:pPr>
      <w:r>
        <w:t xml:space="preserve">5.0 </w:t>
      </w:r>
      <w:r w:rsidR="00944D63">
        <w:t>Conclusion</w:t>
      </w:r>
    </w:p>
    <w:p w14:paraId="12AB890E" w14:textId="18421AD8" w:rsidR="00C3106C" w:rsidRDefault="00FC29CC" w:rsidP="00C3106C">
      <w:r w:rsidRPr="00FC29CC">
        <w:t>Summarize the results and state the types and amounts of wetland mitigation that is needed for the project.</w:t>
      </w:r>
    </w:p>
    <w:p w14:paraId="35BBF315" w14:textId="4E44F8F2" w:rsidR="00C3106C" w:rsidRPr="005456F3" w:rsidRDefault="00230C90" w:rsidP="00230C90">
      <w:pPr>
        <w:pStyle w:val="Heading2"/>
      </w:pPr>
      <w:r>
        <w:t xml:space="preserve">6.0 </w:t>
      </w:r>
      <w:r w:rsidR="00FC29CC">
        <w:t>References</w:t>
      </w:r>
    </w:p>
    <w:p w14:paraId="06693F47" w14:textId="288016CB" w:rsidR="00C3106C" w:rsidRDefault="00E76800" w:rsidP="00C3106C">
      <w:r w:rsidRPr="00E76800">
        <w:t>Include all sources utilized to prepare the report. Use American Psychological Association (APA) citation format.</w:t>
      </w:r>
    </w:p>
    <w:p w14:paraId="06505B3F" w14:textId="6EAB5DC6" w:rsidR="00C3106C" w:rsidRPr="005456F3" w:rsidRDefault="00230C90" w:rsidP="00230C90">
      <w:pPr>
        <w:pStyle w:val="Heading2"/>
      </w:pPr>
      <w:r>
        <w:t xml:space="preserve">7.0 </w:t>
      </w:r>
      <w:r w:rsidR="00125856">
        <w:t>Attachments</w:t>
      </w:r>
    </w:p>
    <w:p w14:paraId="692B3AD2" w14:textId="01180799" w:rsidR="00D55942" w:rsidRDefault="00D55942" w:rsidP="00D55942">
      <w:r>
        <w:t>List all attachments referenced throughout the report. The following exhibits must be included within the Attachments, listed, numbered, and labeled in order of appearance. Additional exhibits must be included, if applicable. All exhibits must have source data noted in the legend (</w:t>
      </w:r>
      <w:r w:rsidR="00946AD5">
        <w:t>for example</w:t>
      </w:r>
      <w:r>
        <w:t xml:space="preserve">, aerial date, quadrangle name, Federal Emergency Management Agency (FEMA) year, </w:t>
      </w:r>
      <w:r w:rsidR="005E79F0">
        <w:t>etcetera</w:t>
      </w:r>
      <w:r>
        <w:t>.</w:t>
      </w:r>
    </w:p>
    <w:p w14:paraId="3A7C7E47" w14:textId="3720161A" w:rsidR="00D55942" w:rsidRDefault="00D55942" w:rsidP="00230C90">
      <w:pPr>
        <w:pStyle w:val="Heading3"/>
      </w:pPr>
      <w:r>
        <w:t xml:space="preserve">Attachment </w:t>
      </w:r>
      <w:r w:rsidR="00230C90">
        <w:t>1</w:t>
      </w:r>
      <w:r>
        <w:t xml:space="preserve"> - Exhibits</w:t>
      </w:r>
    </w:p>
    <w:p w14:paraId="55054A86" w14:textId="0D1D88F3" w:rsidR="00D55942" w:rsidRDefault="00D55942" w:rsidP="005579EF">
      <w:pPr>
        <w:pStyle w:val="ListBullet"/>
      </w:pPr>
      <w:r>
        <w:t>Exhibit 1 - Vicinity Map</w:t>
      </w:r>
    </w:p>
    <w:p w14:paraId="4708E3A0" w14:textId="6C3BBECF" w:rsidR="00D55942" w:rsidRDefault="00D55942" w:rsidP="005579EF">
      <w:pPr>
        <w:pStyle w:val="ListBullet"/>
      </w:pPr>
      <w:r>
        <w:t>Exhibit 2 - Site location map</w:t>
      </w:r>
    </w:p>
    <w:p w14:paraId="3B114F03" w14:textId="69289CF5" w:rsidR="00D55942" w:rsidRDefault="00D55942" w:rsidP="005579EF">
      <w:pPr>
        <w:pStyle w:val="ListBullet"/>
      </w:pPr>
      <w:r>
        <w:t>Exhibit 3 - Flood map</w:t>
      </w:r>
    </w:p>
    <w:p w14:paraId="2210F06C" w14:textId="3829F0D2" w:rsidR="00D55942" w:rsidRDefault="00D55942" w:rsidP="005579EF">
      <w:pPr>
        <w:pStyle w:val="ListBullet"/>
      </w:pPr>
      <w:r>
        <w:t>Exhibit 4 - Topo map</w:t>
      </w:r>
    </w:p>
    <w:p w14:paraId="7EE419E6" w14:textId="6A622D38" w:rsidR="00D55942" w:rsidRDefault="00D55942" w:rsidP="005579EF">
      <w:pPr>
        <w:pStyle w:val="ListBullet"/>
      </w:pPr>
      <w:r>
        <w:t>Exhibit 5 - Soils map</w:t>
      </w:r>
    </w:p>
    <w:p w14:paraId="0FC29561" w14:textId="1FA999F9" w:rsidR="00D55942" w:rsidRDefault="00D55942" w:rsidP="00685E4E">
      <w:pPr>
        <w:pStyle w:val="ListBullet"/>
      </w:pPr>
      <w:r>
        <w:t xml:space="preserve">Exhibit 6 - Wetland location map (typically from delineation report) showing areas of </w:t>
      </w:r>
      <w:proofErr w:type="gramStart"/>
      <w:r>
        <w:t>impacts</w:t>
      </w:r>
      <w:proofErr w:type="gramEnd"/>
      <w:r>
        <w:t xml:space="preserve"> and areas that will not be impacted</w:t>
      </w:r>
    </w:p>
    <w:p w14:paraId="36E9516D" w14:textId="381C6A93" w:rsidR="00D55942" w:rsidRDefault="00D55942" w:rsidP="00685E4E">
      <w:pPr>
        <w:pStyle w:val="ListBullet"/>
      </w:pPr>
      <w:r>
        <w:t>Exhibit 7 - Project drawings depicting wetland impacts</w:t>
      </w:r>
    </w:p>
    <w:p w14:paraId="2FE59C5D" w14:textId="78CDC0CD" w:rsidR="00D55942" w:rsidRDefault="00D55942" w:rsidP="00685E4E">
      <w:pPr>
        <w:pStyle w:val="ListBullet"/>
      </w:pPr>
      <w:r>
        <w:t>Exhibit 8 - Map showing location of WAAs and sampling locations within the WAA</w:t>
      </w:r>
    </w:p>
    <w:p w14:paraId="6EE4A6EB" w14:textId="2A8F3096" w:rsidR="00D55942" w:rsidRDefault="00D55942" w:rsidP="00D55942">
      <w:pPr>
        <w:pStyle w:val="ListBullet"/>
      </w:pPr>
      <w:r>
        <w:t>Exhibit 9 - Wetland delineation map and WAA representative wetland points (1 datasheet per WAA, datasheets of transects not required)</w:t>
      </w:r>
    </w:p>
    <w:p w14:paraId="54E47995" w14:textId="77777777" w:rsidR="00D55942" w:rsidRDefault="00D55942" w:rsidP="00230C90">
      <w:pPr>
        <w:pStyle w:val="Heading3"/>
      </w:pPr>
      <w:r>
        <w:lastRenderedPageBreak/>
        <w:t xml:space="preserve">Attachment 2 – USACE </w:t>
      </w:r>
      <w:proofErr w:type="spellStart"/>
      <w:r>
        <w:t>HGMi</w:t>
      </w:r>
      <w:proofErr w:type="spellEnd"/>
      <w:r>
        <w:t xml:space="preserve"> Worksheets</w:t>
      </w:r>
    </w:p>
    <w:p w14:paraId="5C193ED7" w14:textId="77777777" w:rsidR="00D55942" w:rsidRDefault="00D55942" w:rsidP="00D55942">
      <w:r>
        <w:t xml:space="preserve">USACE </w:t>
      </w:r>
      <w:proofErr w:type="spellStart"/>
      <w:r>
        <w:t>HGMi</w:t>
      </w:r>
      <w:proofErr w:type="spellEnd"/>
      <w:r>
        <w:t xml:space="preserve"> worksheets with comments for pre and post impact scores (as appropriate). The following worksheets should be included within the report as appropriate:</w:t>
      </w:r>
    </w:p>
    <w:p w14:paraId="4F8CA5A8" w14:textId="378469C5" w:rsidR="00D55942" w:rsidRDefault="00D55942" w:rsidP="005C0F0F">
      <w:pPr>
        <w:pStyle w:val="ListBullet"/>
      </w:pPr>
      <w:r>
        <w:t>Lacustrine Fringe (Interim) HGM Worksheet Functional Capacity Index (FCI) and Lacustrine Fringe (Interim) HGM Worksheet Functional Capacity Unit (FCU) Impact(s) sheet and Lacustrine Fringe HGM (Interim) Worksheet</w:t>
      </w:r>
    </w:p>
    <w:p w14:paraId="61BBF8EB" w14:textId="4DA19CE6" w:rsidR="00D55942" w:rsidRDefault="00D55942" w:rsidP="00EE6B20">
      <w:pPr>
        <w:pStyle w:val="ListBullet"/>
      </w:pPr>
      <w:r>
        <w:t>Forested Riverine (Interim) HGM Worksheet Functional Capacity Index (FCI) and Forested Riverine (Interim) HGM Worksheet Functional Capacity Unit (FCU) Impact(s) sheet</w:t>
      </w:r>
    </w:p>
    <w:p w14:paraId="034935E1" w14:textId="0266AE18" w:rsidR="00D55942" w:rsidRDefault="00D55942" w:rsidP="00EE6B20">
      <w:pPr>
        <w:pStyle w:val="ListBullet"/>
      </w:pPr>
      <w:r>
        <w:t>Riverine Herb</w:t>
      </w:r>
      <w:r w:rsidR="00BC772D">
        <w:t xml:space="preserve"> and or </w:t>
      </w:r>
      <w:r>
        <w:t>Shrub HGM (Interim) Worksheet and Riverine Herb</w:t>
      </w:r>
      <w:r w:rsidR="00BC772D">
        <w:t xml:space="preserve"> and or </w:t>
      </w:r>
      <w:r>
        <w:t>Shrub (Interim HGM) Worksheet Functional Capacity Index (FCI)</w:t>
      </w:r>
    </w:p>
    <w:p w14:paraId="0778ADCD" w14:textId="7A9ADF0B" w:rsidR="00D55942" w:rsidRDefault="00D55942" w:rsidP="00D55942">
      <w:pPr>
        <w:pStyle w:val="ListBullet"/>
      </w:pPr>
      <w:r>
        <w:t>Tidal Fringe (Interim HGM) Worksheet Functional Capacity Index (FCI) and Tidal Fringe (Interim HGM) Worksheet Functional Capacity Index (FCI)</w:t>
      </w:r>
    </w:p>
    <w:p w14:paraId="3BB042ED" w14:textId="77777777" w:rsidR="00D55942" w:rsidRDefault="00D55942" w:rsidP="00230C90">
      <w:pPr>
        <w:pStyle w:val="Heading3"/>
      </w:pPr>
      <w:r>
        <w:t>Attachment 3 – Site Photographs</w:t>
      </w:r>
    </w:p>
    <w:p w14:paraId="6DA44967" w14:textId="217A8531" w:rsidR="00486048" w:rsidRPr="00B00287" w:rsidRDefault="00D55942" w:rsidP="00B00287">
      <w:pPr>
        <w:pStyle w:val="ListBullet"/>
      </w:pPr>
      <w:r>
        <w:t>Site photos – see example below</w:t>
      </w:r>
    </w:p>
    <w:p w14:paraId="4B22F598" w14:textId="77777777" w:rsidR="00BC772D" w:rsidRDefault="00486048" w:rsidP="00BC772D">
      <w:pPr>
        <w:pStyle w:val="CHH2-text"/>
        <w:keepNext/>
      </w:pPr>
      <w:r w:rsidRPr="008F73FA">
        <w:rPr>
          <w:i/>
          <w:noProof/>
        </w:rPr>
        <w:drawing>
          <wp:inline distT="0" distB="0" distL="0" distR="0" wp14:anchorId="7A94BC29" wp14:editId="52EC956B">
            <wp:extent cx="1943100" cy="1462986"/>
            <wp:effectExtent l="0" t="0" r="0" b="4445"/>
            <wp:docPr id="5" name="Picture 5" descr="Typical view of HGM Plot 1 within Herbaceous Wetland (WAA 2), showing a shallow, water-saturated wetland area with standing water, muddy soils, and dense herbaceous vegetation and grasses. A small field marker labeled ‘1’ is positioned in the foreground, with wooded vegetation visibl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ypical view of HGM Plot 1 within Herbaceous Wetland (WAA 2), showing a shallow, water-saturated wetland area with standing water, muddy soils, and dense herbaceous vegetation and grasses. A small field marker labeled ‘1’ is positioned in the foreground, with wooded vegetation visible in the background."/>
                    <pic:cNvPicPr/>
                  </pic:nvPicPr>
                  <pic:blipFill>
                    <a:blip r:embed="rId11">
                      <a:extLst>
                        <a:ext uri="{28A0092B-C50C-407E-A947-70E740481C1C}">
                          <a14:useLocalDpi xmlns:a14="http://schemas.microsoft.com/office/drawing/2010/main" val="0"/>
                        </a:ext>
                      </a:extLst>
                    </a:blip>
                    <a:stretch>
                      <a:fillRect/>
                    </a:stretch>
                  </pic:blipFill>
                  <pic:spPr>
                    <a:xfrm>
                      <a:off x="0" y="0"/>
                      <a:ext cx="1949516" cy="1467817"/>
                    </a:xfrm>
                    <a:prstGeom prst="rect">
                      <a:avLst/>
                    </a:prstGeom>
                  </pic:spPr>
                </pic:pic>
              </a:graphicData>
            </a:graphic>
          </wp:inline>
        </w:drawing>
      </w:r>
    </w:p>
    <w:p w14:paraId="7ED38F8A" w14:textId="2CCE0C85" w:rsidR="00BC772D" w:rsidRPr="00BC772D" w:rsidRDefault="00BC772D" w:rsidP="00BC772D">
      <w:pPr>
        <w:pStyle w:val="Caption"/>
        <w:rPr>
          <w:b w:val="0"/>
          <w:bCs w:val="0"/>
        </w:rPr>
      </w:pPr>
      <w:bookmarkStart w:id="0" w:name="_Toc226357946"/>
      <w:r>
        <w:t xml:space="preserve">Photo </w:t>
      </w:r>
      <w:r>
        <w:fldChar w:fldCharType="begin"/>
      </w:r>
      <w:r>
        <w:instrText xml:space="preserve"> SEQ Figure \* ARABIC </w:instrText>
      </w:r>
      <w:r>
        <w:fldChar w:fldCharType="separate"/>
      </w:r>
      <w:r>
        <w:rPr>
          <w:noProof/>
        </w:rPr>
        <w:t>1</w:t>
      </w:r>
      <w:r>
        <w:fldChar w:fldCharType="end"/>
      </w:r>
      <w:r>
        <w:t xml:space="preserve">. </w:t>
      </w:r>
      <w:r w:rsidRPr="00BC772D">
        <w:rPr>
          <w:b w:val="0"/>
          <w:bCs w:val="0"/>
        </w:rPr>
        <w:t>Typical view of HGM Plot 1, Herbaceous Wetland (WAA 2)</w:t>
      </w:r>
      <w:bookmarkEnd w:id="0"/>
      <w:r w:rsidRPr="00BC772D">
        <w:rPr>
          <w:b w:val="0"/>
          <w:bCs w:val="0"/>
        </w:rPr>
        <w:t xml:space="preserve"> </w:t>
      </w:r>
    </w:p>
    <w:p w14:paraId="3AEAEB1F" w14:textId="2828D1B9" w:rsidR="00C21176" w:rsidRDefault="00C21176" w:rsidP="00221898">
      <w:r>
        <w:br w:type="page"/>
      </w:r>
    </w:p>
    <w:p w14:paraId="27694B2A" w14:textId="131D536F" w:rsidR="005456F3" w:rsidRPr="00230C90" w:rsidRDefault="00ED0028" w:rsidP="00230C90">
      <w:pPr>
        <w:pStyle w:val="Heading3"/>
      </w:pPr>
      <w:r w:rsidRPr="00230C90">
        <w:lastRenderedPageBreak/>
        <w:t>Attachment</w:t>
      </w:r>
      <w:r w:rsidR="00703694" w:rsidRPr="00230C90">
        <w:t xml:space="preserve"> </w:t>
      </w:r>
      <w:r w:rsidR="00D675B0">
        <w:t>1</w:t>
      </w:r>
      <w:r w:rsidR="00230C90">
        <w:t xml:space="preserve"> - </w:t>
      </w:r>
      <w:r w:rsidR="00703694" w:rsidRPr="00230C90">
        <w:t>Exhibits</w:t>
      </w:r>
    </w:p>
    <w:p w14:paraId="36C16404" w14:textId="77777777" w:rsidR="0083113C" w:rsidRDefault="0083113C">
      <w:pPr>
        <w:spacing w:after="0" w:line="240" w:lineRule="auto"/>
        <w:rPr>
          <w:rFonts w:asciiTheme="majorHAnsi" w:eastAsiaTheme="majorEastAsia" w:hAnsiTheme="majorHAnsi" w:cstheme="majorBidi"/>
          <w:b/>
          <w:color w:val="002E69" w:themeColor="accent5"/>
          <w:sz w:val="28"/>
        </w:rPr>
      </w:pPr>
      <w:r>
        <w:br w:type="page"/>
      </w:r>
    </w:p>
    <w:p w14:paraId="7D84650F" w14:textId="67AFB442" w:rsidR="0083113C" w:rsidRPr="00230C90" w:rsidRDefault="0083113C" w:rsidP="00230C90">
      <w:pPr>
        <w:pStyle w:val="Heading3"/>
      </w:pPr>
      <w:r w:rsidRPr="00230C90">
        <w:lastRenderedPageBreak/>
        <w:t xml:space="preserve">Attachment </w:t>
      </w:r>
      <w:r w:rsidR="00D675B0">
        <w:t>2</w:t>
      </w:r>
      <w:r w:rsidR="00230C90">
        <w:t xml:space="preserve"> - </w:t>
      </w:r>
      <w:r w:rsidR="00B268AF" w:rsidRPr="00230C90">
        <w:t xml:space="preserve">USACE </w:t>
      </w:r>
      <w:proofErr w:type="spellStart"/>
      <w:r w:rsidR="00B268AF" w:rsidRPr="00230C90">
        <w:t>HGMi</w:t>
      </w:r>
      <w:proofErr w:type="spellEnd"/>
      <w:r w:rsidR="00B268AF" w:rsidRPr="00230C90">
        <w:t xml:space="preserve"> Worksheets</w:t>
      </w:r>
    </w:p>
    <w:p w14:paraId="4B00E4B9" w14:textId="77777777" w:rsidR="0083113C" w:rsidRDefault="0083113C">
      <w:pPr>
        <w:spacing w:after="0" w:line="240" w:lineRule="auto"/>
        <w:rPr>
          <w:rFonts w:asciiTheme="majorHAnsi" w:eastAsiaTheme="majorEastAsia" w:hAnsiTheme="majorHAnsi" w:cstheme="majorBidi"/>
          <w:b/>
          <w:color w:val="002E69" w:themeColor="accent5"/>
          <w:sz w:val="28"/>
        </w:rPr>
      </w:pPr>
      <w:r>
        <w:br w:type="page"/>
      </w:r>
    </w:p>
    <w:p w14:paraId="14B03633" w14:textId="442EE8BB" w:rsidR="009260DC" w:rsidRDefault="0083113C" w:rsidP="00230C90">
      <w:pPr>
        <w:pStyle w:val="Heading3"/>
      </w:pPr>
      <w:r w:rsidRPr="00230C90">
        <w:lastRenderedPageBreak/>
        <w:t xml:space="preserve">Attachment </w:t>
      </w:r>
      <w:r w:rsidR="00D675B0">
        <w:t>3</w:t>
      </w:r>
      <w:r w:rsidR="00230C90">
        <w:t xml:space="preserve"> - </w:t>
      </w:r>
      <w:r w:rsidR="004F4EEC" w:rsidRPr="00230C90">
        <w:t>Site Photographs</w:t>
      </w:r>
    </w:p>
    <w:p w14:paraId="471C0D4E" w14:textId="77777777" w:rsidR="009260DC" w:rsidRDefault="009260DC">
      <w:pPr>
        <w:spacing w:after="0" w:line="240" w:lineRule="auto"/>
      </w:pPr>
      <w:r>
        <w:br w:type="page"/>
      </w:r>
    </w:p>
    <w:p w14:paraId="1A374DD1" w14:textId="77777777" w:rsidR="005D638D" w:rsidRDefault="005D638D" w:rsidP="00E57758">
      <w:pPr>
        <w:pStyle w:val="Heading2"/>
      </w:pPr>
      <w:r>
        <w:lastRenderedPageBreak/>
        <w:t>Revision History</w:t>
      </w:r>
    </w:p>
    <w:p w14:paraId="2777D569" w14:textId="6982693E" w:rsidR="009E02B7" w:rsidRDefault="009E02B7" w:rsidP="009E02B7">
      <w:pPr>
        <w:pStyle w:val="Caption"/>
      </w:pPr>
      <w:r>
        <w:t xml:space="preserve">Table </w:t>
      </w:r>
      <w:r>
        <w:fldChar w:fldCharType="begin"/>
      </w:r>
      <w:r>
        <w:instrText xml:space="preserve"> SEQ Table \* ARABIC </w:instrText>
      </w:r>
      <w:r>
        <w:fldChar w:fldCharType="separate"/>
      </w:r>
      <w:r>
        <w:rPr>
          <w:noProof/>
        </w:rPr>
        <w:t>1</w:t>
      </w:r>
      <w:r>
        <w:fldChar w:fldCharType="end"/>
      </w:r>
      <w:r>
        <w:t>. Document revision history</w:t>
      </w:r>
    </w:p>
    <w:tbl>
      <w:tblPr>
        <w:tblStyle w:val="ATFTxDOTTable"/>
        <w:tblW w:w="0" w:type="auto"/>
        <w:tblInd w:w="0" w:type="dxa"/>
        <w:tblLook w:val="0420" w:firstRow="1" w:lastRow="0" w:firstColumn="0" w:lastColumn="0" w:noHBand="0" w:noVBand="1"/>
        <w:tblCaption w:val="Document revision history"/>
      </w:tblPr>
      <w:tblGrid>
        <w:gridCol w:w="2425"/>
        <w:gridCol w:w="8365"/>
      </w:tblGrid>
      <w:tr w:rsidR="003F3CC1" w14:paraId="24D0B7D6" w14:textId="77777777" w:rsidTr="009E02B7">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627240AE" w14:textId="77777777" w:rsidR="003F3CC1" w:rsidRPr="00A07348" w:rsidRDefault="003F3CC1" w:rsidP="005D638D">
            <w:pPr>
              <w:rPr>
                <w:color w:val="FFFFFF" w:themeColor="background1"/>
              </w:rPr>
            </w:pPr>
            <w:r w:rsidRPr="00A07348">
              <w:rPr>
                <w:color w:val="FFFFFF" w:themeColor="background1"/>
              </w:rPr>
              <w:t xml:space="preserve">Effective </w:t>
            </w:r>
            <w:r w:rsidR="002A12D5" w:rsidRPr="00A07348">
              <w:rPr>
                <w:color w:val="FFFFFF" w:themeColor="background1"/>
              </w:rPr>
              <w:t>d</w:t>
            </w:r>
            <w:r w:rsidRPr="00A07348">
              <w:rPr>
                <w:color w:val="FFFFFF" w:themeColor="background1"/>
              </w:rPr>
              <w:t>ate</w:t>
            </w:r>
            <w:r w:rsidR="002A12D5" w:rsidRPr="00A07348">
              <w:rPr>
                <w:color w:val="FFFFFF" w:themeColor="background1"/>
              </w:rPr>
              <w:t xml:space="preserve"> (month year)</w:t>
            </w:r>
          </w:p>
        </w:tc>
        <w:tc>
          <w:tcPr>
            <w:tcW w:w="8365" w:type="dxa"/>
          </w:tcPr>
          <w:p w14:paraId="54283045" w14:textId="77777777" w:rsidR="003F3CC1" w:rsidRPr="00A07348" w:rsidRDefault="002A12D5" w:rsidP="005D638D">
            <w:pPr>
              <w:rPr>
                <w:color w:val="FFFFFF" w:themeColor="background1"/>
              </w:rPr>
            </w:pPr>
            <w:r w:rsidRPr="00A07348">
              <w:rPr>
                <w:color w:val="FFFFFF" w:themeColor="background1"/>
              </w:rPr>
              <w:t>Reason for and description of change</w:t>
            </w:r>
          </w:p>
        </w:tc>
      </w:tr>
      <w:tr w:rsidR="003F3CC1" w14:paraId="5CA952E3" w14:textId="77777777" w:rsidTr="009E02B7">
        <w:trPr>
          <w:cnfStyle w:val="000000100000" w:firstRow="0" w:lastRow="0" w:firstColumn="0" w:lastColumn="0" w:oddVBand="0" w:evenVBand="0" w:oddHBand="1" w:evenHBand="0" w:firstRowFirstColumn="0" w:firstRowLastColumn="0" w:lastRowFirstColumn="0" w:lastRowLastColumn="0"/>
          <w:cantSplit/>
        </w:trPr>
        <w:tc>
          <w:tcPr>
            <w:tcW w:w="2425" w:type="dxa"/>
          </w:tcPr>
          <w:p w14:paraId="76294E60" w14:textId="77EB9BA3" w:rsidR="003F3CC1" w:rsidRPr="00A07348" w:rsidRDefault="00AF4B68" w:rsidP="005D638D">
            <w:pPr>
              <w:rPr>
                <w:b/>
                <w:bCs/>
              </w:rPr>
            </w:pPr>
            <w:r>
              <w:t>April</w:t>
            </w:r>
            <w:r w:rsidR="00624C21">
              <w:t xml:space="preserve"> </w:t>
            </w:r>
            <w:r>
              <w:t>2026</w:t>
            </w:r>
          </w:p>
        </w:tc>
        <w:tc>
          <w:tcPr>
            <w:tcW w:w="8365" w:type="dxa"/>
          </w:tcPr>
          <w:p w14:paraId="29B0BD93" w14:textId="195CD524" w:rsidR="003F3CC1" w:rsidRDefault="002A12D5" w:rsidP="005D638D">
            <w:r>
              <w:t xml:space="preserve">Version </w:t>
            </w:r>
            <w:r w:rsidR="00AF4B68">
              <w:t>2</w:t>
            </w:r>
          </w:p>
          <w:p w14:paraId="7C657E40" w14:textId="7AE48EE0" w:rsidR="000A5D0B" w:rsidRDefault="002D3393" w:rsidP="000A5D0B">
            <w:pPr>
              <w:pStyle w:val="ListBullet"/>
            </w:pPr>
            <w:r>
              <w:t xml:space="preserve">Updated </w:t>
            </w:r>
            <w:r w:rsidR="001778AF">
              <w:t>for accessibility compliance and TxDOT branding standards</w:t>
            </w:r>
          </w:p>
        </w:tc>
      </w:tr>
      <w:tr w:rsidR="00011FB9" w14:paraId="0BE78947" w14:textId="77777777" w:rsidTr="009E02B7">
        <w:trPr>
          <w:cnfStyle w:val="000000010000" w:firstRow="0" w:lastRow="0" w:firstColumn="0" w:lastColumn="0" w:oddVBand="0" w:evenVBand="0" w:oddHBand="0" w:evenHBand="1" w:firstRowFirstColumn="0" w:firstRowLastColumn="0" w:lastRowFirstColumn="0" w:lastRowLastColumn="0"/>
          <w:cantSplit/>
        </w:trPr>
        <w:tc>
          <w:tcPr>
            <w:tcW w:w="2425" w:type="dxa"/>
          </w:tcPr>
          <w:p w14:paraId="58AD8842" w14:textId="29E0BBD2" w:rsidR="00011FB9" w:rsidRDefault="00011FB9" w:rsidP="00011FB9">
            <w:r>
              <w:t>July 2022</w:t>
            </w:r>
          </w:p>
        </w:tc>
        <w:tc>
          <w:tcPr>
            <w:tcW w:w="8365" w:type="dxa"/>
          </w:tcPr>
          <w:p w14:paraId="1CFCCFB2" w14:textId="44800458" w:rsidR="00011FB9" w:rsidRDefault="00011FB9" w:rsidP="00011FB9">
            <w:r>
              <w:t xml:space="preserve">Version </w:t>
            </w:r>
            <w:r w:rsidR="00AF4B68">
              <w:t>1</w:t>
            </w:r>
          </w:p>
          <w:p w14:paraId="14513EEB" w14:textId="44A46B17" w:rsidR="00011FB9" w:rsidRDefault="00812AF6" w:rsidP="00011FB9">
            <w:pPr>
              <w:pStyle w:val="ListBullet"/>
            </w:pPr>
            <w:r w:rsidRPr="00812AF6">
              <w:t>Instructions for preparing an Interim Hydrogeomorphic (</w:t>
            </w:r>
            <w:proofErr w:type="spellStart"/>
            <w:r w:rsidRPr="00812AF6">
              <w:t>HGMi</w:t>
            </w:r>
            <w:proofErr w:type="spellEnd"/>
            <w:r w:rsidRPr="00812AF6">
              <w:t>) Functional Assessment in accordance with guidance from the U</w:t>
            </w:r>
            <w:r w:rsidR="009E02B7">
              <w:t>nited States</w:t>
            </w:r>
            <w:r w:rsidRPr="00812AF6">
              <w:t xml:space="preserve"> Army Corps of Engineers (USACE)</w:t>
            </w:r>
          </w:p>
        </w:tc>
      </w:tr>
    </w:tbl>
    <w:p w14:paraId="66DDAF32" w14:textId="77777777" w:rsidR="003F3CC1" w:rsidRPr="005D638D" w:rsidRDefault="003F3CC1" w:rsidP="00781A58"/>
    <w:sectPr w:rsidR="003F3CC1" w:rsidRPr="005D638D" w:rsidSect="0010454F">
      <w:headerReference w:type="default" r:id="rId12"/>
      <w:footerReference w:type="default" r:id="rId13"/>
      <w:headerReference w:type="first" r:id="rId14"/>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3A45" w14:textId="77777777" w:rsidR="0025691B" w:rsidRDefault="0025691B" w:rsidP="00CE2B96">
      <w:pPr>
        <w:spacing w:after="0"/>
      </w:pPr>
      <w:r>
        <w:separator/>
      </w:r>
    </w:p>
  </w:endnote>
  <w:endnote w:type="continuationSeparator" w:id="0">
    <w:p w14:paraId="10F8982D" w14:textId="77777777" w:rsidR="0025691B" w:rsidRDefault="0025691B"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8D66" w14:textId="2008478D"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9264" behindDoc="0" locked="0" layoutInCell="1" allowOverlap="1" wp14:anchorId="5EA20BC7" wp14:editId="09AABDB8">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7D856"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C6DF9" w:rsidRPr="002C6DF9">
      <w:rPr>
        <w:color w:val="0056A9"/>
      </w:rPr>
      <w:t>Documentation Standard for Interim Hydrogeomorphic Functional Assessment</w:t>
    </w:r>
    <w:r w:rsidR="0032481A">
      <w:rPr>
        <w:color w:val="0056A9"/>
      </w:rPr>
      <w:t xml:space="preserve"> </w:t>
    </w:r>
    <w:r w:rsidR="00BD2218" w:rsidRPr="009E532E">
      <w:rPr>
        <w:color w:val="0056A9"/>
      </w:rPr>
      <w:t>|</w:t>
    </w:r>
    <w:r w:rsidR="00BD2218" w:rsidRPr="009E02B7">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1B4A5DFF"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8707" w14:textId="77777777" w:rsidR="0025691B" w:rsidRDefault="0025691B" w:rsidP="00CE2B96">
      <w:pPr>
        <w:spacing w:after="0"/>
      </w:pPr>
      <w:r>
        <w:separator/>
      </w:r>
    </w:p>
  </w:footnote>
  <w:footnote w:type="continuationSeparator" w:id="0">
    <w:p w14:paraId="52E0DCB0" w14:textId="77777777" w:rsidR="0025691B" w:rsidRDefault="0025691B"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5965" w14:textId="77777777" w:rsidR="001705BC" w:rsidRDefault="009E532E" w:rsidP="001705BC">
    <w:pPr>
      <w:pStyle w:val="Header"/>
      <w:spacing w:after="400"/>
      <w:jc w:val="right"/>
    </w:pPr>
    <w:r>
      <w:rPr>
        <w:noProof/>
      </w:rPr>
      <w:drawing>
        <wp:inline distT="0" distB="0" distL="0" distR="0" wp14:anchorId="42848564" wp14:editId="70FE1615">
          <wp:extent cx="2020824" cy="384048"/>
          <wp:effectExtent l="0" t="0" r="0" b="0"/>
          <wp:docPr id="1517796457"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6457" name="Picture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2020824" cy="3840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599D"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8AB"/>
    <w:multiLevelType w:val="multilevel"/>
    <w:tmpl w:val="BD842600"/>
    <w:lvl w:ilvl="0">
      <w:start w:val="1"/>
      <w:numFmt w:val="decimal"/>
      <w:lvlText w:val="%1.0"/>
      <w:lvlJc w:val="left"/>
      <w:pPr>
        <w:ind w:left="1545" w:hanging="720"/>
      </w:pPr>
      <w:rPr>
        <w:rFonts w:hint="default"/>
      </w:rPr>
    </w:lvl>
    <w:lvl w:ilvl="1">
      <w:start w:val="1"/>
      <w:numFmt w:val="decimal"/>
      <w:lvlText w:val="%1.%2"/>
      <w:lvlJc w:val="left"/>
      <w:pPr>
        <w:ind w:left="2265" w:hanging="720"/>
      </w:pPr>
      <w:rPr>
        <w:rFonts w:hint="default"/>
      </w:rPr>
    </w:lvl>
    <w:lvl w:ilvl="2">
      <w:start w:val="1"/>
      <w:numFmt w:val="decimal"/>
      <w:lvlText w:val="%1.%2.%3"/>
      <w:lvlJc w:val="left"/>
      <w:pPr>
        <w:ind w:left="3345" w:hanging="1080"/>
      </w:pPr>
      <w:rPr>
        <w:rFonts w:hint="default"/>
      </w:rPr>
    </w:lvl>
    <w:lvl w:ilvl="3">
      <w:start w:val="1"/>
      <w:numFmt w:val="decimal"/>
      <w:lvlText w:val="%1.%2.%3.%4"/>
      <w:lvlJc w:val="left"/>
      <w:pPr>
        <w:ind w:left="4785" w:hanging="1800"/>
      </w:pPr>
      <w:rPr>
        <w:rFonts w:hint="default"/>
      </w:rPr>
    </w:lvl>
    <w:lvl w:ilvl="4">
      <w:start w:val="1"/>
      <w:numFmt w:val="decimal"/>
      <w:lvlText w:val="%1.%2.%3.%4.%5"/>
      <w:lvlJc w:val="left"/>
      <w:pPr>
        <w:ind w:left="5865" w:hanging="2160"/>
      </w:pPr>
      <w:rPr>
        <w:rFonts w:hint="default"/>
      </w:rPr>
    </w:lvl>
    <w:lvl w:ilvl="5">
      <w:start w:val="1"/>
      <w:numFmt w:val="decimal"/>
      <w:lvlText w:val="%1.%2.%3.%4.%5.%6"/>
      <w:lvlJc w:val="left"/>
      <w:pPr>
        <w:ind w:left="6945" w:hanging="2520"/>
      </w:pPr>
      <w:rPr>
        <w:rFonts w:hint="default"/>
      </w:rPr>
    </w:lvl>
    <w:lvl w:ilvl="6">
      <w:start w:val="1"/>
      <w:numFmt w:val="decimal"/>
      <w:lvlText w:val="%1.%2.%3.%4.%5.%6.%7"/>
      <w:lvlJc w:val="left"/>
      <w:pPr>
        <w:ind w:left="8025" w:hanging="2880"/>
      </w:pPr>
      <w:rPr>
        <w:rFonts w:hint="default"/>
      </w:rPr>
    </w:lvl>
    <w:lvl w:ilvl="7">
      <w:start w:val="1"/>
      <w:numFmt w:val="decimal"/>
      <w:lvlText w:val="%1.%2.%3.%4.%5.%6.%7.%8"/>
      <w:lvlJc w:val="left"/>
      <w:pPr>
        <w:ind w:left="9105" w:hanging="3240"/>
      </w:pPr>
      <w:rPr>
        <w:rFonts w:hint="default"/>
      </w:rPr>
    </w:lvl>
    <w:lvl w:ilvl="8">
      <w:start w:val="1"/>
      <w:numFmt w:val="decimal"/>
      <w:lvlText w:val="%1.%2.%3.%4.%5.%6.%7.%8.%9"/>
      <w:lvlJc w:val="left"/>
      <w:pPr>
        <w:ind w:left="10185" w:hanging="3600"/>
      </w:pPr>
      <w:rPr>
        <w:rFonts w:hint="default"/>
      </w:rPr>
    </w:lvl>
  </w:abstractNum>
  <w:abstractNum w:abstractNumId="1" w15:restartNumberingAfterBreak="0">
    <w:nsid w:val="1BCF18E9"/>
    <w:multiLevelType w:val="multilevel"/>
    <w:tmpl w:val="B694D1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2" w15:restartNumberingAfterBreak="0">
    <w:nsid w:val="41DE16E7"/>
    <w:multiLevelType w:val="multilevel"/>
    <w:tmpl w:val="A15264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3" w15:restartNumberingAfterBreak="0">
    <w:nsid w:val="430B45EE"/>
    <w:multiLevelType w:val="multilevel"/>
    <w:tmpl w:val="0BC4B61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4" w15:restartNumberingAfterBreak="0">
    <w:nsid w:val="508B2086"/>
    <w:multiLevelType w:val="multilevel"/>
    <w:tmpl w:val="C99277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5" w15:restartNumberingAfterBreak="0">
    <w:nsid w:val="65441F70"/>
    <w:multiLevelType w:val="hybridMultilevel"/>
    <w:tmpl w:val="942E23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B5EFF"/>
    <w:multiLevelType w:val="hybridMultilevel"/>
    <w:tmpl w:val="8B12C75A"/>
    <w:lvl w:ilvl="0" w:tplc="3F18D64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537FE"/>
    <w:multiLevelType w:val="hybridMultilevel"/>
    <w:tmpl w:val="A95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D11F3"/>
    <w:multiLevelType w:val="multilevel"/>
    <w:tmpl w:val="1C3A27A0"/>
    <w:lvl w:ilvl="0">
      <w:start w:val="1"/>
      <w:numFmt w:val="bullet"/>
      <w:pStyle w:val="ListBullet"/>
      <w:lvlText w:val=""/>
      <w:lvlJc w:val="left"/>
      <w:pPr>
        <w:ind w:left="720" w:hanging="360"/>
      </w:pPr>
      <w:rPr>
        <w:rFonts w:ascii="Symbol" w:hAnsi="Symbol" w:hint="default"/>
        <w:color w:val="0056A9" w:themeColor="accent1"/>
      </w:rPr>
    </w:lvl>
    <w:lvl w:ilvl="1">
      <w:start w:val="1"/>
      <w:numFmt w:val="bullet"/>
      <w:lvlText w:val="–"/>
      <w:lvlJc w:val="left"/>
      <w:pPr>
        <w:ind w:left="1080" w:hanging="360"/>
      </w:pPr>
      <w:rPr>
        <w:rFonts w:ascii="Franklin Gothic Book" w:hAnsi="Franklin Gothic Book" w:hint="default"/>
        <w:color w:val="0056A9" w:themeColor="accent1"/>
      </w:rPr>
    </w:lvl>
    <w:lvl w:ilvl="2">
      <w:start w:val="1"/>
      <w:numFmt w:val="bullet"/>
      <w:lvlText w:val=""/>
      <w:lvlJc w:val="left"/>
      <w:pPr>
        <w:ind w:left="1440" w:hanging="360"/>
      </w:pPr>
      <w:rPr>
        <w:rFonts w:ascii="Wingdings" w:hAnsi="Wingdings" w:hint="default"/>
        <w:color w:val="0056A9" w:themeColor="accent1"/>
      </w:rPr>
    </w:lvl>
    <w:lvl w:ilvl="3">
      <w:start w:val="1"/>
      <w:numFmt w:val="bullet"/>
      <w:lvlText w:val=""/>
      <w:lvlJc w:val="left"/>
      <w:pPr>
        <w:ind w:left="1800" w:hanging="360"/>
      </w:pPr>
      <w:rPr>
        <w:rFonts w:ascii="Symbol" w:hAnsi="Symbol" w:hint="default"/>
        <w:color w:val="0056A9" w:themeColor="accent1"/>
      </w:rPr>
    </w:lvl>
    <w:lvl w:ilvl="4">
      <w:start w:val="1"/>
      <w:numFmt w:val="bullet"/>
      <w:lvlText w:val="°"/>
      <w:lvlJc w:val="left"/>
      <w:pPr>
        <w:ind w:left="2160" w:hanging="360"/>
      </w:pPr>
      <w:rPr>
        <w:rFonts w:ascii="Verdana" w:hAnsi="Verdana" w:hint="default"/>
        <w:color w:val="0056A9" w:themeColor="accent1"/>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16cid:durableId="486940803">
    <w:abstractNumId w:val="8"/>
  </w:num>
  <w:num w:numId="2" w16cid:durableId="1020014250">
    <w:abstractNumId w:val="6"/>
  </w:num>
  <w:num w:numId="3" w16cid:durableId="902328642">
    <w:abstractNumId w:val="7"/>
  </w:num>
  <w:num w:numId="4" w16cid:durableId="707293704">
    <w:abstractNumId w:val="5"/>
  </w:num>
  <w:num w:numId="5" w16cid:durableId="320885903">
    <w:abstractNumId w:val="1"/>
  </w:num>
  <w:num w:numId="6" w16cid:durableId="1107039277">
    <w:abstractNumId w:val="4"/>
  </w:num>
  <w:num w:numId="7" w16cid:durableId="341009904">
    <w:abstractNumId w:val="0"/>
  </w:num>
  <w:num w:numId="8" w16cid:durableId="1993440190">
    <w:abstractNumId w:val="2"/>
  </w:num>
  <w:num w:numId="9" w16cid:durableId="1018386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FE"/>
    <w:rsid w:val="00011FB9"/>
    <w:rsid w:val="0003040F"/>
    <w:rsid w:val="00042206"/>
    <w:rsid w:val="000426FE"/>
    <w:rsid w:val="00051E7A"/>
    <w:rsid w:val="0005583F"/>
    <w:rsid w:val="00067F71"/>
    <w:rsid w:val="00073C60"/>
    <w:rsid w:val="00074844"/>
    <w:rsid w:val="00075AE3"/>
    <w:rsid w:val="00075B9D"/>
    <w:rsid w:val="000940FB"/>
    <w:rsid w:val="000A03B9"/>
    <w:rsid w:val="000A2B6D"/>
    <w:rsid w:val="000A5D0B"/>
    <w:rsid w:val="000B070E"/>
    <w:rsid w:val="000B2945"/>
    <w:rsid w:val="000B5A5C"/>
    <w:rsid w:val="000C7AD7"/>
    <w:rsid w:val="000E0386"/>
    <w:rsid w:val="0010454F"/>
    <w:rsid w:val="00104E0D"/>
    <w:rsid w:val="00105532"/>
    <w:rsid w:val="00125856"/>
    <w:rsid w:val="001468A0"/>
    <w:rsid w:val="00146BE0"/>
    <w:rsid w:val="001705BC"/>
    <w:rsid w:val="001761D7"/>
    <w:rsid w:val="001778AF"/>
    <w:rsid w:val="00181735"/>
    <w:rsid w:val="0018694B"/>
    <w:rsid w:val="00190DCD"/>
    <w:rsid w:val="00191AFD"/>
    <w:rsid w:val="00193C0D"/>
    <w:rsid w:val="001A69C9"/>
    <w:rsid w:val="001B0171"/>
    <w:rsid w:val="001B5185"/>
    <w:rsid w:val="001B6C26"/>
    <w:rsid w:val="001C3E75"/>
    <w:rsid w:val="001E28C2"/>
    <w:rsid w:val="001E5E7E"/>
    <w:rsid w:val="001F4FAC"/>
    <w:rsid w:val="00204772"/>
    <w:rsid w:val="00221898"/>
    <w:rsid w:val="00230C90"/>
    <w:rsid w:val="002340C7"/>
    <w:rsid w:val="002376C2"/>
    <w:rsid w:val="002531E4"/>
    <w:rsid w:val="0025691B"/>
    <w:rsid w:val="00263E21"/>
    <w:rsid w:val="00273031"/>
    <w:rsid w:val="002805FC"/>
    <w:rsid w:val="00284504"/>
    <w:rsid w:val="00290571"/>
    <w:rsid w:val="00290A05"/>
    <w:rsid w:val="002934DC"/>
    <w:rsid w:val="002A05A5"/>
    <w:rsid w:val="002A12D5"/>
    <w:rsid w:val="002A75F2"/>
    <w:rsid w:val="002B1115"/>
    <w:rsid w:val="002C57BC"/>
    <w:rsid w:val="002C6DF9"/>
    <w:rsid w:val="002D0309"/>
    <w:rsid w:val="002D3393"/>
    <w:rsid w:val="00307199"/>
    <w:rsid w:val="003153F3"/>
    <w:rsid w:val="0032481A"/>
    <w:rsid w:val="003438E7"/>
    <w:rsid w:val="003452E7"/>
    <w:rsid w:val="003665E1"/>
    <w:rsid w:val="003A504F"/>
    <w:rsid w:val="003D41C5"/>
    <w:rsid w:val="003D6291"/>
    <w:rsid w:val="003E1328"/>
    <w:rsid w:val="003F2E57"/>
    <w:rsid w:val="003F3CC1"/>
    <w:rsid w:val="004112F8"/>
    <w:rsid w:val="0042061E"/>
    <w:rsid w:val="00427DBB"/>
    <w:rsid w:val="00437A34"/>
    <w:rsid w:val="004567BC"/>
    <w:rsid w:val="004575D4"/>
    <w:rsid w:val="00457E05"/>
    <w:rsid w:val="00486048"/>
    <w:rsid w:val="00487276"/>
    <w:rsid w:val="004972EB"/>
    <w:rsid w:val="004A1071"/>
    <w:rsid w:val="004A6F1A"/>
    <w:rsid w:val="004B325C"/>
    <w:rsid w:val="004D6797"/>
    <w:rsid w:val="004E0FC1"/>
    <w:rsid w:val="004E496F"/>
    <w:rsid w:val="004E7B23"/>
    <w:rsid w:val="004F4EEC"/>
    <w:rsid w:val="004F697B"/>
    <w:rsid w:val="00501A04"/>
    <w:rsid w:val="00514333"/>
    <w:rsid w:val="0052065D"/>
    <w:rsid w:val="005456F3"/>
    <w:rsid w:val="005555C5"/>
    <w:rsid w:val="005579EF"/>
    <w:rsid w:val="0056115B"/>
    <w:rsid w:val="00564CDA"/>
    <w:rsid w:val="00567A89"/>
    <w:rsid w:val="005A73FC"/>
    <w:rsid w:val="005B6CAE"/>
    <w:rsid w:val="005C0F0F"/>
    <w:rsid w:val="005D35F1"/>
    <w:rsid w:val="005D638D"/>
    <w:rsid w:val="005D6FD8"/>
    <w:rsid w:val="005E451D"/>
    <w:rsid w:val="005E79F0"/>
    <w:rsid w:val="006125F2"/>
    <w:rsid w:val="00624C21"/>
    <w:rsid w:val="006258E9"/>
    <w:rsid w:val="00626A92"/>
    <w:rsid w:val="00640ADD"/>
    <w:rsid w:val="0064565C"/>
    <w:rsid w:val="006808EF"/>
    <w:rsid w:val="00685E4E"/>
    <w:rsid w:val="00687A4D"/>
    <w:rsid w:val="006B34EF"/>
    <w:rsid w:val="0070038E"/>
    <w:rsid w:val="00703694"/>
    <w:rsid w:val="0070413E"/>
    <w:rsid w:val="0072002A"/>
    <w:rsid w:val="0073775B"/>
    <w:rsid w:val="007414D4"/>
    <w:rsid w:val="007524CB"/>
    <w:rsid w:val="00756907"/>
    <w:rsid w:val="00763838"/>
    <w:rsid w:val="00767521"/>
    <w:rsid w:val="00770214"/>
    <w:rsid w:val="00771021"/>
    <w:rsid w:val="00781A58"/>
    <w:rsid w:val="00791127"/>
    <w:rsid w:val="007A3B26"/>
    <w:rsid w:val="007B00A8"/>
    <w:rsid w:val="007C06C2"/>
    <w:rsid w:val="007E4B7F"/>
    <w:rsid w:val="00812AF6"/>
    <w:rsid w:val="00814A5F"/>
    <w:rsid w:val="0083113C"/>
    <w:rsid w:val="00850DD4"/>
    <w:rsid w:val="0086528F"/>
    <w:rsid w:val="0087110F"/>
    <w:rsid w:val="00885A03"/>
    <w:rsid w:val="008905E4"/>
    <w:rsid w:val="008928AC"/>
    <w:rsid w:val="00893375"/>
    <w:rsid w:val="00894429"/>
    <w:rsid w:val="008B49EB"/>
    <w:rsid w:val="008C1217"/>
    <w:rsid w:val="008C7661"/>
    <w:rsid w:val="008E36C4"/>
    <w:rsid w:val="00900F14"/>
    <w:rsid w:val="00915FFB"/>
    <w:rsid w:val="009160AB"/>
    <w:rsid w:val="0091704D"/>
    <w:rsid w:val="00917F65"/>
    <w:rsid w:val="009260DC"/>
    <w:rsid w:val="00944D63"/>
    <w:rsid w:val="00946AD5"/>
    <w:rsid w:val="00947AC2"/>
    <w:rsid w:val="00955095"/>
    <w:rsid w:val="00967F5A"/>
    <w:rsid w:val="0097321E"/>
    <w:rsid w:val="00976A16"/>
    <w:rsid w:val="00982873"/>
    <w:rsid w:val="00987E7D"/>
    <w:rsid w:val="00995A37"/>
    <w:rsid w:val="009B0174"/>
    <w:rsid w:val="009B397D"/>
    <w:rsid w:val="009C0EED"/>
    <w:rsid w:val="009C7DC2"/>
    <w:rsid w:val="009E02B7"/>
    <w:rsid w:val="009E532E"/>
    <w:rsid w:val="009F72F5"/>
    <w:rsid w:val="00A07068"/>
    <w:rsid w:val="00A07348"/>
    <w:rsid w:val="00A166DE"/>
    <w:rsid w:val="00A22F82"/>
    <w:rsid w:val="00A36177"/>
    <w:rsid w:val="00A44609"/>
    <w:rsid w:val="00A45FAA"/>
    <w:rsid w:val="00A47D0D"/>
    <w:rsid w:val="00A517D8"/>
    <w:rsid w:val="00A53A66"/>
    <w:rsid w:val="00A70747"/>
    <w:rsid w:val="00A71049"/>
    <w:rsid w:val="00A858D7"/>
    <w:rsid w:val="00AD4351"/>
    <w:rsid w:val="00AE1A16"/>
    <w:rsid w:val="00AE3F84"/>
    <w:rsid w:val="00AF4B68"/>
    <w:rsid w:val="00B00287"/>
    <w:rsid w:val="00B00801"/>
    <w:rsid w:val="00B076D5"/>
    <w:rsid w:val="00B22256"/>
    <w:rsid w:val="00B268AF"/>
    <w:rsid w:val="00B40211"/>
    <w:rsid w:val="00B40253"/>
    <w:rsid w:val="00B406D5"/>
    <w:rsid w:val="00B55323"/>
    <w:rsid w:val="00B616A3"/>
    <w:rsid w:val="00B63CB8"/>
    <w:rsid w:val="00B80EE5"/>
    <w:rsid w:val="00B84690"/>
    <w:rsid w:val="00B85D46"/>
    <w:rsid w:val="00B900B0"/>
    <w:rsid w:val="00BC772D"/>
    <w:rsid w:val="00BD2218"/>
    <w:rsid w:val="00BD320A"/>
    <w:rsid w:val="00BD5B0E"/>
    <w:rsid w:val="00BD7E0B"/>
    <w:rsid w:val="00BF26A6"/>
    <w:rsid w:val="00C02127"/>
    <w:rsid w:val="00C10F1E"/>
    <w:rsid w:val="00C21176"/>
    <w:rsid w:val="00C26DE1"/>
    <w:rsid w:val="00C27E67"/>
    <w:rsid w:val="00C3106C"/>
    <w:rsid w:val="00C31BC5"/>
    <w:rsid w:val="00C575AE"/>
    <w:rsid w:val="00C70B3E"/>
    <w:rsid w:val="00C712B3"/>
    <w:rsid w:val="00C75AB3"/>
    <w:rsid w:val="00C853A2"/>
    <w:rsid w:val="00C923ED"/>
    <w:rsid w:val="00CB2FFC"/>
    <w:rsid w:val="00CC00DC"/>
    <w:rsid w:val="00CE2B96"/>
    <w:rsid w:val="00CE6274"/>
    <w:rsid w:val="00CE6325"/>
    <w:rsid w:val="00CE6A5A"/>
    <w:rsid w:val="00CF0FA4"/>
    <w:rsid w:val="00D058C9"/>
    <w:rsid w:val="00D07333"/>
    <w:rsid w:val="00D11322"/>
    <w:rsid w:val="00D23229"/>
    <w:rsid w:val="00D4473A"/>
    <w:rsid w:val="00D46BC3"/>
    <w:rsid w:val="00D52D93"/>
    <w:rsid w:val="00D55942"/>
    <w:rsid w:val="00D641FB"/>
    <w:rsid w:val="00D675B0"/>
    <w:rsid w:val="00D87291"/>
    <w:rsid w:val="00DB6A6F"/>
    <w:rsid w:val="00DD5129"/>
    <w:rsid w:val="00DE6ED5"/>
    <w:rsid w:val="00E04EB5"/>
    <w:rsid w:val="00E15D9F"/>
    <w:rsid w:val="00E302A4"/>
    <w:rsid w:val="00E33825"/>
    <w:rsid w:val="00E47D85"/>
    <w:rsid w:val="00E50774"/>
    <w:rsid w:val="00E52383"/>
    <w:rsid w:val="00E57758"/>
    <w:rsid w:val="00E75EDD"/>
    <w:rsid w:val="00E76800"/>
    <w:rsid w:val="00E83835"/>
    <w:rsid w:val="00E94987"/>
    <w:rsid w:val="00EB0613"/>
    <w:rsid w:val="00EC403E"/>
    <w:rsid w:val="00ED0028"/>
    <w:rsid w:val="00ED20AC"/>
    <w:rsid w:val="00EE5A53"/>
    <w:rsid w:val="00EE6B20"/>
    <w:rsid w:val="00EE6DDC"/>
    <w:rsid w:val="00EF7847"/>
    <w:rsid w:val="00F11034"/>
    <w:rsid w:val="00F17F29"/>
    <w:rsid w:val="00F22C28"/>
    <w:rsid w:val="00F35F29"/>
    <w:rsid w:val="00F44653"/>
    <w:rsid w:val="00F47B34"/>
    <w:rsid w:val="00F53357"/>
    <w:rsid w:val="00F63F58"/>
    <w:rsid w:val="00F70AFB"/>
    <w:rsid w:val="00F8718F"/>
    <w:rsid w:val="00FB2093"/>
    <w:rsid w:val="00FB2FFC"/>
    <w:rsid w:val="00FB3F6D"/>
    <w:rsid w:val="00FC27D3"/>
    <w:rsid w:val="00FC29CC"/>
    <w:rsid w:val="00FC43EB"/>
    <w:rsid w:val="00FC47A9"/>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19975"/>
  <w15:chartTrackingRefBased/>
  <w15:docId w15:val="{125D8C6A-1EA8-492E-AF06-5EE774D3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57758"/>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57758"/>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paragraph" w:customStyle="1" w:styleId="CHH2-text">
    <w:name w:val="CH_H2-text"/>
    <w:basedOn w:val="Normal"/>
    <w:link w:val="CHH2-textChar"/>
    <w:qFormat/>
    <w:rsid w:val="00486048"/>
    <w:pPr>
      <w:autoSpaceDE w:val="0"/>
      <w:autoSpaceDN w:val="0"/>
      <w:adjustRightInd w:val="0"/>
      <w:spacing w:before="120" w:after="120" w:line="276" w:lineRule="auto"/>
      <w:ind w:left="360"/>
    </w:pPr>
    <w:rPr>
      <w:rFonts w:ascii="Arial" w:hAnsi="Arial" w:cstheme="minorHAnsi"/>
      <w:bCs/>
      <w:iCs/>
      <w:color w:val="auto"/>
      <w:kern w:val="0"/>
      <w:sz w:val="20"/>
      <w14:ligatures w14:val="none"/>
    </w:rPr>
  </w:style>
  <w:style w:type="character" w:customStyle="1" w:styleId="CHH2-textChar">
    <w:name w:val="CH_H2-text Char"/>
    <w:basedOn w:val="DefaultParagraphFont"/>
    <w:link w:val="CHH2-text"/>
    <w:rsid w:val="00486048"/>
    <w:rPr>
      <w:rFonts w:ascii="Arial" w:hAnsi="Arial" w:cstheme="minorHAnsi"/>
      <w:bCs/>
      <w:iCs/>
      <w:kern w:val="0"/>
      <w:sz w:val="20"/>
      <w14:ligatures w14:val="none"/>
    </w:rPr>
  </w:style>
  <w:style w:type="paragraph" w:styleId="TableofFigures">
    <w:name w:val="table of figures"/>
    <w:basedOn w:val="Normal"/>
    <w:next w:val="Normal"/>
    <w:uiPriority w:val="99"/>
    <w:unhideWhenUsed/>
    <w:rsid w:val="00BC772D"/>
    <w:pPr>
      <w:spacing w:after="0"/>
    </w:pPr>
  </w:style>
  <w:style w:type="character" w:styleId="CommentReference">
    <w:name w:val="annotation reference"/>
    <w:basedOn w:val="DefaultParagraphFont"/>
    <w:uiPriority w:val="99"/>
    <w:semiHidden/>
    <w:unhideWhenUsed/>
    <w:rsid w:val="009E02B7"/>
    <w:rPr>
      <w:sz w:val="16"/>
      <w:szCs w:val="16"/>
    </w:rPr>
  </w:style>
  <w:style w:type="paragraph" w:styleId="CommentText">
    <w:name w:val="annotation text"/>
    <w:basedOn w:val="Normal"/>
    <w:link w:val="CommentTextChar"/>
    <w:uiPriority w:val="99"/>
    <w:unhideWhenUsed/>
    <w:rsid w:val="009E02B7"/>
    <w:pPr>
      <w:spacing w:line="240" w:lineRule="auto"/>
    </w:pPr>
    <w:rPr>
      <w:sz w:val="20"/>
      <w:szCs w:val="20"/>
    </w:rPr>
  </w:style>
  <w:style w:type="character" w:customStyle="1" w:styleId="CommentTextChar">
    <w:name w:val="Comment Text Char"/>
    <w:basedOn w:val="DefaultParagraphFont"/>
    <w:link w:val="CommentText"/>
    <w:uiPriority w:val="99"/>
    <w:rsid w:val="009E02B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E02B7"/>
    <w:rPr>
      <w:b/>
      <w:bCs/>
    </w:rPr>
  </w:style>
  <w:style w:type="character" w:customStyle="1" w:styleId="CommentSubjectChar">
    <w:name w:val="Comment Subject Char"/>
    <w:basedOn w:val="CommentTextChar"/>
    <w:link w:val="CommentSubject"/>
    <w:uiPriority w:val="99"/>
    <w:semiHidden/>
    <w:rsid w:val="009E02B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word-accessibility-template.dotx?OR=81dd2b71-fb82-4b33-ac71-fed46bf0f87a&amp;CID=d32006a2-20cd-1000-884d-b822312f5323&amp;CT=1775161619767"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0CAAD408-5151-44B2-A632-DCB0AF98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env-word-accessibility-template.dotx?OR=81dd2b71-fb82-4b33-ac71-fed46bf0f87a&amp;CID=d32006a2-20cd-1000-884d-b822312f5323&amp;CT=1775161619767</Template>
  <TotalTime>133</TotalTime>
  <Pages>8</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Standard for Interim Hydrogeomorphic Functional Assessment</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Standard for Interim Hydrogeomorphic Functional Assessment</dc:title>
  <dc:subject>Instructions for preparing an Interim Hydrogeomorphic (HGMi) Functional Assessment in accordance with guidance from the U.S. Army Corps of Engineers (USACE</dc:subject>
  <dc:creator>TxDOT</dc:creator>
  <cp:keywords>905-02-ds; Water resources; HGMi; USACE</cp:keywords>
  <dc:description/>
  <cp:lastModifiedBy>Elisa Garcia</cp:lastModifiedBy>
  <cp:revision>91</cp:revision>
  <dcterms:created xsi:type="dcterms:W3CDTF">2026-04-02T20:27:00Z</dcterms:created>
  <dcterms:modified xsi:type="dcterms:W3CDTF">2026-04-06T16:17:00Z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