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AC0C0" w14:textId="77777777" w:rsidR="00020E5C" w:rsidRPr="00AF7716" w:rsidRDefault="00020E5C" w:rsidP="00020E5C">
      <w:pPr>
        <w:pStyle w:val="NormalSingleSpaceNoSpaceAfter"/>
        <w:rPr>
          <w:noProof w:val="0"/>
        </w:rPr>
      </w:pPr>
    </w:p>
    <w:p w14:paraId="40102AEB" w14:textId="77777777" w:rsidR="00DE690B" w:rsidRPr="00AF7716" w:rsidRDefault="00DE690B" w:rsidP="00020E5C">
      <w:pPr>
        <w:pStyle w:val="NormalSingleSpaceNoSpaceAfter"/>
        <w:rPr>
          <w:noProof w:val="0"/>
        </w:rPr>
      </w:pPr>
    </w:p>
    <w:p w14:paraId="05115C85" w14:textId="77777777" w:rsidR="004D3590" w:rsidRPr="00AF7716" w:rsidRDefault="004D3590" w:rsidP="004D3590">
      <w:pPr>
        <w:pStyle w:val="CVRTxDOTLogoSpacing"/>
        <w:rPr>
          <w:noProof w:val="0"/>
        </w:rPr>
      </w:pPr>
      <w:r w:rsidRPr="00AF7716">
        <w:drawing>
          <wp:inline distT="0" distB="0" distL="0" distR="0" wp14:anchorId="6D1E3608" wp14:editId="3B0BB11D">
            <wp:extent cx="1215341" cy="851387"/>
            <wp:effectExtent l="0" t="0" r="4445" b="635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37021" cy="866575"/>
                    </a:xfrm>
                    <a:prstGeom prst="rect">
                      <a:avLst/>
                    </a:prstGeom>
                  </pic:spPr>
                </pic:pic>
              </a:graphicData>
            </a:graphic>
          </wp:inline>
        </w:drawing>
      </w:r>
    </w:p>
    <w:p w14:paraId="06171AD5" w14:textId="5144D34A" w:rsidR="004D3590" w:rsidRPr="00AF7716" w:rsidRDefault="00D80B99" w:rsidP="004D3590">
      <w:pPr>
        <w:pStyle w:val="Heading1"/>
        <w:ind w:left="1260" w:right="1260"/>
      </w:pPr>
      <w:bookmarkStart w:id="0" w:name="_Toc217895683"/>
      <w:bookmarkStart w:id="1" w:name="_Toc221888062"/>
      <w:r w:rsidRPr="00AF7716">
        <w:t>Guidance: Preparing a Section 404 and 10 Impacts Table</w:t>
      </w:r>
      <w:bookmarkEnd w:id="0"/>
      <w:bookmarkEnd w:id="1"/>
    </w:p>
    <w:p w14:paraId="3F6D1FEA" w14:textId="3E06EB38" w:rsidR="00FE5D65" w:rsidRPr="00AF7716" w:rsidRDefault="00D80B99" w:rsidP="001C12E5">
      <w:pPr>
        <w:pStyle w:val="CoverPageNormal"/>
        <w:rPr>
          <w:noProof w:val="0"/>
        </w:rPr>
        <w:sectPr w:rsidR="00FE5D65" w:rsidRPr="00AF7716" w:rsidSect="003B6CAE">
          <w:footerReference w:type="default" r:id="rId13"/>
          <w:footerReference w:type="first" r:id="rId14"/>
          <w:pgSz w:w="12240" w:h="15840"/>
          <w:pgMar w:top="720" w:right="720" w:bottom="450" w:left="720" w:header="720" w:footer="144" w:gutter="0"/>
          <w:cols w:space="720"/>
          <w:docGrid w:linePitch="360"/>
        </w:sectPr>
      </w:pPr>
      <w:bookmarkStart w:id="2" w:name="_Toc217895684"/>
      <w:r w:rsidRPr="00AF7716">
        <w:rPr>
          <w:noProof w:val="0"/>
        </w:rPr>
        <w:t xml:space="preserve">This guidance explains </w:t>
      </w:r>
      <w:r w:rsidR="004D3590" w:rsidRPr="00AF7716">
        <mc:AlternateContent>
          <mc:Choice Requires="wps">
            <w:drawing>
              <wp:anchor distT="0" distB="0" distL="114300" distR="114300" simplePos="0" relativeHeight="251658240" behindDoc="1" locked="1" layoutInCell="1" allowOverlap="1" wp14:anchorId="4A968811" wp14:editId="0BEEC88C">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58C44"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2"/>
      <w:r w:rsidRPr="00AF7716">
        <w:rPr>
          <w:noProof w:val="0"/>
        </w:rPr>
        <w:t>step-by-step how to  prepare a Section 404 and 10 Im</w:t>
      </w:r>
      <w:r w:rsidR="00737E00" w:rsidRPr="00AF7716">
        <w:rPr>
          <w:noProof w:val="0"/>
        </w:rPr>
        <w:t>p</w:t>
      </w:r>
      <w:r w:rsidRPr="00AF7716">
        <w:rPr>
          <w:noProof w:val="0"/>
        </w:rPr>
        <w:t xml:space="preserve">acts Table. </w:t>
      </w:r>
    </w:p>
    <w:bookmarkStart w:id="3"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sdtContent>
        <w:p w14:paraId="586E393C" w14:textId="77777777" w:rsidR="00AA10E8" w:rsidRPr="00AF7716" w:rsidRDefault="00AA10E8" w:rsidP="00AA10E8">
          <w:pPr>
            <w:pStyle w:val="TOCHeading"/>
          </w:pPr>
          <w:r w:rsidRPr="00AF7716">
            <w:t>Contents</w:t>
          </w:r>
        </w:p>
        <w:p w14:paraId="7A54B6C1" w14:textId="386C1390" w:rsidR="00BE43A7" w:rsidRDefault="00EB3C3E">
          <w:pPr>
            <w:pStyle w:val="TOC1"/>
            <w:rPr>
              <w:rFonts w:asciiTheme="minorHAnsi" w:eastAsiaTheme="minorEastAsia" w:hAnsiTheme="minorHAnsi" w:cstheme="minorBidi"/>
              <w:b w:val="0"/>
              <w:color w:val="auto"/>
              <w:kern w:val="2"/>
              <w:szCs w:val="24"/>
              <w14:ligatures w14:val="standardContextual"/>
            </w:rPr>
          </w:pPr>
          <w:r w:rsidRPr="00130206">
            <w:rPr>
              <w:noProof w:val="0"/>
            </w:rPr>
            <w:fldChar w:fldCharType="begin"/>
          </w:r>
          <w:r w:rsidRPr="00130206">
            <w:rPr>
              <w:noProof w:val="0"/>
            </w:rPr>
            <w:instrText xml:space="preserve"> TOC \o "1-4" \h \z \u </w:instrText>
          </w:r>
          <w:r w:rsidRPr="00130206">
            <w:rPr>
              <w:noProof w:val="0"/>
            </w:rPr>
            <w:fldChar w:fldCharType="separate"/>
          </w:r>
          <w:hyperlink w:anchor="_Toc221888062" w:history="1">
            <w:r w:rsidR="00BE43A7" w:rsidRPr="00A450A0">
              <w:rPr>
                <w:rStyle w:val="Hyperlink"/>
              </w:rPr>
              <w:t>Guidance: Preparing a Section 404 and 10 Impacts Table</w:t>
            </w:r>
            <w:r w:rsidR="00BE43A7">
              <w:rPr>
                <w:webHidden/>
              </w:rPr>
              <w:tab/>
            </w:r>
            <w:r w:rsidR="00BE43A7">
              <w:rPr>
                <w:webHidden/>
              </w:rPr>
              <w:fldChar w:fldCharType="begin"/>
            </w:r>
            <w:r w:rsidR="00BE43A7">
              <w:rPr>
                <w:webHidden/>
              </w:rPr>
              <w:instrText xml:space="preserve"> PAGEREF _Toc221888062 \h </w:instrText>
            </w:r>
            <w:r w:rsidR="00BE43A7">
              <w:rPr>
                <w:webHidden/>
              </w:rPr>
            </w:r>
            <w:r w:rsidR="00BE43A7">
              <w:rPr>
                <w:webHidden/>
              </w:rPr>
              <w:fldChar w:fldCharType="separate"/>
            </w:r>
            <w:r w:rsidR="00BE43A7">
              <w:rPr>
                <w:webHidden/>
              </w:rPr>
              <w:t>1</w:t>
            </w:r>
            <w:r w:rsidR="00BE43A7">
              <w:rPr>
                <w:webHidden/>
              </w:rPr>
              <w:fldChar w:fldCharType="end"/>
            </w:r>
          </w:hyperlink>
        </w:p>
        <w:p w14:paraId="1EF412EF" w14:textId="54384874" w:rsidR="00BE43A7" w:rsidRDefault="00BE43A7">
          <w:pPr>
            <w:pStyle w:val="TOC2"/>
            <w:rPr>
              <w:rFonts w:asciiTheme="minorHAnsi" w:eastAsiaTheme="minorEastAsia" w:hAnsiTheme="minorHAnsi" w:cstheme="minorBidi"/>
              <w:b w:val="0"/>
              <w:bCs w:val="0"/>
              <w:noProof/>
              <w:szCs w:val="24"/>
            </w:rPr>
          </w:pPr>
          <w:hyperlink w:anchor="_Toc221888063" w:history="1">
            <w:r w:rsidRPr="00A450A0">
              <w:rPr>
                <w:rStyle w:val="Hyperlink"/>
                <w:noProof/>
              </w:rPr>
              <w:t>Instructions</w:t>
            </w:r>
            <w:r>
              <w:rPr>
                <w:noProof/>
                <w:webHidden/>
              </w:rPr>
              <w:tab/>
            </w:r>
            <w:r>
              <w:rPr>
                <w:noProof/>
                <w:webHidden/>
              </w:rPr>
              <w:fldChar w:fldCharType="begin"/>
            </w:r>
            <w:r>
              <w:rPr>
                <w:noProof/>
                <w:webHidden/>
              </w:rPr>
              <w:instrText xml:space="preserve"> PAGEREF _Toc221888063 \h </w:instrText>
            </w:r>
            <w:r>
              <w:rPr>
                <w:noProof/>
                <w:webHidden/>
              </w:rPr>
            </w:r>
            <w:r>
              <w:rPr>
                <w:noProof/>
                <w:webHidden/>
              </w:rPr>
              <w:fldChar w:fldCharType="separate"/>
            </w:r>
            <w:r>
              <w:rPr>
                <w:noProof/>
                <w:webHidden/>
              </w:rPr>
              <w:t>2</w:t>
            </w:r>
            <w:r>
              <w:rPr>
                <w:noProof/>
                <w:webHidden/>
              </w:rPr>
              <w:fldChar w:fldCharType="end"/>
            </w:r>
          </w:hyperlink>
        </w:p>
        <w:p w14:paraId="14872861" w14:textId="5AA99EED" w:rsidR="00BE43A7" w:rsidRDefault="00BE43A7">
          <w:pPr>
            <w:pStyle w:val="TOC2"/>
            <w:rPr>
              <w:rFonts w:asciiTheme="minorHAnsi" w:eastAsiaTheme="minorEastAsia" w:hAnsiTheme="minorHAnsi" w:cstheme="minorBidi"/>
              <w:b w:val="0"/>
              <w:bCs w:val="0"/>
              <w:noProof/>
              <w:szCs w:val="24"/>
            </w:rPr>
          </w:pPr>
          <w:hyperlink w:anchor="_Toc221888064" w:history="1">
            <w:r w:rsidRPr="00A450A0">
              <w:rPr>
                <w:rStyle w:val="Hyperlink"/>
                <w:rFonts w:cstheme="majorBidi"/>
                <w:noProof/>
              </w:rPr>
              <w:t>Revision History</w:t>
            </w:r>
            <w:r>
              <w:rPr>
                <w:noProof/>
                <w:webHidden/>
              </w:rPr>
              <w:tab/>
            </w:r>
            <w:r>
              <w:rPr>
                <w:noProof/>
                <w:webHidden/>
              </w:rPr>
              <w:fldChar w:fldCharType="begin"/>
            </w:r>
            <w:r>
              <w:rPr>
                <w:noProof/>
                <w:webHidden/>
              </w:rPr>
              <w:instrText xml:space="preserve"> PAGEREF _Toc221888064 \h </w:instrText>
            </w:r>
            <w:r>
              <w:rPr>
                <w:noProof/>
                <w:webHidden/>
              </w:rPr>
            </w:r>
            <w:r>
              <w:rPr>
                <w:noProof/>
                <w:webHidden/>
              </w:rPr>
              <w:fldChar w:fldCharType="separate"/>
            </w:r>
            <w:r>
              <w:rPr>
                <w:noProof/>
                <w:webHidden/>
              </w:rPr>
              <w:t>13</w:t>
            </w:r>
            <w:r>
              <w:rPr>
                <w:noProof/>
                <w:webHidden/>
              </w:rPr>
              <w:fldChar w:fldCharType="end"/>
            </w:r>
          </w:hyperlink>
        </w:p>
        <w:p w14:paraId="643D7CAD" w14:textId="2024C4A4" w:rsidR="00AA10E8" w:rsidRPr="00AF7716" w:rsidRDefault="00EB3C3E">
          <w:r w:rsidRPr="00130206">
            <w:rPr>
              <w:rFonts w:ascii="Verdana" w:eastAsia="MS Mincho" w:hAnsi="Verdana" w:cs="Traditional Arabic"/>
              <w:b/>
              <w:color w:val="0056A9"/>
              <w:kern w:val="0"/>
              <w:szCs w:val="28"/>
              <w14:ligatures w14:val="none"/>
            </w:rPr>
            <w:fldChar w:fldCharType="end"/>
          </w:r>
        </w:p>
      </w:sdtContent>
    </w:sdt>
    <w:p w14:paraId="25E4E9EB" w14:textId="77777777" w:rsidR="00AA10E8" w:rsidRPr="00AF7716" w:rsidRDefault="00AA10E8">
      <w:pPr>
        <w:spacing w:after="0" w:line="240" w:lineRule="auto"/>
        <w:rPr>
          <w:rFonts w:asciiTheme="majorHAnsi" w:hAnsiTheme="majorHAnsi"/>
          <w:b/>
          <w:color w:val="0056A9"/>
          <w:sz w:val="32"/>
          <w:szCs w:val="32"/>
        </w:rPr>
      </w:pPr>
      <w:r w:rsidRPr="00AF7716">
        <w:br w:type="page"/>
      </w:r>
    </w:p>
    <w:p w14:paraId="59EE9384" w14:textId="44961FA4" w:rsidR="003D0A5B" w:rsidRPr="00AF7716" w:rsidRDefault="00D80B99" w:rsidP="00295654">
      <w:pPr>
        <w:pStyle w:val="Heading2"/>
      </w:pPr>
      <w:bookmarkStart w:id="4" w:name="_Toc221888063"/>
      <w:bookmarkEnd w:id="3"/>
      <w:r w:rsidRPr="00AF7716">
        <w:lastRenderedPageBreak/>
        <w:t>Instructions</w:t>
      </w:r>
      <w:bookmarkEnd w:id="4"/>
    </w:p>
    <w:p w14:paraId="23EC0390" w14:textId="7B7BF92C" w:rsidR="00D80B99" w:rsidRPr="00AF7716" w:rsidRDefault="00D80B99" w:rsidP="00D80B99">
      <w:pPr>
        <w:pStyle w:val="ListNumber"/>
        <w:contextualSpacing w:val="0"/>
      </w:pPr>
      <w:r w:rsidRPr="00AF7716">
        <w:t xml:space="preserve">District environmental staff downloads the </w:t>
      </w:r>
      <w:hyperlink r:id="rId15" w:history="1">
        <w:r w:rsidR="0047655D" w:rsidRPr="00AF7716">
          <w:rPr>
            <w:rStyle w:val="Hyperlink"/>
            <w:rFonts w:cstheme="minorBidi"/>
          </w:rPr>
          <w:t>Environmental Affairs Division Section 404 and 10 Impacts Table</w:t>
        </w:r>
      </w:hyperlink>
      <w:r w:rsidRPr="00AF7716">
        <w:t xml:space="preserve"> from ENV’s on-line toolkit</w:t>
      </w:r>
    </w:p>
    <w:p w14:paraId="30515F2A" w14:textId="672A3689" w:rsidR="00D80B99" w:rsidRPr="00AF7716" w:rsidRDefault="00D80B99" w:rsidP="00D80B99">
      <w:pPr>
        <w:pStyle w:val="ListNumber"/>
        <w:numPr>
          <w:ilvl w:val="0"/>
          <w:numId w:val="0"/>
        </w:numPr>
        <w:contextualSpacing w:val="0"/>
      </w:pPr>
      <w:r w:rsidRPr="00AF7716">
        <w:t>Instructions for filling out the spreadsheet are provided below</w:t>
      </w:r>
      <w:r w:rsidR="00580F8D" w:rsidRPr="00AF7716">
        <w:t xml:space="preserve">. </w:t>
      </w:r>
      <w:r w:rsidRPr="00AF7716">
        <w:t>See ENV’s Section 404 and 10 Impacts Table - Example Project for a visual aid in how the spreadsheet would be completed on a hypothetical project.</w:t>
      </w:r>
    </w:p>
    <w:p w14:paraId="3CBC9C69" w14:textId="2A0D37AC" w:rsidR="00D80B99" w:rsidRPr="00AF7716" w:rsidRDefault="00D80B99" w:rsidP="00D80B99">
      <w:pPr>
        <w:pStyle w:val="ListNumber"/>
        <w:contextualSpacing w:val="0"/>
      </w:pPr>
      <w:r w:rsidRPr="00AF7716">
        <w:t>District environmental staff fills-in the required information on the spreadsheet according to the instructions below for each discrete waterbody or wetland within the existing and proposed right-of-way within the project area.</w:t>
      </w:r>
    </w:p>
    <w:p w14:paraId="2AC92CEE" w14:textId="36456775" w:rsidR="00D80B99" w:rsidRPr="00AF7716" w:rsidRDefault="00D80B99" w:rsidP="00D80B99">
      <w:r w:rsidRPr="00AF7716">
        <w:t>The phrase “waterbody or wetland” includes any perennial, intermittent, or ephemeral waterbody or wetland (including arroyos, draws, canals, etcetera), regardless of whether or not they are jurisdictional “waters of the United States.” District environmental staff may use any appropriate resources or methodologies to obtain the required information, including one or more of the following example resources:</w:t>
      </w:r>
    </w:p>
    <w:p w14:paraId="02CD7690" w14:textId="42544770" w:rsidR="00D80B99" w:rsidRPr="00AF7716" w:rsidRDefault="00D80B99" w:rsidP="00D80B99">
      <w:pPr>
        <w:pStyle w:val="ListBullet"/>
      </w:pPr>
      <w:r w:rsidRPr="00AF7716">
        <w:t>Preliminary project design information (for example, schematic, plans, typical sections, etcetera)</w:t>
      </w:r>
    </w:p>
    <w:p w14:paraId="1F4A2C76" w14:textId="51B081B7" w:rsidR="00D80B99" w:rsidRPr="00AF7716" w:rsidRDefault="00D80B99" w:rsidP="00D80B99">
      <w:pPr>
        <w:pStyle w:val="ListBullet"/>
      </w:pPr>
      <w:r w:rsidRPr="00AF7716">
        <w:t>Aerial photography</w:t>
      </w:r>
    </w:p>
    <w:p w14:paraId="7B985C8B" w14:textId="2712F9E4" w:rsidR="00D80B99" w:rsidRPr="00AF7716" w:rsidRDefault="00D80B99" w:rsidP="00D80B99">
      <w:pPr>
        <w:pStyle w:val="ListBullet"/>
      </w:pPr>
      <w:r w:rsidRPr="00AF7716">
        <w:t>Topographic map</w:t>
      </w:r>
    </w:p>
    <w:p w14:paraId="1F2341C0" w14:textId="6A2082BA" w:rsidR="00D80B99" w:rsidRPr="00AF7716" w:rsidRDefault="00D80B99" w:rsidP="00D80B99">
      <w:pPr>
        <w:pStyle w:val="ListBullet"/>
      </w:pPr>
      <w:r w:rsidRPr="00AF7716">
        <w:t>Site visit</w:t>
      </w:r>
    </w:p>
    <w:p w14:paraId="269E22F7" w14:textId="56F78824" w:rsidR="00D80B99" w:rsidRPr="00AF7716" w:rsidRDefault="00D80B99" w:rsidP="00D80B99">
      <w:pPr>
        <w:pStyle w:val="ListBullet"/>
      </w:pPr>
      <w:r w:rsidRPr="00AF7716">
        <w:t>Floodplain maps</w:t>
      </w:r>
    </w:p>
    <w:p w14:paraId="1BB02AC2" w14:textId="286CB886" w:rsidR="00D80B99" w:rsidRPr="00AF7716" w:rsidRDefault="00D80B99" w:rsidP="00D80B99">
      <w:pPr>
        <w:pStyle w:val="ListBullet"/>
      </w:pPr>
      <w:r w:rsidRPr="00AF7716">
        <w:t>National Wetland Inventory maps</w:t>
      </w:r>
    </w:p>
    <w:p w14:paraId="506523D3" w14:textId="208EC5C9" w:rsidR="00D80B99" w:rsidRPr="00AF7716" w:rsidRDefault="00D80B99" w:rsidP="00D80B99">
      <w:pPr>
        <w:pStyle w:val="ListBullet"/>
      </w:pPr>
      <w:r w:rsidRPr="00AF7716">
        <w:t>National Hydrologic Database maps</w:t>
      </w:r>
    </w:p>
    <w:p w14:paraId="531C3D34" w14:textId="4BBF1EA1" w:rsidR="00D80B99" w:rsidRPr="00AF7716" w:rsidRDefault="00D80B99" w:rsidP="00D80B99">
      <w:pPr>
        <w:pStyle w:val="ListBullet"/>
      </w:pPr>
      <w:r w:rsidRPr="00AF7716">
        <w:t>Soil surveys</w:t>
      </w:r>
    </w:p>
    <w:p w14:paraId="7D64CEC6" w14:textId="6A9EF3C0" w:rsidR="00D80B99" w:rsidRPr="00AF7716" w:rsidRDefault="00D80B99" w:rsidP="00D80B99">
      <w:pPr>
        <w:pStyle w:val="ListBullet"/>
      </w:pPr>
      <w:r w:rsidRPr="00AF7716">
        <w:t>National Hydric Soils List</w:t>
      </w:r>
    </w:p>
    <w:p w14:paraId="309E232B" w14:textId="48D091AF" w:rsidR="001C12E5" w:rsidRPr="00AF7716" w:rsidRDefault="00D80B99" w:rsidP="00D80B99">
      <w:r w:rsidRPr="00AF7716">
        <w:t xml:space="preserve">In completing the Section 404 and 10 Impacts Table, if there is any uncertainty regarding any of the determinations required, district </w:t>
      </w:r>
      <w:r w:rsidRPr="00AF7716">
        <w:lastRenderedPageBreak/>
        <w:t xml:space="preserve">environmental staff must discuss the issue with the appropriate ENV </w:t>
      </w:r>
      <w:r w:rsidR="00C86591">
        <w:t>S</w:t>
      </w:r>
      <w:r w:rsidRPr="00AF7716">
        <w:t xml:space="preserve">ubject </w:t>
      </w:r>
      <w:r w:rsidR="00C86591">
        <w:t>M</w:t>
      </w:r>
      <w:r w:rsidRPr="00AF7716">
        <w:t xml:space="preserve">atter </w:t>
      </w:r>
      <w:r w:rsidR="00C86591">
        <w:t>E</w:t>
      </w:r>
      <w:r w:rsidRPr="00AF7716">
        <w:t>xpert (SME) assigned to the respective district, United States Army Corps of Engineers (USACE) liaison, and or a USACE representative, as appropriate, prior to making the determination.</w:t>
      </w:r>
    </w:p>
    <w:p w14:paraId="7EE7E45C" w14:textId="011EEBF5" w:rsidR="00D80B99" w:rsidRPr="00AF7716" w:rsidRDefault="00D80B99" w:rsidP="009756D1">
      <w:pPr>
        <w:pStyle w:val="ListNumber"/>
        <w:contextualSpacing w:val="0"/>
      </w:pPr>
      <w:r w:rsidRPr="00AF7716">
        <w:t>In the header, replace “</w:t>
      </w:r>
      <w:r w:rsidR="009755E6">
        <w:t>[</w:t>
      </w:r>
      <w:r w:rsidRPr="00AF7716">
        <w:t>Project Name</w:t>
      </w:r>
      <w:r w:rsidR="009755E6">
        <w:t>]</w:t>
      </w:r>
      <w:r w:rsidRPr="00AF7716">
        <w:t>” with the name of the project.</w:t>
      </w:r>
    </w:p>
    <w:p w14:paraId="2130A9D7" w14:textId="5C1B5F47" w:rsidR="00D80B99" w:rsidRPr="00AF7716" w:rsidRDefault="00D80B99" w:rsidP="004F35A8">
      <w:pPr>
        <w:pStyle w:val="ListNumber"/>
        <w:contextualSpacing w:val="0"/>
      </w:pPr>
      <w:r w:rsidRPr="00AF7716">
        <w:t>In the header, replace “</w:t>
      </w:r>
      <w:r w:rsidR="009755E6">
        <w:t>[</w:t>
      </w:r>
      <w:r w:rsidRPr="00AF7716">
        <w:t>Control-Section-Job (CSJ</w:t>
      </w:r>
      <w:r w:rsidR="00BD4138">
        <w:t>[</w:t>
      </w:r>
      <w:r w:rsidRPr="00AF7716">
        <w:t>s</w:t>
      </w:r>
      <w:r w:rsidR="00BD4138">
        <w:t>]</w:t>
      </w:r>
      <w:r w:rsidRPr="00AF7716">
        <w:t>)</w:t>
      </w:r>
      <w:r w:rsidR="009755E6">
        <w:t>]</w:t>
      </w:r>
      <w:r w:rsidRPr="00AF7716">
        <w:t>” with the CSJ(s) for the project.</w:t>
      </w:r>
    </w:p>
    <w:p w14:paraId="62F05FDD" w14:textId="583C38A4" w:rsidR="00D80B99" w:rsidRPr="00AF7716" w:rsidRDefault="00D80B99" w:rsidP="004F35A8">
      <w:pPr>
        <w:pStyle w:val="ListNumber"/>
        <w:contextualSpacing w:val="0"/>
      </w:pPr>
      <w:r w:rsidRPr="00AF7716">
        <w:t>In the header, replace “</w:t>
      </w:r>
      <w:r w:rsidR="009755E6">
        <w:t>[</w:t>
      </w:r>
      <w:r w:rsidRPr="00AF7716">
        <w:t>USACE Project Number</w:t>
      </w:r>
      <w:r w:rsidR="009755E6">
        <w:t>]</w:t>
      </w:r>
      <w:r w:rsidRPr="00AF7716">
        <w:t>” with the USACE project number for the project, if known.</w:t>
      </w:r>
    </w:p>
    <w:p w14:paraId="3A9A9B6B" w14:textId="0EC1FAA9" w:rsidR="00D80B99" w:rsidRPr="00AF7716" w:rsidRDefault="00D80B99" w:rsidP="004F35A8">
      <w:pPr>
        <w:pStyle w:val="ListNumber"/>
        <w:contextualSpacing w:val="0"/>
      </w:pPr>
      <w:r w:rsidRPr="00AF7716">
        <w:t>In the header, replace “</w:t>
      </w:r>
      <w:r w:rsidR="009755E6">
        <w:t>[</w:t>
      </w:r>
      <w:r w:rsidRPr="00AF7716">
        <w:t>Date</w:t>
      </w:r>
      <w:r w:rsidR="009755E6">
        <w:t>]</w:t>
      </w:r>
      <w:r w:rsidRPr="00AF7716">
        <w:t>” with the date on which the spreadsheet is finalized.</w:t>
      </w:r>
    </w:p>
    <w:p w14:paraId="5849348E" w14:textId="3569E0E2" w:rsidR="00D80B99" w:rsidRPr="00AF7716" w:rsidRDefault="00D80B99" w:rsidP="004F35A8">
      <w:pPr>
        <w:pStyle w:val="ListNumber"/>
        <w:contextualSpacing w:val="0"/>
      </w:pPr>
      <w:r w:rsidRPr="00AF7716">
        <w:rPr>
          <w:b/>
          <w:bCs/>
        </w:rPr>
        <w:t>Column A</w:t>
      </w:r>
      <w:r w:rsidRPr="00AF7716">
        <w:t xml:space="preserve"> - The first column in the spreadsheet is labeled, “Crossing number.”  Leave this alone for now. It will be filled in later in the process as instructed below.</w:t>
      </w:r>
    </w:p>
    <w:p w14:paraId="0B721FE1" w14:textId="522904DF" w:rsidR="00D80B99" w:rsidRPr="00AF7716" w:rsidRDefault="00D80B99" w:rsidP="004F35A8">
      <w:pPr>
        <w:pStyle w:val="ListNumber"/>
        <w:contextualSpacing w:val="0"/>
      </w:pPr>
      <w:r w:rsidRPr="00AF7716">
        <w:rPr>
          <w:b/>
          <w:bCs/>
        </w:rPr>
        <w:t>Column B</w:t>
      </w:r>
      <w:r w:rsidRPr="00AF7716">
        <w:t xml:space="preserve"> - For the column labeled, “Waterbody or wetland number,” district environmental staff enters a number (</w:t>
      </w:r>
      <w:r w:rsidR="00613610" w:rsidRPr="00AF7716">
        <w:t>for example</w:t>
      </w:r>
      <w:r w:rsidRPr="00AF7716">
        <w:t>, “1,” “2,” “3,” etcetera) for each waterbody or wetland within the project area</w:t>
      </w:r>
      <w:r w:rsidR="00580F8D" w:rsidRPr="00AF7716">
        <w:t xml:space="preserve">. </w:t>
      </w:r>
      <w:r w:rsidRPr="00AF7716">
        <w:t>The numbering must be sequential from one end of the project to the other.</w:t>
      </w:r>
    </w:p>
    <w:p w14:paraId="660CE13B" w14:textId="25EECF86" w:rsidR="00D80B99" w:rsidRPr="00AF7716" w:rsidRDefault="00D80B99" w:rsidP="004F35A8">
      <w:pPr>
        <w:pStyle w:val="ListNumber"/>
        <w:contextualSpacing w:val="0"/>
      </w:pPr>
      <w:r w:rsidRPr="00AF7716">
        <w:rPr>
          <w:b/>
          <w:bCs/>
        </w:rPr>
        <w:t xml:space="preserve">Column C </w:t>
      </w:r>
      <w:r w:rsidRPr="00AF7716">
        <w:t>- For the column labeled, “Name,” if the waterbody or wetland already has a name (for example, Walden Pond), then district environmental staff enters that name</w:t>
      </w:r>
      <w:r w:rsidR="00580F8D" w:rsidRPr="00AF7716">
        <w:t xml:space="preserve">. </w:t>
      </w:r>
    </w:p>
    <w:p w14:paraId="37B215C4" w14:textId="6BD6D1BC" w:rsidR="00DE690B" w:rsidRPr="00AF7716" w:rsidRDefault="00DE690B" w:rsidP="00DE690B">
      <w:r w:rsidRPr="00AF7716">
        <w:t>If the waterbody or wetland is an unnamed tributary of a creek or river, then district environmental staff enters “unnamed tributary” with a reference to the creek or river (for example, “Unnamed tributary of Little Bear Creek”).</w:t>
      </w:r>
    </w:p>
    <w:p w14:paraId="318D1BBA" w14:textId="5650B541" w:rsidR="00DE690B" w:rsidRPr="00AF7716" w:rsidRDefault="00DE690B" w:rsidP="00DE690B">
      <w:r w:rsidRPr="00AF7716">
        <w:t xml:space="preserve">If the waterbody or wetland is not named and is not an unnamed tributary, district environmental staff enters “unnamed” followed by the type of </w:t>
      </w:r>
      <w:r w:rsidRPr="00AF7716">
        <w:lastRenderedPageBreak/>
        <w:t>waterbody or wetland, such as “stream,” “pond,” “drainage ditch,” etc</w:t>
      </w:r>
      <w:r w:rsidR="00A93469" w:rsidRPr="00AF7716">
        <w:t>etera</w:t>
      </w:r>
      <w:r w:rsidRPr="00AF7716">
        <w:t xml:space="preserve"> (</w:t>
      </w:r>
      <w:r w:rsidR="00A93469" w:rsidRPr="00AF7716">
        <w:t>for example</w:t>
      </w:r>
      <w:r w:rsidRPr="00AF7716">
        <w:t>, “Unnamed stream”).</w:t>
      </w:r>
    </w:p>
    <w:p w14:paraId="2D86B081" w14:textId="472BBE7B" w:rsidR="001A5617" w:rsidRPr="00AF7716" w:rsidRDefault="001A5617" w:rsidP="004F35A8">
      <w:pPr>
        <w:pStyle w:val="ListNumber"/>
      </w:pPr>
      <w:r w:rsidRPr="00AF7716">
        <w:rPr>
          <w:b/>
          <w:bCs/>
        </w:rPr>
        <w:t>Column D</w:t>
      </w:r>
      <w:r w:rsidRPr="00AF7716">
        <w:t xml:space="preserve"> - For the column labeled, “Type,” district environmental staff selects the appropriate response, according to the type of waterbody or wetland, from the following options in the drop-down menu:</w:t>
      </w:r>
    </w:p>
    <w:p w14:paraId="232E0D19" w14:textId="0D27957D" w:rsidR="001A5617" w:rsidRPr="00AF7716" w:rsidRDefault="001A5617" w:rsidP="001A5617">
      <w:pPr>
        <w:pStyle w:val="ListBullet"/>
      </w:pPr>
      <w:r w:rsidRPr="00AF7716">
        <w:t>Perennial stream</w:t>
      </w:r>
    </w:p>
    <w:p w14:paraId="38B92F74" w14:textId="55EF0110" w:rsidR="001A5617" w:rsidRPr="00AF7716" w:rsidRDefault="001A5617" w:rsidP="001A5617">
      <w:pPr>
        <w:pStyle w:val="ListBullet"/>
      </w:pPr>
      <w:r w:rsidRPr="00AF7716">
        <w:t>Intermittent stream</w:t>
      </w:r>
    </w:p>
    <w:p w14:paraId="335E57E6" w14:textId="5DA26D85" w:rsidR="001A5617" w:rsidRPr="00AF7716" w:rsidRDefault="001A5617" w:rsidP="001A5617">
      <w:pPr>
        <w:pStyle w:val="ListBullet"/>
      </w:pPr>
      <w:r w:rsidRPr="00AF7716">
        <w:t>Ephemeral stream</w:t>
      </w:r>
    </w:p>
    <w:p w14:paraId="455ED577" w14:textId="19358478" w:rsidR="001A5617" w:rsidRPr="00AF7716" w:rsidRDefault="001A5617" w:rsidP="001A5617">
      <w:pPr>
        <w:pStyle w:val="ListBullet"/>
      </w:pPr>
      <w:r w:rsidRPr="00AF7716">
        <w:t>Drainage ditch</w:t>
      </w:r>
    </w:p>
    <w:p w14:paraId="623017EF" w14:textId="4D851141" w:rsidR="001A5617" w:rsidRPr="00AF7716" w:rsidRDefault="001A5617" w:rsidP="001A5617">
      <w:pPr>
        <w:pStyle w:val="ListBullet"/>
      </w:pPr>
      <w:r w:rsidRPr="00AF7716">
        <w:t>Palustrine emergent</w:t>
      </w:r>
    </w:p>
    <w:p w14:paraId="6A1326A1" w14:textId="15239A91" w:rsidR="001A5617" w:rsidRPr="00AF7716" w:rsidRDefault="001A5617" w:rsidP="001A5617">
      <w:pPr>
        <w:pStyle w:val="ListBullet"/>
      </w:pPr>
      <w:r w:rsidRPr="00AF7716">
        <w:t>Estuarine emergent</w:t>
      </w:r>
    </w:p>
    <w:p w14:paraId="7BBDE386" w14:textId="5DCD4477" w:rsidR="001A5617" w:rsidRPr="00AF7716" w:rsidRDefault="001A5617" w:rsidP="001A5617">
      <w:pPr>
        <w:pStyle w:val="ListBullet"/>
      </w:pPr>
      <w:r w:rsidRPr="00AF7716">
        <w:t>Palustrine scrub-shrub</w:t>
      </w:r>
    </w:p>
    <w:p w14:paraId="3ECE813E" w14:textId="703A1EF5" w:rsidR="001A5617" w:rsidRPr="00AF7716" w:rsidRDefault="001A5617" w:rsidP="001A5617">
      <w:pPr>
        <w:pStyle w:val="ListBullet"/>
      </w:pPr>
      <w:r w:rsidRPr="00AF7716">
        <w:t>Palustrine forested</w:t>
      </w:r>
    </w:p>
    <w:p w14:paraId="13410137" w14:textId="45AE2512" w:rsidR="001A5617" w:rsidRPr="00AF7716" w:rsidRDefault="001A5617" w:rsidP="001A5617">
      <w:pPr>
        <w:pStyle w:val="ListBullet"/>
      </w:pPr>
      <w:r w:rsidRPr="00AF7716">
        <w:t>Playa lake</w:t>
      </w:r>
    </w:p>
    <w:p w14:paraId="3FD85EB7" w14:textId="22475BD9" w:rsidR="001A5617" w:rsidRPr="00AF7716" w:rsidRDefault="001A5617" w:rsidP="001A5617">
      <w:pPr>
        <w:pStyle w:val="ListBullet"/>
      </w:pPr>
      <w:r w:rsidRPr="00AF7716">
        <w:t>Open water</w:t>
      </w:r>
    </w:p>
    <w:p w14:paraId="6AB6741C" w14:textId="1E7642DB" w:rsidR="001A5617" w:rsidRPr="00AF7716" w:rsidRDefault="001A5617" w:rsidP="001A5617">
      <w:pPr>
        <w:pStyle w:val="ListBullet"/>
      </w:pPr>
      <w:r w:rsidRPr="00AF7716">
        <w:t>Pond</w:t>
      </w:r>
      <w:r w:rsidR="00C92601" w:rsidRPr="00AF7716">
        <w:t xml:space="preserve"> and or </w:t>
      </w:r>
      <w:r w:rsidRPr="00AF7716">
        <w:t>Impoundment</w:t>
      </w:r>
    </w:p>
    <w:p w14:paraId="74914A02" w14:textId="1049F223" w:rsidR="001A5617" w:rsidRPr="00AF7716" w:rsidRDefault="001A5617" w:rsidP="001A5617">
      <w:pPr>
        <w:pStyle w:val="ListBullet"/>
      </w:pPr>
      <w:r w:rsidRPr="00AF7716">
        <w:t>Other stream</w:t>
      </w:r>
    </w:p>
    <w:p w14:paraId="04D127E4" w14:textId="0C6BBC63" w:rsidR="001A5617" w:rsidRPr="00AF7716" w:rsidRDefault="001A5617" w:rsidP="001A5617">
      <w:pPr>
        <w:pStyle w:val="ListBullet"/>
      </w:pPr>
      <w:r w:rsidRPr="00AF7716">
        <w:t>Other wetland</w:t>
      </w:r>
    </w:p>
    <w:p w14:paraId="66F3FE5D" w14:textId="19B197E6" w:rsidR="001A5617" w:rsidRPr="00AF7716" w:rsidRDefault="001A5617" w:rsidP="001A5617">
      <w:pPr>
        <w:pStyle w:val="ListBullet"/>
      </w:pPr>
      <w:r w:rsidRPr="00AF7716">
        <w:t>Other non-stream, non-wetland waterbody</w:t>
      </w:r>
    </w:p>
    <w:p w14:paraId="397219E4" w14:textId="199C2161" w:rsidR="001A5617" w:rsidRPr="00AF7716" w:rsidRDefault="001A5617" w:rsidP="004F35A8">
      <w:pPr>
        <w:pStyle w:val="ListNumber"/>
        <w:contextualSpacing w:val="0"/>
      </w:pPr>
      <w:r w:rsidRPr="00AF7716">
        <w:rPr>
          <w:b/>
          <w:bCs/>
        </w:rPr>
        <w:t>Column E</w:t>
      </w:r>
      <w:r w:rsidRPr="00AF7716">
        <w:t xml:space="preserve"> - For the column labeled, “Latitude, Longitude,” district environmental staff enters the latitude and longitude for a point that represents the approximate center of the waterbody or wetland. </w:t>
      </w:r>
    </w:p>
    <w:p w14:paraId="69580D14" w14:textId="2B0E18E8" w:rsidR="001A5617" w:rsidRPr="00AF7716" w:rsidRDefault="001A5617" w:rsidP="004F35A8">
      <w:pPr>
        <w:pStyle w:val="ListNumber"/>
        <w:contextualSpacing w:val="0"/>
      </w:pPr>
      <w:r w:rsidRPr="00AF7716">
        <w:rPr>
          <w:b/>
          <w:bCs/>
        </w:rPr>
        <w:t>Column F</w:t>
      </w:r>
      <w:r w:rsidRPr="00AF7716">
        <w:t xml:space="preserve"> - For the column labeled, “Acres within project area (all waterbodies and wetlands),” district environmental staff enters the total acreage of the waterbody or wetland that is located within the project area. This information must be entered for all waterbodies and wetlands.</w:t>
      </w:r>
    </w:p>
    <w:p w14:paraId="71FA9C84" w14:textId="276F0170" w:rsidR="001A5617" w:rsidRPr="00AF7716" w:rsidRDefault="001A5617" w:rsidP="004F35A8">
      <w:pPr>
        <w:pStyle w:val="ListNumber"/>
        <w:contextualSpacing w:val="0"/>
      </w:pPr>
      <w:r w:rsidRPr="00AF7716">
        <w:rPr>
          <w:b/>
          <w:bCs/>
        </w:rPr>
        <w:t xml:space="preserve">Column G </w:t>
      </w:r>
      <w:r w:rsidRPr="00AF7716">
        <w:t xml:space="preserve">- For the column labeled, “Linear feet within project area (streams only),” district environmental staff enters the total linear feet of the stream that is located within the project area. A “stream” includes all linear </w:t>
      </w:r>
      <w:r w:rsidRPr="00AF7716">
        <w:lastRenderedPageBreak/>
        <w:t>features that would be regulated as a stream, such as a creek, river, drainage ditch, canal, bayou, etc</w:t>
      </w:r>
      <w:r w:rsidR="005101A9" w:rsidRPr="00AF7716">
        <w:t>etera</w:t>
      </w:r>
      <w:r w:rsidRPr="00AF7716">
        <w:t>. This information must be entered for all waterbodies that would be considered streams or similar linear features.</w:t>
      </w:r>
    </w:p>
    <w:p w14:paraId="36537581" w14:textId="55616136" w:rsidR="001A5617" w:rsidRPr="00AF7716" w:rsidRDefault="001A5617" w:rsidP="004F35A8">
      <w:pPr>
        <w:pStyle w:val="ListNumber"/>
        <w:contextualSpacing w:val="0"/>
      </w:pPr>
      <w:r w:rsidRPr="00AF7716">
        <w:rPr>
          <w:b/>
          <w:bCs/>
        </w:rPr>
        <w:t>Column H</w:t>
      </w:r>
      <w:r w:rsidRPr="00AF7716">
        <w:t xml:space="preserve"> - For the column labeled “Section 404 (waters of the United States </w:t>
      </w:r>
      <w:r w:rsidR="00902BD2">
        <w:t>[</w:t>
      </w:r>
      <w:r w:rsidRPr="00AF7716">
        <w:t>U.S.</w:t>
      </w:r>
      <w:r w:rsidR="00902BD2">
        <w:t>]</w:t>
      </w:r>
      <w:r w:rsidRPr="00AF7716">
        <w:t>),” district environmental staff determines whether or not the waterbody or wetland is potentially a jurisdictional “water of the U.S.” in accordance with the current definition of “waters of the U.S.” in Texas and selects the appropriate response from the following options in the drop-down menu:</w:t>
      </w:r>
    </w:p>
    <w:p w14:paraId="3ACFB1F3" w14:textId="5BB7C2AA" w:rsidR="001A5617" w:rsidRPr="00AF7716" w:rsidRDefault="001A5617" w:rsidP="001A5617">
      <w:pPr>
        <w:pStyle w:val="ListBullet"/>
      </w:pPr>
      <w:r w:rsidRPr="00AF7716">
        <w:t>“Yes”</w:t>
      </w:r>
    </w:p>
    <w:p w14:paraId="4CEA9A2F" w14:textId="186F63E1" w:rsidR="001A5617" w:rsidRPr="00AF7716" w:rsidRDefault="001A5617" w:rsidP="001A5617">
      <w:pPr>
        <w:pStyle w:val="ListBullet"/>
      </w:pPr>
      <w:r w:rsidRPr="00AF7716">
        <w:t>“No”</w:t>
      </w:r>
    </w:p>
    <w:p w14:paraId="3659C22C" w14:textId="4DF069CD" w:rsidR="00A93469" w:rsidRPr="00AF7716" w:rsidRDefault="001A5617" w:rsidP="004F35A8">
      <w:pPr>
        <w:pStyle w:val="ListNumber"/>
      </w:pPr>
      <w:r w:rsidRPr="00AF7716">
        <w:rPr>
          <w:b/>
          <w:bCs/>
        </w:rPr>
        <w:t>Column I</w:t>
      </w:r>
      <w:r w:rsidRPr="00AF7716">
        <w:t xml:space="preserve"> - For the column labeled “Section10 (navigable waters),” district environmental staff determines whether or not the waterbody is navigable under Section 10 of the Rivers and Harbors Act by contacting the appropriate USACE district office (if necessary), and selects the appropriate response from the following options in the drop-down menu:</w:t>
      </w:r>
    </w:p>
    <w:p w14:paraId="55684F00" w14:textId="759EE15D" w:rsidR="00D06D9E" w:rsidRPr="00AF7716" w:rsidRDefault="00D06D9E" w:rsidP="00D06D9E">
      <w:pPr>
        <w:pStyle w:val="ListBullet"/>
      </w:pPr>
      <w:r w:rsidRPr="00AF7716">
        <w:t>“Yes”</w:t>
      </w:r>
    </w:p>
    <w:p w14:paraId="0C1A72E4" w14:textId="75321B9B" w:rsidR="00D06D9E" w:rsidRPr="00AF7716" w:rsidRDefault="00D06D9E" w:rsidP="00ED5883">
      <w:pPr>
        <w:pStyle w:val="ListBullet"/>
        <w:spacing w:before="240"/>
      </w:pPr>
      <w:r w:rsidRPr="00AF7716">
        <w:t>“No”</w:t>
      </w:r>
    </w:p>
    <w:p w14:paraId="53D919B3" w14:textId="0972AB2A" w:rsidR="00F40A7E" w:rsidRPr="00AF7716" w:rsidRDefault="00F40A7E" w:rsidP="004F35A8">
      <w:pPr>
        <w:pStyle w:val="ListNumber"/>
      </w:pPr>
      <w:r w:rsidRPr="00AF7716">
        <w:rPr>
          <w:b/>
          <w:bCs/>
        </w:rPr>
        <w:t>Columns J, K, M, N, P, Q, S, and T</w:t>
      </w:r>
      <w:r w:rsidRPr="00AF7716">
        <w:t xml:space="preserve"> - Under the groups of columns labeled, “Total Section 404 impacts for WATERBODY OR WETLAND” and “Total Section 404 impacts for CROSSING,” there are eight columns for the acreage and</w:t>
      </w:r>
      <w:r w:rsidR="00E10CEE" w:rsidRPr="00AF7716">
        <w:t xml:space="preserve"> </w:t>
      </w:r>
      <w:r w:rsidRPr="00AF7716">
        <w:t>or linear feet of various types of Section 404 impacts. District environmental staff enters numeric values under these columns only for those waterbodies or wetlands and crossings for which the answers under one or both of the “Section 404 (waters of the U.S.)” and “Section 10 (navigable waters)” columns is “Yes.”</w:t>
      </w:r>
    </w:p>
    <w:p w14:paraId="55ADF288" w14:textId="7D05E930" w:rsidR="002E6CAC" w:rsidRPr="00AF7716" w:rsidRDefault="00F40A7E" w:rsidP="0055667A">
      <w:r w:rsidRPr="00AF7716">
        <w:t>For all other waterbodies or wetlands (</w:t>
      </w:r>
      <w:r w:rsidR="003B46FA" w:rsidRPr="00AF7716">
        <w:t>for example</w:t>
      </w:r>
      <w:r w:rsidRPr="00AF7716">
        <w:t xml:space="preserve">, those that do not have at least one “Yes” under the “Section 404 (waters of the U.S.)” and “Section </w:t>
      </w:r>
      <w:r w:rsidRPr="00AF7716">
        <w:lastRenderedPageBreak/>
        <w:t>10 (navigable waters)” columns, district environmental staff enters “N</w:t>
      </w:r>
      <w:r w:rsidR="00DF147E" w:rsidRPr="00AF7716">
        <w:t xml:space="preserve">ot </w:t>
      </w:r>
      <w:r w:rsidRPr="00AF7716">
        <w:t>A</w:t>
      </w:r>
      <w:r w:rsidR="00DF147E" w:rsidRPr="00AF7716">
        <w:t>pplicable</w:t>
      </w:r>
      <w:r w:rsidRPr="00AF7716">
        <w:t>.”</w:t>
      </w:r>
    </w:p>
    <w:p w14:paraId="2EB0B5D0" w14:textId="1DC0DF29" w:rsidR="003B46FA" w:rsidRPr="00AF7716" w:rsidRDefault="00F40A7E" w:rsidP="0055667A">
      <w:r w:rsidRPr="00AF7716">
        <w:t xml:space="preserve">Instructions for </w:t>
      </w:r>
      <w:r w:rsidR="00635BE9" w:rsidRPr="00AF7716">
        <w:t>filling in</w:t>
      </w:r>
      <w:r w:rsidRPr="00AF7716">
        <w:t xml:space="preserve"> the specific columns in these sections are set forth below.</w:t>
      </w:r>
    </w:p>
    <w:p w14:paraId="0796AFC8" w14:textId="19E88961" w:rsidR="00693141" w:rsidRPr="00AF7716" w:rsidRDefault="00F40A7E" w:rsidP="004F35A8">
      <w:pPr>
        <w:pStyle w:val="ListNumber"/>
        <w:contextualSpacing w:val="0"/>
      </w:pPr>
      <w:r w:rsidRPr="00AF7716">
        <w:rPr>
          <w:b/>
          <w:bCs/>
        </w:rPr>
        <w:t>Columns J, K, M, and N</w:t>
      </w:r>
      <w:r w:rsidRPr="00AF7716">
        <w:t xml:space="preserve"> - Under the group of columns labeled, “Total Section 404 impacts for WATERBODY OR WETLAND,” if the waterbody or wetland is a non-stream, district environmental staff enters the acreage of temporary and permanent Section 404 impacts under each of the columns labeled, “Temporary waterbody or wetland impacts (acres),” and “Permanent waterbody or wetland impacts (acres),” respectively.  Round acreages to the nearest hundredth (</w:t>
      </w:r>
      <w:r w:rsidR="00635BE9" w:rsidRPr="00AF7716">
        <w:t>for example</w:t>
      </w:r>
      <w:r w:rsidRPr="00AF7716">
        <w:t>, “0.42”)</w:t>
      </w:r>
      <w:r w:rsidR="004214B1" w:rsidRPr="00AF7716">
        <w:t xml:space="preserve">. </w:t>
      </w:r>
      <w:r w:rsidRPr="00AF7716">
        <w:t>If there are no such impacts, enter “0.”</w:t>
      </w:r>
    </w:p>
    <w:p w14:paraId="2F1FB027" w14:textId="7E927A01" w:rsidR="00693141" w:rsidRPr="00AF7716" w:rsidRDefault="00F40A7E" w:rsidP="00693141">
      <w:pPr>
        <w:pStyle w:val="ListNumber"/>
        <w:numPr>
          <w:ilvl w:val="0"/>
          <w:numId w:val="0"/>
        </w:numPr>
        <w:contextualSpacing w:val="0"/>
      </w:pPr>
      <w:r w:rsidRPr="00AF7716">
        <w:t>If the waterbody or wetland is a stream, district environmental staff enters both the linear feet and acreage of temporary and permanent Section 404 impacts under each of the columns labeled, “Temporary stream impacts (linear feet</w:t>
      </w:r>
      <w:r w:rsidR="00001772" w:rsidRPr="00AF7716">
        <w:t xml:space="preserve"> and </w:t>
      </w:r>
      <w:r w:rsidRPr="00AF7716">
        <w:t>acres)” and “Permanent stream impacts (linear feet</w:t>
      </w:r>
      <w:r w:rsidR="00001772" w:rsidRPr="00AF7716">
        <w:t xml:space="preserve"> and </w:t>
      </w:r>
      <w:r w:rsidRPr="00AF7716">
        <w:t>acres),” respectively. Round linear feet to the nearest foot and acreage to the nearest hundredth (for example, “97” and “0.42,” respectively)</w:t>
      </w:r>
      <w:r w:rsidR="004214B1" w:rsidRPr="00AF7716">
        <w:t xml:space="preserve">. </w:t>
      </w:r>
      <w:r w:rsidRPr="00AF7716">
        <w:t>If there are no such impacts, enter “0.”</w:t>
      </w:r>
    </w:p>
    <w:p w14:paraId="7449018E" w14:textId="11086166" w:rsidR="00F40A7E" w:rsidRPr="004F35A8" w:rsidRDefault="00F40A7E" w:rsidP="004F35A8">
      <w:pPr>
        <w:pStyle w:val="ListNumber"/>
        <w:contextualSpacing w:val="0"/>
      </w:pPr>
      <w:r w:rsidRPr="004F35A8">
        <w:t xml:space="preserve">Column A (yes, we’re finally getting back to Column A now) - For those waterbodies or wetlands for which the answers under one or both of the “Section 404 (waters of the U.S.)” and “Section 10 (navigable waters)” columns is “Yes,” district environmental staff must group them into “crossings.” </w:t>
      </w:r>
    </w:p>
    <w:p w14:paraId="2FCD8864" w14:textId="0A134F60" w:rsidR="00F40A7E" w:rsidRPr="00AF7716" w:rsidRDefault="00F40A7E" w:rsidP="00DF147E">
      <w:r w:rsidRPr="00AF7716">
        <w:t>For any waterbody or wetland for which the answer(s) under one or both of</w:t>
      </w:r>
      <w:r w:rsidR="00693141" w:rsidRPr="00AF7716">
        <w:t xml:space="preserve"> </w:t>
      </w:r>
      <w:r w:rsidRPr="00AF7716">
        <w:t>the “Section 404 (waters of the U.S.)” and “Section 10 (navigable waters)” columns is “Yes,” district environmental staff determines</w:t>
      </w:r>
    </w:p>
    <w:p w14:paraId="7AF63C11" w14:textId="154C8C63" w:rsidR="00F40A7E" w:rsidRPr="00AF7716" w:rsidRDefault="00F40A7E" w:rsidP="00DF147E">
      <w:pPr>
        <w:pStyle w:val="ListBullet"/>
      </w:pPr>
      <w:r w:rsidRPr="00AF7716">
        <w:t>the waterbody or wetland represents a single and complete “crossing;” or</w:t>
      </w:r>
    </w:p>
    <w:p w14:paraId="536B4CEA" w14:textId="017AFA59" w:rsidR="00F40A7E" w:rsidRPr="00AF7716" w:rsidRDefault="00F40A7E" w:rsidP="00DF147E">
      <w:pPr>
        <w:pStyle w:val="ListBullet"/>
      </w:pPr>
      <w:r w:rsidRPr="00AF7716">
        <w:lastRenderedPageBreak/>
        <w:t>the waterbody or wetland is part of a group of waterbodies and</w:t>
      </w:r>
      <w:r w:rsidR="00DF147E" w:rsidRPr="00AF7716">
        <w:t xml:space="preserve"> </w:t>
      </w:r>
      <w:r w:rsidRPr="00AF7716">
        <w:t>or wetlands that, together, represent a single and complete “crossing.”</w:t>
      </w:r>
    </w:p>
    <w:p w14:paraId="567286D9" w14:textId="1664CAAB" w:rsidR="00F40A7E" w:rsidRPr="00AF7716" w:rsidRDefault="00F40A7E" w:rsidP="0055667A">
      <w:pPr>
        <w:pStyle w:val="ListNumber"/>
      </w:pPr>
      <w:r w:rsidRPr="00AF7716">
        <w:t>Once district environmental staff has grouped any waterbodies and wetlands into one or multiple crossings, district environmental staff assigns each crossing a number (</w:t>
      </w:r>
      <w:r w:rsidR="00693141" w:rsidRPr="00AF7716">
        <w:t>for example</w:t>
      </w:r>
      <w:r w:rsidRPr="00AF7716">
        <w:t>, “1,” “2,” “3,” etc</w:t>
      </w:r>
      <w:r w:rsidR="009D110D" w:rsidRPr="00AF7716">
        <w:t>etera</w:t>
      </w:r>
      <w:r w:rsidRPr="00AF7716">
        <w:t>) and, for crossings that have more than one water body or wetland, assigns each water body or wetland within that crossing a number</w:t>
      </w:r>
      <w:r w:rsidR="00B77DF5" w:rsidRPr="00AF7716">
        <w:t xml:space="preserve"> and </w:t>
      </w:r>
      <w:r w:rsidRPr="00AF7716">
        <w:t>letter combination (</w:t>
      </w:r>
      <w:r w:rsidR="00E845D6" w:rsidRPr="00AF7716">
        <w:t>for example</w:t>
      </w:r>
      <w:r w:rsidRPr="00AF7716">
        <w:t>, “1A,” “1B,” “2A,” etc</w:t>
      </w:r>
      <w:r w:rsidR="00E845D6" w:rsidRPr="00AF7716">
        <w:t>etera</w:t>
      </w:r>
      <w:r w:rsidRPr="00AF7716">
        <w:t>). The numbering and lettering must be sequential and alphabetical, respectively, from one end of the project to the other, with the lettering being a subset of the numbering.</w:t>
      </w:r>
    </w:p>
    <w:p w14:paraId="02AC0482" w14:textId="17F00D28" w:rsidR="00F40A7E" w:rsidRPr="00AF7716" w:rsidRDefault="00F40A7E" w:rsidP="00E845D6">
      <w:r w:rsidRPr="00AF7716">
        <w:t>For any such waterbodies or wetlands, district environmental staff enters the</w:t>
      </w:r>
      <w:r w:rsidR="00E845D6" w:rsidRPr="00AF7716">
        <w:t xml:space="preserve"> </w:t>
      </w:r>
      <w:r w:rsidRPr="00AF7716">
        <w:t>number or number</w:t>
      </w:r>
      <w:r w:rsidR="00551A3A" w:rsidRPr="00AF7716">
        <w:t xml:space="preserve"> and </w:t>
      </w:r>
      <w:r w:rsidRPr="00AF7716">
        <w:t>letter combination for that waterbody or wetland in the column labeled, “Crossing number,” on the far left-hand side of the spreadsheet.</w:t>
      </w:r>
    </w:p>
    <w:p w14:paraId="29D41D19" w14:textId="6D97B7C4" w:rsidR="00D06D9E" w:rsidRPr="00AF7716" w:rsidRDefault="00F40A7E" w:rsidP="00E845D6">
      <w:r w:rsidRPr="00AF7716">
        <w:t>Not all waterbodies and wetlands in the spreadsheet will have a “Crossing number.”  Only those waterbodies or wetlands for which the answers under one or both of the “Section 404 (waters of the U.S.)” and “Section 10 (navigable waters)” columns is “Yes,” will have a “Crossing number.”  For all other waterbodies or wetlands in the spreadsheet, leave the cells in the column labeled, “Crossing number,” blank.</w:t>
      </w:r>
    </w:p>
    <w:p w14:paraId="38D3699F" w14:textId="4A9929C3" w:rsidR="00DF147E" w:rsidRPr="00AF7716" w:rsidRDefault="00DF147E" w:rsidP="0055667A">
      <w:pPr>
        <w:pStyle w:val="ListNumber"/>
      </w:pPr>
      <w:r w:rsidRPr="00AF7716">
        <w:rPr>
          <w:b/>
          <w:bCs/>
        </w:rPr>
        <w:t>Columns L, O, R, and U</w:t>
      </w:r>
      <w:r w:rsidRPr="00AF7716">
        <w:t xml:space="preserve"> – Under the group of columns labeled, “Total Section 404 impacts for WATERBODY OR WETLAND” and “Total Section 404 impacts for CROSSING,” there are four columns for the </w:t>
      </w:r>
      <w:r w:rsidR="00EC6A57">
        <w:t>C</w:t>
      </w:r>
      <w:r w:rsidRPr="00AF7716">
        <w:t xml:space="preserve">ubic </w:t>
      </w:r>
      <w:r w:rsidR="00EC6A57">
        <w:t>Y</w:t>
      </w:r>
      <w:r w:rsidRPr="00AF7716">
        <w:t>ards (CY) of fill material to be temporarily and permanently discharged. District environmental staff enters numeric values under these columns only for those waterbodies or wetlands and crossings for which the answers under one or both of the “Section 404 (waters of the U.S.)” and “Section 10 (navigable waters)” columns is “Yes.”</w:t>
      </w:r>
    </w:p>
    <w:p w14:paraId="2187CE08" w14:textId="311AB47D" w:rsidR="00DF147E" w:rsidRPr="00AF7716" w:rsidRDefault="00DF147E" w:rsidP="00DF147E">
      <w:r w:rsidRPr="00AF7716">
        <w:lastRenderedPageBreak/>
        <w:t>For all other waterbodies or wetlands (</w:t>
      </w:r>
      <w:r w:rsidR="00551A3A" w:rsidRPr="00AF7716">
        <w:t>for example</w:t>
      </w:r>
      <w:r w:rsidRPr="00AF7716">
        <w:t>, those that do not have at least one “Yes” under the “Section 404 (waters of the U.S.)” and “Section 10 (navigable waters)” columns, district environmental staff enters “N</w:t>
      </w:r>
      <w:r w:rsidR="00551A3A" w:rsidRPr="00AF7716">
        <w:t xml:space="preserve">ot </w:t>
      </w:r>
      <w:r w:rsidRPr="00AF7716">
        <w:t>A</w:t>
      </w:r>
      <w:r w:rsidR="00551A3A" w:rsidRPr="00AF7716">
        <w:t>pplicable</w:t>
      </w:r>
      <w:r w:rsidRPr="00AF7716">
        <w:t>.”</w:t>
      </w:r>
    </w:p>
    <w:p w14:paraId="71F7D781" w14:textId="328C6BD5" w:rsidR="00DF147E" w:rsidRPr="00AF7716" w:rsidRDefault="00DF147E" w:rsidP="00DF147E">
      <w:r w:rsidRPr="00AF7716">
        <w:t xml:space="preserve">Instructions for </w:t>
      </w:r>
      <w:r w:rsidR="00551A3A" w:rsidRPr="00AF7716">
        <w:t>filling in</w:t>
      </w:r>
      <w:r w:rsidRPr="00AF7716">
        <w:t xml:space="preserve"> the specific columns in these sections are set forth below.</w:t>
      </w:r>
    </w:p>
    <w:p w14:paraId="4C135E75" w14:textId="08E15539" w:rsidR="00DF147E" w:rsidRPr="00AF7716" w:rsidRDefault="00DF147E" w:rsidP="00341F9E">
      <w:pPr>
        <w:pStyle w:val="ListNumber"/>
        <w:contextualSpacing w:val="0"/>
      </w:pPr>
      <w:r w:rsidRPr="00AF7716">
        <w:rPr>
          <w:b/>
          <w:bCs/>
        </w:rPr>
        <w:t>Columns L and O</w:t>
      </w:r>
      <w:r w:rsidRPr="00AF7716">
        <w:t xml:space="preserve"> – Under the group of columns labeled, “Total Section 404 impacts for WATERBODY OR WETLAND,” if placement of fill material is proposed, district environmental staff enters the CY of temporary and permanent fill material to be placed in the waterbody or wetland under each of the columns labeled, “Cubic yards (CY) of fill material to be temporarily discharged” and “Cubic yards (CY) of fill material to be permanently discharged,” respectively. Round CY to the nearest hundredth (</w:t>
      </w:r>
      <w:r w:rsidR="00551A3A" w:rsidRPr="00AF7716">
        <w:t>for example</w:t>
      </w:r>
      <w:r w:rsidRPr="00AF7716">
        <w:t>, “2.67”)</w:t>
      </w:r>
      <w:r w:rsidR="004214B1" w:rsidRPr="00AF7716">
        <w:t xml:space="preserve">. </w:t>
      </w:r>
      <w:r w:rsidRPr="00AF7716">
        <w:t>If there are no such impacts, enter “0.”</w:t>
      </w:r>
    </w:p>
    <w:p w14:paraId="1E1B8C3E" w14:textId="61354607" w:rsidR="00DF147E" w:rsidRPr="00AF7716" w:rsidRDefault="00DF147E" w:rsidP="00341F9E">
      <w:pPr>
        <w:pStyle w:val="ListNumber"/>
        <w:contextualSpacing w:val="0"/>
      </w:pPr>
      <w:r w:rsidRPr="00AF7716">
        <w:rPr>
          <w:b/>
          <w:bCs/>
        </w:rPr>
        <w:t>Columns P, Q, S, and T</w:t>
      </w:r>
      <w:r w:rsidRPr="00AF7716">
        <w:t xml:space="preserve"> - Under the group of columns labeled, “Total Section 404 impacts for CROSSING,” for each single and complete crossing, if there are non-stream impacts, district environmental staff enters the acreage of temporary and permanent Section 404 impacts under each of the columns labeled, “Temporary waterbody or wetland impacts (acres),” and “Permanent waterbody or wetland impacts (acres),” respectively. Round acreages to the nearest hundredth (</w:t>
      </w:r>
      <w:r w:rsidR="00551A3A" w:rsidRPr="00AF7716">
        <w:t>for example</w:t>
      </w:r>
      <w:r w:rsidRPr="00AF7716">
        <w:t>, “0.42”)</w:t>
      </w:r>
      <w:r w:rsidR="004214B1" w:rsidRPr="00AF7716">
        <w:t xml:space="preserve">. </w:t>
      </w:r>
      <w:r w:rsidRPr="00AF7716">
        <w:t xml:space="preserve">If there are no such impacts, enter “0.” </w:t>
      </w:r>
    </w:p>
    <w:p w14:paraId="21DFE2EB" w14:textId="27EBE89B" w:rsidR="00DF147E" w:rsidRPr="00AF7716" w:rsidRDefault="00DF147E" w:rsidP="00DF147E">
      <w:r w:rsidRPr="00AF7716">
        <w:t>For each single and complete crossing, if there are stream impacts, district environmental staff enters both the linear feet and acreage of temporary and permanent Section 404 impacts under each of the columns labeled, “Temporary stream impacts (linear feet</w:t>
      </w:r>
      <w:r w:rsidR="000A3FF8" w:rsidRPr="00AF7716">
        <w:t xml:space="preserve"> </w:t>
      </w:r>
      <w:r w:rsidR="00DD3CA8" w:rsidRPr="00AF7716">
        <w:t>and</w:t>
      </w:r>
      <w:r w:rsidR="000A3FF8" w:rsidRPr="00AF7716">
        <w:t xml:space="preserve"> </w:t>
      </w:r>
      <w:r w:rsidRPr="00AF7716">
        <w:t>acres)” and “Permanent stream impacts (linear feet</w:t>
      </w:r>
      <w:r w:rsidR="000A3FF8" w:rsidRPr="00AF7716">
        <w:t xml:space="preserve"> </w:t>
      </w:r>
      <w:r w:rsidR="00DD3CA8" w:rsidRPr="00AF7716">
        <w:t>and</w:t>
      </w:r>
      <w:r w:rsidR="000A3FF8" w:rsidRPr="00AF7716">
        <w:t xml:space="preserve"> </w:t>
      </w:r>
      <w:r w:rsidRPr="00AF7716">
        <w:t>acres),” respectively</w:t>
      </w:r>
      <w:r w:rsidR="004214B1" w:rsidRPr="00AF7716">
        <w:t xml:space="preserve">. </w:t>
      </w:r>
      <w:r w:rsidRPr="00AF7716">
        <w:t>Round linear feet to the nearest foot and acreage to the nearest hundredth (</w:t>
      </w:r>
      <w:r w:rsidR="00D77F2D" w:rsidRPr="00AF7716">
        <w:t>for example</w:t>
      </w:r>
      <w:r w:rsidRPr="00AF7716">
        <w:t>, “97” and “0.42,” respectively)</w:t>
      </w:r>
      <w:r w:rsidR="004214B1" w:rsidRPr="00AF7716">
        <w:t xml:space="preserve">. </w:t>
      </w:r>
      <w:r w:rsidRPr="00AF7716">
        <w:t>If there are no such impacts, enter “0.”</w:t>
      </w:r>
    </w:p>
    <w:p w14:paraId="25111449" w14:textId="67A4E927" w:rsidR="00DF147E" w:rsidRPr="00AF7716" w:rsidRDefault="00DF147E" w:rsidP="00DF147E">
      <w:r w:rsidRPr="00AF7716">
        <w:lastRenderedPageBreak/>
        <w:t>The numeric values entered under these columns must represent the total number of acres and</w:t>
      </w:r>
      <w:r w:rsidR="00FD2D5C" w:rsidRPr="00AF7716">
        <w:t xml:space="preserve"> </w:t>
      </w:r>
      <w:r w:rsidRPr="00AF7716">
        <w:t>or linear feet of Section 404 impacts for the entire crossing</w:t>
      </w:r>
      <w:r w:rsidR="004214B1" w:rsidRPr="00AF7716">
        <w:t xml:space="preserve">. </w:t>
      </w:r>
      <w:r w:rsidRPr="00AF7716">
        <w:t>Only enter these values in the row for the first waterbody or wetland that was determined to be part of the “crossing.”  In other words, do not repeat the same total number of acres or linear feet for multiple waterbodies or wetlands within the same “crossing.”  For example, if a crossing was comprised of three waterbodies, “1A,” “1B,” and “1C,” and the total acreage of Section 404 impacts for all three was 0.25, then district environmental staff would enter “0.25” in the row for “1A,” and would leave the rows for “1B” and “1C” blank.</w:t>
      </w:r>
    </w:p>
    <w:p w14:paraId="1B43EFDE" w14:textId="544F8315" w:rsidR="00DF147E" w:rsidRPr="00AF7716" w:rsidRDefault="00DF147E" w:rsidP="00C00464">
      <w:pPr>
        <w:pStyle w:val="ListNumber"/>
      </w:pPr>
      <w:r w:rsidRPr="00AF7716">
        <w:rPr>
          <w:b/>
          <w:bCs/>
        </w:rPr>
        <w:t>Columns R and U</w:t>
      </w:r>
      <w:r w:rsidRPr="00AF7716">
        <w:t xml:space="preserve"> – Under the group of columns labeled, “Total Section 404 impacts for CROSSING,” if placement of fill material is proposed, district environmental staff enters the CY of temporary and permanent fill material to be placed in the crossing under each of the columns labeled, “Cubic yards (CY) of fill material to be temporarily discharged” and “Cubic yards (CY) of fill material to be permanently discharged,” respectively. Round CY to the nearest hundredth (</w:t>
      </w:r>
      <w:r w:rsidR="00794DD7" w:rsidRPr="00AF7716">
        <w:t>for example</w:t>
      </w:r>
      <w:r w:rsidRPr="00AF7716">
        <w:t>, “2.67”)</w:t>
      </w:r>
      <w:r w:rsidR="004214B1" w:rsidRPr="00AF7716">
        <w:t xml:space="preserve">. </w:t>
      </w:r>
      <w:r w:rsidRPr="00AF7716">
        <w:t>If there are no such impacts, enter “0.”</w:t>
      </w:r>
    </w:p>
    <w:p w14:paraId="1855C5BB" w14:textId="5EE0A732" w:rsidR="00DF147E" w:rsidRPr="00AF7716" w:rsidRDefault="00DF147E" w:rsidP="00DF147E">
      <w:r w:rsidRPr="00AF7716">
        <w:t>The numeric values entered under these columns must represent the total CY of fill for the entire crossing</w:t>
      </w:r>
      <w:r w:rsidR="004214B1" w:rsidRPr="00AF7716">
        <w:t xml:space="preserve">. </w:t>
      </w:r>
      <w:r w:rsidRPr="00AF7716">
        <w:t>Only enter these values in the row for the first waterbody or wetland that was determined to be part of the crossing</w:t>
      </w:r>
      <w:r w:rsidR="004214B1" w:rsidRPr="00AF7716">
        <w:t xml:space="preserve">. </w:t>
      </w:r>
      <w:r w:rsidRPr="00AF7716">
        <w:t>In other words, do not repeat the same total CY of fill for multiple waterbodies or wetlands within the same crossing</w:t>
      </w:r>
      <w:r w:rsidR="004214B1" w:rsidRPr="00AF7716">
        <w:t xml:space="preserve">. </w:t>
      </w:r>
      <w:r w:rsidRPr="00AF7716">
        <w:t>For example, if a crossing was comprised of three waterbodies, “1A,” “1B,” and “1C,” and the total CY of fill for all three was 2.67, then district environmental staff would enter “2.67” in the row for “1A,” and would leave the rows for “1B” and “1C” blank.</w:t>
      </w:r>
    </w:p>
    <w:p w14:paraId="2D8F659C" w14:textId="781A9BED" w:rsidR="00DF147E" w:rsidRPr="00AF7716" w:rsidRDefault="00DF147E" w:rsidP="00C00464">
      <w:pPr>
        <w:pStyle w:val="ListNumber"/>
      </w:pPr>
      <w:r w:rsidRPr="00AF7716">
        <w:rPr>
          <w:b/>
          <w:bCs/>
        </w:rPr>
        <w:t>Column V</w:t>
      </w:r>
      <w:r w:rsidRPr="00AF7716">
        <w:t xml:space="preserve"> - For the column labeled, “Authorization Type,” for each crossing for which Section 404 impacts were identified, in the same row in which the total acreage and</w:t>
      </w:r>
      <w:r w:rsidR="00794DD7" w:rsidRPr="00AF7716">
        <w:t xml:space="preserve"> </w:t>
      </w:r>
      <w:r w:rsidRPr="00AF7716">
        <w:t>or linear feet is calculated (</w:t>
      </w:r>
      <w:r w:rsidR="00794DD7" w:rsidRPr="00AF7716">
        <w:t>for example</w:t>
      </w:r>
      <w:r w:rsidRPr="00AF7716">
        <w:t xml:space="preserve">, the first </w:t>
      </w:r>
      <w:r w:rsidRPr="00AF7716">
        <w:lastRenderedPageBreak/>
        <w:t>row for that crossing), district environmental staff selects the appropriate response from the following options in the drop-down menu, based on which type of Section 404 authorization will be used for that crossing:</w:t>
      </w:r>
    </w:p>
    <w:p w14:paraId="7139E0DE" w14:textId="76376201" w:rsidR="00DF147E" w:rsidRPr="00AF7716" w:rsidRDefault="00D62CCD" w:rsidP="004E522A">
      <w:pPr>
        <w:pStyle w:val="ListBullet"/>
      </w:pPr>
      <w:r w:rsidRPr="00AF7716">
        <w:t xml:space="preserve">Nationwide </w:t>
      </w:r>
      <w:r w:rsidR="00B66799" w:rsidRPr="00AF7716">
        <w:t xml:space="preserve">Permit from USAC - </w:t>
      </w:r>
      <w:r w:rsidR="00DF147E" w:rsidRPr="00AF7716">
        <w:t>“</w:t>
      </w:r>
      <w:r w:rsidR="00BE46D1" w:rsidRPr="00AF7716">
        <w:t>(</w:t>
      </w:r>
      <w:r w:rsidR="00DF147E" w:rsidRPr="00AF7716">
        <w:t>NWP</w:t>
      </w:r>
      <w:r w:rsidR="00BE46D1" w:rsidRPr="00AF7716">
        <w:t>)</w:t>
      </w:r>
      <w:r w:rsidR="00DF147E" w:rsidRPr="00AF7716">
        <w:t xml:space="preserve"> - Non-reporting”</w:t>
      </w:r>
    </w:p>
    <w:p w14:paraId="5474A4A0" w14:textId="69C556CF" w:rsidR="00DF147E" w:rsidRPr="00AF7716" w:rsidRDefault="00DF147E" w:rsidP="004E522A">
      <w:pPr>
        <w:pStyle w:val="ListBullet"/>
      </w:pPr>
      <w:r w:rsidRPr="00AF7716">
        <w:t xml:space="preserve">“NWP </w:t>
      </w:r>
      <w:r w:rsidR="00BE46D1" w:rsidRPr="00AF7716">
        <w:t>–</w:t>
      </w:r>
      <w:r w:rsidRPr="00AF7716">
        <w:t xml:space="preserve"> </w:t>
      </w:r>
      <w:r w:rsidR="00BE46D1" w:rsidRPr="00AF7716">
        <w:t>Pre-Construction Notification (</w:t>
      </w:r>
      <w:r w:rsidRPr="00AF7716">
        <w:t>PCN</w:t>
      </w:r>
      <w:r w:rsidR="00BE46D1" w:rsidRPr="00AF7716">
        <w:t>)</w:t>
      </w:r>
      <w:r w:rsidRPr="00AF7716">
        <w:t>”</w:t>
      </w:r>
    </w:p>
    <w:p w14:paraId="19DC7142" w14:textId="374EDA33" w:rsidR="00DF147E" w:rsidRPr="00AF7716" w:rsidRDefault="00BE46D1" w:rsidP="004E522A">
      <w:pPr>
        <w:pStyle w:val="ListBullet"/>
      </w:pPr>
      <w:r w:rsidRPr="00AF7716">
        <w:t>Individual Permit (</w:t>
      </w:r>
      <w:r w:rsidR="00DF147E" w:rsidRPr="00AF7716">
        <w:t>“IP”</w:t>
      </w:r>
      <w:r w:rsidRPr="00AF7716">
        <w:t>)</w:t>
      </w:r>
    </w:p>
    <w:p w14:paraId="38F1B05E" w14:textId="75E580A0" w:rsidR="00DF147E" w:rsidRPr="00AF7716" w:rsidRDefault="00A129C6" w:rsidP="004E522A">
      <w:pPr>
        <w:pStyle w:val="ListBullet"/>
      </w:pPr>
      <w:r w:rsidRPr="00AF7716">
        <w:t>Letter of Permission (</w:t>
      </w:r>
      <w:r w:rsidR="00DF147E" w:rsidRPr="00AF7716">
        <w:t>“LOP”</w:t>
      </w:r>
      <w:r w:rsidRPr="00AF7716">
        <w:t>)</w:t>
      </w:r>
    </w:p>
    <w:p w14:paraId="2B07D340" w14:textId="20D4EBA1" w:rsidR="00DF147E" w:rsidRPr="00AF7716" w:rsidRDefault="00BE46D1" w:rsidP="004E522A">
      <w:pPr>
        <w:pStyle w:val="ListBullet"/>
      </w:pPr>
      <w:r w:rsidRPr="00AF7716">
        <w:t>Regional General Permit (</w:t>
      </w:r>
      <w:r w:rsidR="00DF147E" w:rsidRPr="00AF7716">
        <w:t>“RGP”</w:t>
      </w:r>
      <w:r w:rsidRPr="00AF7716">
        <w:t>)</w:t>
      </w:r>
    </w:p>
    <w:p w14:paraId="66401491" w14:textId="6C486B57" w:rsidR="00DF147E" w:rsidRPr="00AF7716" w:rsidRDefault="00DF147E" w:rsidP="00DF147E">
      <w:r w:rsidRPr="00AF7716">
        <w:t>District environmental staff leaves all other cells under the column labeled, “Authorization Type,” blank</w:t>
      </w:r>
      <w:r w:rsidR="004214B1" w:rsidRPr="00AF7716">
        <w:t xml:space="preserve">. </w:t>
      </w:r>
      <w:r w:rsidRPr="00AF7716">
        <w:t>In other words, the only cells that should have an option selected in this column are the ones that represent the first row of a crossing for which Section 404 impacts were identified.</w:t>
      </w:r>
    </w:p>
    <w:p w14:paraId="4361E21B" w14:textId="215FB462" w:rsidR="00DF147E" w:rsidRPr="00AF7716" w:rsidRDefault="00DF147E" w:rsidP="00C00464">
      <w:pPr>
        <w:pStyle w:val="ListNumber"/>
      </w:pPr>
      <w:r w:rsidRPr="00AF7716">
        <w:rPr>
          <w:b/>
          <w:bCs/>
        </w:rPr>
        <w:t>Column W</w:t>
      </w:r>
      <w:r w:rsidRPr="00AF7716">
        <w:t xml:space="preserve"> - For the column labeled, “Number (NWP and RGP only),” for any crossing for which district environmental staff selected, “NWP – PCN” or “RGP,” under the column labeled, “Authorization Type,” in the same row in which the total acreage and</w:t>
      </w:r>
      <w:r w:rsidR="00EC090A" w:rsidRPr="00AF7716">
        <w:t xml:space="preserve"> </w:t>
      </w:r>
      <w:r w:rsidRPr="00AF7716">
        <w:t>or linear feet is calculated (</w:t>
      </w:r>
      <w:r w:rsidR="004E522A" w:rsidRPr="00AF7716">
        <w:t>for example</w:t>
      </w:r>
      <w:r w:rsidRPr="00AF7716">
        <w:t xml:space="preserve">, the first row for that crossing), district environmental staff enters the number of the corresponding NWP – PCN or RGP that will be used to authorize the regulated activity for that crossing.  </w:t>
      </w:r>
    </w:p>
    <w:p w14:paraId="1D2C0113" w14:textId="443EDB43" w:rsidR="00DF147E" w:rsidRPr="00AF7716" w:rsidRDefault="00DF147E" w:rsidP="00DF147E">
      <w:r w:rsidRPr="00AF7716">
        <w:t>For each crossing for which something other than “NWP – PCN” or “RGP” was selected under the column labeled, “Authorization Type,” district environmental staff enters “N</w:t>
      </w:r>
      <w:r w:rsidR="004E522A" w:rsidRPr="00AF7716">
        <w:t xml:space="preserve">ot </w:t>
      </w:r>
      <w:r w:rsidRPr="00AF7716">
        <w:t>A</w:t>
      </w:r>
      <w:r w:rsidR="004E522A" w:rsidRPr="00AF7716">
        <w:t>pplicable</w:t>
      </w:r>
      <w:r w:rsidRPr="00AF7716">
        <w:t>” in the same row in which the total acreage and</w:t>
      </w:r>
      <w:r w:rsidR="0023200A" w:rsidRPr="00AF7716">
        <w:t xml:space="preserve"> </w:t>
      </w:r>
      <w:r w:rsidRPr="00AF7716">
        <w:t>or linear feet is calculated (</w:t>
      </w:r>
      <w:r w:rsidR="0023200A" w:rsidRPr="00AF7716">
        <w:t>for example</w:t>
      </w:r>
      <w:r w:rsidRPr="00AF7716">
        <w:t>, the first row for that crossing).</w:t>
      </w:r>
    </w:p>
    <w:p w14:paraId="3C31F285" w14:textId="77777777" w:rsidR="00DF147E" w:rsidRPr="00AF7716" w:rsidRDefault="00DF147E" w:rsidP="00DF147E">
      <w:r w:rsidRPr="00AF7716">
        <w:t>District environmental staff leaves all other cells under the column labeled, “Number (NWP and RGP only),” blank. In other words, the only cells that should have an option selected in this column are the ones that represent the first row of a crossing for which Section 404 impacts were identified.</w:t>
      </w:r>
    </w:p>
    <w:p w14:paraId="6331B021" w14:textId="1E8B25FA" w:rsidR="00DF147E" w:rsidRPr="00AF7716" w:rsidRDefault="00DF147E" w:rsidP="0030223D">
      <w:pPr>
        <w:pStyle w:val="ListNumber"/>
      </w:pPr>
      <w:r w:rsidRPr="00AF7716">
        <w:rPr>
          <w:b/>
          <w:bCs/>
        </w:rPr>
        <w:lastRenderedPageBreak/>
        <w:t>Column X</w:t>
      </w:r>
      <w:r w:rsidRPr="00AF7716">
        <w:t xml:space="preserve"> - For the column labeled, “Reason (PCN only),” for each crossing for which “NWP – PCN” was selected under the column labeled, “Authorization Type,” in the same row in which the total acreage and</w:t>
      </w:r>
      <w:r w:rsidR="00653475">
        <w:t xml:space="preserve"> </w:t>
      </w:r>
      <w:r w:rsidRPr="00AF7716">
        <w:t>or linear feet is calculated (</w:t>
      </w:r>
      <w:r w:rsidR="0023200A" w:rsidRPr="00AF7716">
        <w:t>for example</w:t>
      </w:r>
      <w:r w:rsidRPr="00AF7716">
        <w:t>, the first row for that crossing), district environmental staff selects the appropriate response from the following options in the drop-down menu, based on the applicable reason(s) for submitting a PCN:</w:t>
      </w:r>
    </w:p>
    <w:p w14:paraId="043EDDB3" w14:textId="7B4CD732" w:rsidR="00DF147E" w:rsidRPr="00AF7716" w:rsidRDefault="00DF147E" w:rsidP="0023200A">
      <w:pPr>
        <w:pStyle w:val="ListBullet"/>
      </w:pPr>
      <w:r w:rsidRPr="00AF7716">
        <w:t>“Loss of waters of the U.S. exceeds 1/10 acre”</w:t>
      </w:r>
    </w:p>
    <w:p w14:paraId="7ACBCB3B" w14:textId="70253353" w:rsidR="00DF147E" w:rsidRPr="00AF7716" w:rsidRDefault="00DF147E" w:rsidP="0023200A">
      <w:pPr>
        <w:pStyle w:val="ListBullet"/>
      </w:pPr>
      <w:r w:rsidRPr="00AF7716">
        <w:t>“Discharge into a special aquatic site”</w:t>
      </w:r>
    </w:p>
    <w:p w14:paraId="774080E7" w14:textId="23804D13" w:rsidR="00DF147E" w:rsidRPr="00AF7716" w:rsidRDefault="00DF147E" w:rsidP="0023200A">
      <w:pPr>
        <w:pStyle w:val="ListBullet"/>
      </w:pPr>
      <w:r w:rsidRPr="00AF7716">
        <w:t>“Potential threatened or endangered species (</w:t>
      </w:r>
      <w:r w:rsidR="006B5DBD" w:rsidRPr="00AF7716">
        <w:t xml:space="preserve">General Condition </w:t>
      </w:r>
      <w:r w:rsidR="004217E0">
        <w:t>[</w:t>
      </w:r>
      <w:r w:rsidRPr="00AF7716">
        <w:t>GC</w:t>
      </w:r>
      <w:r w:rsidR="004217E0">
        <w:t>]</w:t>
      </w:r>
      <w:r w:rsidRPr="00AF7716">
        <w:t xml:space="preserve"> 18)”</w:t>
      </w:r>
    </w:p>
    <w:p w14:paraId="009E2278" w14:textId="350FDA64" w:rsidR="00DF147E" w:rsidRPr="00AF7716" w:rsidRDefault="00DF147E" w:rsidP="0023200A">
      <w:pPr>
        <w:pStyle w:val="ListBullet"/>
      </w:pPr>
      <w:r w:rsidRPr="00AF7716">
        <w:t>“Potential historic properties (GC 20)”</w:t>
      </w:r>
    </w:p>
    <w:p w14:paraId="4D9D1582" w14:textId="70A25DAE" w:rsidR="00DF147E" w:rsidRPr="00AF7716" w:rsidRDefault="00DF147E" w:rsidP="0023200A">
      <w:pPr>
        <w:pStyle w:val="ListBullet"/>
      </w:pPr>
      <w:r w:rsidRPr="00AF7716">
        <w:t>“Loss of streams exceeds 200 linear feet (</w:t>
      </w:r>
      <w:r w:rsidR="00DE37A9" w:rsidRPr="00AF7716">
        <w:t xml:space="preserve">Regional Condition </w:t>
      </w:r>
      <w:r w:rsidR="004217E0">
        <w:t>[</w:t>
      </w:r>
      <w:r w:rsidRPr="00AF7716">
        <w:t>RC</w:t>
      </w:r>
      <w:r w:rsidR="004217E0">
        <w:t>]</w:t>
      </w:r>
      <w:r w:rsidRPr="00AF7716">
        <w:t xml:space="preserve"> 16)”</w:t>
      </w:r>
    </w:p>
    <w:p w14:paraId="1E4EF3BF" w14:textId="553108B4" w:rsidR="00DF147E" w:rsidRPr="00AF7716" w:rsidRDefault="00DF147E" w:rsidP="0023200A">
      <w:pPr>
        <w:pStyle w:val="ListBullet"/>
      </w:pPr>
      <w:r w:rsidRPr="00AF7716">
        <w:t>“Loss of streams exceeds 300 linear feet (RC 12)”</w:t>
      </w:r>
    </w:p>
    <w:p w14:paraId="55E9AB52" w14:textId="6F0D4633" w:rsidR="00DF147E" w:rsidRPr="00AF7716" w:rsidRDefault="00DF147E" w:rsidP="0023200A">
      <w:pPr>
        <w:pStyle w:val="ListBullet"/>
      </w:pPr>
      <w:r w:rsidRPr="00AF7716">
        <w:t>“Other”</w:t>
      </w:r>
    </w:p>
    <w:p w14:paraId="005E46D4" w14:textId="385CD5A7" w:rsidR="00DF147E" w:rsidRPr="00AF7716" w:rsidRDefault="00DF147E" w:rsidP="0023200A">
      <w:pPr>
        <w:pStyle w:val="ListBullet"/>
      </w:pPr>
      <w:r w:rsidRPr="00AF7716">
        <w:t>“Multiple”</w:t>
      </w:r>
    </w:p>
    <w:p w14:paraId="3BCFE4EB" w14:textId="6D1E33DC" w:rsidR="00DF147E" w:rsidRPr="00AF7716" w:rsidRDefault="00DF147E" w:rsidP="0023200A">
      <w:pPr>
        <w:pStyle w:val="ListBullet"/>
      </w:pPr>
      <w:r w:rsidRPr="00AF7716">
        <w:t>“N</w:t>
      </w:r>
      <w:r w:rsidR="0023200A" w:rsidRPr="00AF7716">
        <w:t xml:space="preserve">ot </w:t>
      </w:r>
      <w:r w:rsidRPr="00AF7716">
        <w:t>A</w:t>
      </w:r>
      <w:r w:rsidR="0023200A" w:rsidRPr="00AF7716">
        <w:t>pplicable</w:t>
      </w:r>
      <w:r w:rsidRPr="00AF7716">
        <w:t>”</w:t>
      </w:r>
    </w:p>
    <w:p w14:paraId="318DE42A" w14:textId="77777777" w:rsidR="00DF147E" w:rsidRPr="00AF7716" w:rsidRDefault="00DF147E" w:rsidP="00DF147E">
      <w:r w:rsidRPr="00AF7716">
        <w:t xml:space="preserve">For each crossing for which the single, specific, applicable reason for submitting a PCN is not listed in the drop-down menu, district environmental staff selects “Other” from the drop-down menu. </w:t>
      </w:r>
    </w:p>
    <w:p w14:paraId="2B76EA7D" w14:textId="77777777" w:rsidR="00DF147E" w:rsidRPr="00AF7716" w:rsidRDefault="00DF147E" w:rsidP="00DF147E">
      <w:r w:rsidRPr="00AF7716">
        <w:t xml:space="preserve">For each crossing for which there is more than one applicable reason for submitting a PCN, listed in the drop-down menu or not, district environmental staff selects “Multiple” from the drop-down menu. </w:t>
      </w:r>
    </w:p>
    <w:p w14:paraId="0C0E7EFA" w14:textId="28C47C19" w:rsidR="00DF147E" w:rsidRPr="00AF7716" w:rsidRDefault="00DF147E" w:rsidP="00DF147E">
      <w:r w:rsidRPr="00AF7716">
        <w:t>For each crossing for which something other than “NWP – PCN” was selected under the column labeled, “Authorization Type,” district environmental staff selects “N</w:t>
      </w:r>
      <w:r w:rsidR="0023200A" w:rsidRPr="00AF7716">
        <w:t xml:space="preserve">ot </w:t>
      </w:r>
      <w:r w:rsidRPr="00AF7716">
        <w:t>A</w:t>
      </w:r>
      <w:r w:rsidR="0023200A" w:rsidRPr="00AF7716">
        <w:t>pplicable</w:t>
      </w:r>
      <w:r w:rsidRPr="00AF7716">
        <w:t>” from the drop-down menu.</w:t>
      </w:r>
    </w:p>
    <w:p w14:paraId="2329EDD3" w14:textId="1E0C4A67" w:rsidR="00DF147E" w:rsidRPr="00AF7716" w:rsidRDefault="00DF147E" w:rsidP="00DF147E">
      <w:r w:rsidRPr="00AF7716">
        <w:t>District environmental staff leaves all other cells under the column labeled, “Reason (PCN only),” blank</w:t>
      </w:r>
      <w:r w:rsidR="004214B1" w:rsidRPr="00AF7716">
        <w:t xml:space="preserve">. </w:t>
      </w:r>
      <w:r w:rsidRPr="00AF7716">
        <w:t>In other words, the only cells that should have an option selected in this column are the ones that represent the first row of a crossing for which Section 404 impacts were identified.</w:t>
      </w:r>
    </w:p>
    <w:p w14:paraId="1A95898D" w14:textId="0E149E09" w:rsidR="00DF147E" w:rsidRPr="00AF7716" w:rsidRDefault="00DF147E" w:rsidP="0030223D">
      <w:pPr>
        <w:pStyle w:val="ListNumber"/>
      </w:pPr>
      <w:r w:rsidRPr="00AF7716">
        <w:rPr>
          <w:b/>
          <w:bCs/>
        </w:rPr>
        <w:lastRenderedPageBreak/>
        <w:t>Column Y</w:t>
      </w:r>
      <w:r w:rsidRPr="00AF7716">
        <w:t xml:space="preserve"> - For the column labeled, “Mitigation Required?” for each crossing, in the same row in which the total acreage and</w:t>
      </w:r>
      <w:r w:rsidR="00916BE4" w:rsidRPr="00AF7716">
        <w:t xml:space="preserve"> </w:t>
      </w:r>
      <w:r w:rsidRPr="00AF7716">
        <w:t>or linear feet is calculated (</w:t>
      </w:r>
      <w:r w:rsidR="0023200A" w:rsidRPr="00AF7716">
        <w:t>for example</w:t>
      </w:r>
      <w:r w:rsidRPr="00AF7716">
        <w:t>, the first row for that crossing), district environmental staff selects the appropriate response from the following options in the drop-down menu, based on whether or not compensatory mitigation is required:</w:t>
      </w:r>
    </w:p>
    <w:p w14:paraId="75CAAE27" w14:textId="6A441BF9" w:rsidR="00DF147E" w:rsidRPr="00AF7716" w:rsidRDefault="00DF147E" w:rsidP="0023200A">
      <w:pPr>
        <w:pStyle w:val="ListBullet"/>
      </w:pPr>
      <w:r w:rsidRPr="00AF7716">
        <w:t>“Yes”</w:t>
      </w:r>
    </w:p>
    <w:p w14:paraId="7B87F664" w14:textId="4FBE3330" w:rsidR="00DF147E" w:rsidRPr="00AF7716" w:rsidRDefault="00DF147E" w:rsidP="0023200A">
      <w:pPr>
        <w:pStyle w:val="ListBullet"/>
      </w:pPr>
      <w:r w:rsidRPr="00AF7716">
        <w:t>“No”</w:t>
      </w:r>
    </w:p>
    <w:p w14:paraId="2A044DA5" w14:textId="033FA569" w:rsidR="00DF147E" w:rsidRPr="00AF7716" w:rsidRDefault="00DF147E" w:rsidP="00DF147E">
      <w:r w:rsidRPr="00AF7716">
        <w:t>District environmental staff leaves all other cells under the column labeled, “Mitigation Required?” blank</w:t>
      </w:r>
      <w:r w:rsidR="004214B1" w:rsidRPr="00AF7716">
        <w:t xml:space="preserve">. </w:t>
      </w:r>
      <w:r w:rsidRPr="00AF7716">
        <w:t>In other words, the only cells that should have an option selected in this column are the ones that represent the first row of a crossing for which Section 404 impacts were identified.</w:t>
      </w:r>
    </w:p>
    <w:p w14:paraId="56A469D7" w14:textId="4AA96A3A" w:rsidR="00E845D6" w:rsidRPr="00AF7716" w:rsidRDefault="00DF147E" w:rsidP="0030223D">
      <w:pPr>
        <w:pStyle w:val="ListNumber"/>
      </w:pPr>
      <w:r w:rsidRPr="00AF7716">
        <w:t>District environmental staff uploads the completed and finalized Section 404</w:t>
      </w:r>
      <w:r w:rsidR="0023200A" w:rsidRPr="00AF7716">
        <w:t xml:space="preserve"> and </w:t>
      </w:r>
      <w:r w:rsidRPr="00AF7716">
        <w:t xml:space="preserve">10 Impacts Table to </w:t>
      </w:r>
      <w:r w:rsidR="00F22BD6" w:rsidRPr="00AF7716">
        <w:t>Environmental Compliance Oversight System (</w:t>
      </w:r>
      <w:r w:rsidRPr="00AF7716">
        <w:t>ECOS</w:t>
      </w:r>
      <w:r w:rsidR="00F22BD6" w:rsidRPr="00AF7716">
        <w:t>)</w:t>
      </w:r>
      <w:r w:rsidRPr="00AF7716">
        <w:t xml:space="preserve"> under the Obtain Section 404</w:t>
      </w:r>
      <w:r w:rsidR="005D5DD4" w:rsidRPr="00AF7716">
        <w:t xml:space="preserve"> and</w:t>
      </w:r>
      <w:r w:rsidR="00916BE4" w:rsidRPr="00AF7716">
        <w:t xml:space="preserve"> </w:t>
      </w:r>
      <w:r w:rsidRPr="00AF7716">
        <w:t>10 Permit activity with the word “Approved” at the beginning of the file name.</w:t>
      </w:r>
    </w:p>
    <w:p w14:paraId="253B6C23" w14:textId="73B0372E" w:rsidR="00AD06B7" w:rsidRPr="00AF7716" w:rsidRDefault="00AD06B7">
      <w:pPr>
        <w:spacing w:after="0" w:line="240" w:lineRule="auto"/>
      </w:pPr>
      <w:r w:rsidRPr="00AF7716">
        <w:br w:type="page"/>
      </w:r>
    </w:p>
    <w:p w14:paraId="78944E59" w14:textId="77777777" w:rsidR="00CC6F7F" w:rsidRPr="00AF7716" w:rsidRDefault="00CC6F7F" w:rsidP="00CC6F7F">
      <w:pPr>
        <w:keepNext/>
        <w:keepLines/>
        <w:spacing w:before="240" w:after="0"/>
        <w:outlineLvl w:val="1"/>
        <w:rPr>
          <w:rFonts w:asciiTheme="majorHAnsi" w:eastAsiaTheme="majorEastAsia" w:hAnsiTheme="majorHAnsi" w:cstheme="majorBidi"/>
          <w:b/>
          <w:color w:val="0056A9" w:themeColor="accent1"/>
          <w:sz w:val="32"/>
          <w:szCs w:val="26"/>
        </w:rPr>
      </w:pPr>
      <w:bookmarkStart w:id="5" w:name="_Toc221888064"/>
      <w:r w:rsidRPr="00AF7716">
        <w:rPr>
          <w:rFonts w:asciiTheme="majorHAnsi" w:eastAsiaTheme="majorEastAsia" w:hAnsiTheme="majorHAnsi" w:cstheme="majorBidi"/>
          <w:b/>
          <w:color w:val="0056A9" w:themeColor="accent1"/>
          <w:sz w:val="32"/>
          <w:szCs w:val="26"/>
        </w:rPr>
        <w:lastRenderedPageBreak/>
        <w:t>Revision History</w:t>
      </w:r>
      <w:bookmarkEnd w:id="5"/>
    </w:p>
    <w:p w14:paraId="6C8E9FF2" w14:textId="6E65408A" w:rsidR="00CC6F7F" w:rsidRPr="00AF7716" w:rsidRDefault="00CC6F7F" w:rsidP="00CC6F7F">
      <w:pPr>
        <w:keepNext/>
        <w:spacing w:line="240" w:lineRule="auto"/>
        <w:rPr>
          <w:b/>
          <w:bCs/>
          <w:iCs/>
          <w:color w:val="000000" w:themeColor="text2"/>
          <w:szCs w:val="18"/>
        </w:rPr>
      </w:pPr>
      <w:r w:rsidRPr="00AF7716">
        <w:rPr>
          <w:b/>
          <w:bCs/>
          <w:iCs/>
          <w:color w:val="000000" w:themeColor="text2"/>
          <w:szCs w:val="18"/>
        </w:rPr>
        <w:t xml:space="preserve">Table </w:t>
      </w:r>
      <w:r w:rsidRPr="00AF7716">
        <w:rPr>
          <w:b/>
          <w:bCs/>
          <w:iCs/>
          <w:color w:val="000000" w:themeColor="text2"/>
          <w:szCs w:val="18"/>
        </w:rPr>
        <w:fldChar w:fldCharType="begin"/>
      </w:r>
      <w:r w:rsidRPr="00AF7716">
        <w:rPr>
          <w:b/>
          <w:bCs/>
          <w:iCs/>
          <w:color w:val="000000" w:themeColor="text2"/>
          <w:szCs w:val="18"/>
        </w:rPr>
        <w:instrText xml:space="preserve"> SEQ Table \* ARABIC </w:instrText>
      </w:r>
      <w:r w:rsidRPr="00AF7716">
        <w:rPr>
          <w:b/>
          <w:bCs/>
          <w:iCs/>
          <w:color w:val="000000" w:themeColor="text2"/>
          <w:szCs w:val="18"/>
        </w:rPr>
        <w:fldChar w:fldCharType="separate"/>
      </w:r>
      <w:r w:rsidRPr="00AF7716">
        <w:rPr>
          <w:b/>
          <w:bCs/>
          <w:iCs/>
          <w:color w:val="000000" w:themeColor="text2"/>
          <w:szCs w:val="18"/>
        </w:rPr>
        <w:t>2</w:t>
      </w:r>
      <w:r w:rsidRPr="00AF7716">
        <w:rPr>
          <w:b/>
          <w:bCs/>
          <w:iCs/>
          <w:color w:val="000000" w:themeColor="text2"/>
          <w:szCs w:val="18"/>
        </w:rPr>
        <w:fldChar w:fldCharType="end"/>
      </w:r>
      <w:r w:rsidRPr="00AF7716">
        <w:rPr>
          <w:b/>
          <w:bCs/>
          <w:iCs/>
          <w:color w:val="000000" w:themeColor="text2"/>
          <w:szCs w:val="18"/>
        </w:rPr>
        <w:t xml:space="preserve">. </w:t>
      </w:r>
      <w:r w:rsidR="00BE43A7">
        <w:rPr>
          <w:b/>
          <w:bCs/>
          <w:iCs/>
          <w:color w:val="000000" w:themeColor="text2"/>
          <w:szCs w:val="18"/>
        </w:rPr>
        <w:t>Document revision history</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7119"/>
      </w:tblGrid>
      <w:tr w:rsidR="00CC6F7F" w:rsidRPr="00AF7716" w14:paraId="50E149F9" w14:textId="77777777" w:rsidTr="00423C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1" w:type="dxa"/>
            <w:tcBorders>
              <w:bottom w:val="none" w:sz="0" w:space="0" w:color="auto"/>
              <w:right w:val="none" w:sz="0" w:space="0" w:color="auto"/>
            </w:tcBorders>
          </w:tcPr>
          <w:p w14:paraId="369AEB3E" w14:textId="77777777" w:rsidR="00CC6F7F" w:rsidRPr="00AF7716" w:rsidRDefault="00CC6F7F" w:rsidP="00CC6F7F">
            <w:pPr>
              <w:rPr>
                <w:szCs w:val="24"/>
              </w:rPr>
            </w:pPr>
            <w:r w:rsidRPr="00AF7716">
              <w:rPr>
                <w:szCs w:val="24"/>
              </w:rPr>
              <w:t>Effective date (month year)</w:t>
            </w:r>
          </w:p>
        </w:tc>
        <w:tc>
          <w:tcPr>
            <w:tcW w:w="7119" w:type="dxa"/>
          </w:tcPr>
          <w:p w14:paraId="703F8BC0" w14:textId="77777777" w:rsidR="00CC6F7F" w:rsidRPr="00AF7716" w:rsidRDefault="00CC6F7F" w:rsidP="00CC6F7F">
            <w:pPr>
              <w:cnfStyle w:val="100000000000" w:firstRow="1" w:lastRow="0" w:firstColumn="0" w:lastColumn="0" w:oddVBand="0" w:evenVBand="0" w:oddHBand="0" w:evenHBand="0" w:firstRowFirstColumn="0" w:firstRowLastColumn="0" w:lastRowFirstColumn="0" w:lastRowLastColumn="0"/>
              <w:rPr>
                <w:szCs w:val="24"/>
              </w:rPr>
            </w:pPr>
            <w:r w:rsidRPr="00AF7716">
              <w:rPr>
                <w:szCs w:val="24"/>
              </w:rPr>
              <w:t>Reason for and description of change</w:t>
            </w:r>
          </w:p>
        </w:tc>
      </w:tr>
      <w:tr w:rsidR="00CC6F7F" w:rsidRPr="00AF7716" w14:paraId="063283C6" w14:textId="77777777" w:rsidTr="00A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tcBorders>
              <w:top w:val="none" w:sz="0" w:space="0" w:color="auto"/>
              <w:bottom w:val="none" w:sz="0" w:space="0" w:color="auto"/>
              <w:right w:val="none" w:sz="0" w:space="0" w:color="auto"/>
            </w:tcBorders>
            <w:vAlign w:val="center"/>
          </w:tcPr>
          <w:p w14:paraId="6DDFADCC" w14:textId="55B55C29" w:rsidR="00CC6F7F" w:rsidRPr="00A84966" w:rsidRDefault="00375095" w:rsidP="00CC6F7F">
            <w:pPr>
              <w:rPr>
                <w:b w:val="0"/>
                <w:bCs w:val="0"/>
                <w:color w:val="000000" w:themeColor="text1"/>
                <w:szCs w:val="24"/>
              </w:rPr>
            </w:pPr>
            <w:r w:rsidRPr="00A84966">
              <w:rPr>
                <w:b w:val="0"/>
                <w:bCs w:val="0"/>
                <w:color w:val="000000" w:themeColor="text1"/>
                <w:szCs w:val="24"/>
              </w:rPr>
              <w:t>January</w:t>
            </w:r>
            <w:r w:rsidR="00CC6F7F" w:rsidRPr="00A84966">
              <w:rPr>
                <w:b w:val="0"/>
                <w:bCs w:val="0"/>
                <w:color w:val="000000" w:themeColor="text1"/>
                <w:szCs w:val="24"/>
              </w:rPr>
              <w:t xml:space="preserve"> </w:t>
            </w:r>
            <w:r w:rsidRPr="00A84966">
              <w:rPr>
                <w:b w:val="0"/>
                <w:bCs w:val="0"/>
                <w:color w:val="000000" w:themeColor="text1"/>
                <w:szCs w:val="24"/>
              </w:rPr>
              <w:t>2026</w:t>
            </w:r>
          </w:p>
        </w:tc>
        <w:tc>
          <w:tcPr>
            <w:tcW w:w="7119" w:type="dxa"/>
            <w:tcBorders>
              <w:top w:val="none" w:sz="0" w:space="0" w:color="auto"/>
              <w:bottom w:val="none" w:sz="0" w:space="0" w:color="auto"/>
            </w:tcBorders>
          </w:tcPr>
          <w:p w14:paraId="391B4ADE" w14:textId="43DD1DCC" w:rsidR="00CC6F7F" w:rsidRPr="00AF7716" w:rsidRDefault="00CC6F7F" w:rsidP="00CC6F7F">
            <w:pPr>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F7716">
              <w:rPr>
                <w:color w:val="000000" w:themeColor="text1"/>
                <w:szCs w:val="24"/>
              </w:rPr>
              <w:t xml:space="preserve">Version </w:t>
            </w:r>
            <w:r w:rsidR="00423C77" w:rsidRPr="00AF7716">
              <w:rPr>
                <w:color w:val="000000" w:themeColor="text1"/>
                <w:szCs w:val="24"/>
              </w:rPr>
              <w:t>2</w:t>
            </w:r>
          </w:p>
          <w:p w14:paraId="671405E1" w14:textId="6B4551D5" w:rsidR="00CC6F7F" w:rsidRPr="00AF7716" w:rsidRDefault="00FF4893" w:rsidP="00257D40">
            <w:pPr>
              <w:pStyle w:val="ListBullet"/>
              <w:cnfStyle w:val="000000100000" w:firstRow="0" w:lastRow="0" w:firstColumn="0" w:lastColumn="0" w:oddVBand="0" w:evenVBand="0" w:oddHBand="1" w:evenHBand="0" w:firstRowFirstColumn="0" w:firstRowLastColumn="0" w:lastRowFirstColumn="0" w:lastRowLastColumn="0"/>
            </w:pPr>
            <w:r w:rsidRPr="00AF7716">
              <w:t xml:space="preserve">Created business rules document to </w:t>
            </w:r>
            <w:r w:rsidR="00375095" w:rsidRPr="00AF7716">
              <w:t>formalize and comply with accessibility and TxDOT branding standards.</w:t>
            </w:r>
          </w:p>
        </w:tc>
      </w:tr>
      <w:tr w:rsidR="00423C77" w:rsidRPr="00AF7716" w14:paraId="361BB90F" w14:textId="77777777" w:rsidTr="00A84966">
        <w:tc>
          <w:tcPr>
            <w:cnfStyle w:val="001000000000" w:firstRow="0" w:lastRow="0" w:firstColumn="1" w:lastColumn="0" w:oddVBand="0" w:evenVBand="0" w:oddHBand="0" w:evenHBand="0" w:firstRowFirstColumn="0" w:firstRowLastColumn="0" w:lastRowFirstColumn="0" w:lastRowLastColumn="0"/>
            <w:tcW w:w="2231" w:type="dxa"/>
            <w:vAlign w:val="center"/>
          </w:tcPr>
          <w:p w14:paraId="247A6B9D" w14:textId="7C397DD2" w:rsidR="00423C77" w:rsidRPr="00A84966" w:rsidRDefault="00423C77" w:rsidP="00CC6F7F">
            <w:pPr>
              <w:rPr>
                <w:b w:val="0"/>
                <w:bCs w:val="0"/>
                <w:color w:val="000000" w:themeColor="text1"/>
                <w:szCs w:val="24"/>
              </w:rPr>
            </w:pPr>
            <w:r w:rsidRPr="00A84966">
              <w:rPr>
                <w:b w:val="0"/>
                <w:bCs w:val="0"/>
                <w:color w:val="000000" w:themeColor="text1"/>
                <w:szCs w:val="24"/>
              </w:rPr>
              <w:t>August 2019</w:t>
            </w:r>
          </w:p>
        </w:tc>
        <w:tc>
          <w:tcPr>
            <w:tcW w:w="7119" w:type="dxa"/>
          </w:tcPr>
          <w:p w14:paraId="1CDE3BE3" w14:textId="0325F449" w:rsidR="00423C77" w:rsidRPr="00AF7716" w:rsidRDefault="00423C77" w:rsidP="00423C77">
            <w:pP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F7716">
              <w:rPr>
                <w:color w:val="000000" w:themeColor="text1"/>
                <w:szCs w:val="24"/>
              </w:rPr>
              <w:t>Version 1</w:t>
            </w:r>
          </w:p>
          <w:p w14:paraId="077F34DD" w14:textId="1147E5CC" w:rsidR="00423C77" w:rsidRPr="00AF7716" w:rsidRDefault="00403F1E" w:rsidP="000B4159">
            <w:pPr>
              <w:pStyle w:val="ListBullet"/>
              <w:cnfStyle w:val="000000000000" w:firstRow="0" w:lastRow="0" w:firstColumn="0" w:lastColumn="0" w:oddVBand="0" w:evenVBand="0" w:oddHBand="0" w:evenHBand="0" w:firstRowFirstColumn="0" w:firstRowLastColumn="0" w:lastRowFirstColumn="0" w:lastRowLastColumn="0"/>
            </w:pPr>
            <w:r w:rsidRPr="00403F1E">
              <w:t>Used to complete the "Obtain Section 404</w:t>
            </w:r>
            <w:r w:rsidR="00836DAC">
              <w:t xml:space="preserve"> and </w:t>
            </w:r>
            <w:r w:rsidRPr="00403F1E">
              <w:t>10 Permit" Activity in ECOS</w:t>
            </w:r>
            <w:r w:rsidR="000B4159">
              <w:t>.</w:t>
            </w:r>
          </w:p>
        </w:tc>
      </w:tr>
    </w:tbl>
    <w:p w14:paraId="0D2672C1" w14:textId="77777777" w:rsidR="00C776E4" w:rsidRPr="00AF7716" w:rsidRDefault="00C776E4" w:rsidP="00403F1E"/>
    <w:sectPr w:rsidR="00C776E4" w:rsidRPr="00AF7716" w:rsidSect="001C12E5">
      <w:footerReference w:type="default" r:id="rId16"/>
      <w:footerReference w:type="first" r:id="rId17"/>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F46C" w14:textId="77777777" w:rsidR="00EB0116" w:rsidRPr="00AF7716" w:rsidRDefault="00EB0116" w:rsidP="00E9313B">
      <w:pPr>
        <w:spacing w:after="0" w:line="240" w:lineRule="auto"/>
      </w:pPr>
      <w:r w:rsidRPr="00AF7716">
        <w:separator/>
      </w:r>
    </w:p>
  </w:endnote>
  <w:endnote w:type="continuationSeparator" w:id="0">
    <w:p w14:paraId="01CF0207" w14:textId="77777777" w:rsidR="00EB0116" w:rsidRPr="00AF7716" w:rsidRDefault="00EB0116" w:rsidP="003D0A5B">
      <w:pPr>
        <w:spacing w:after="0" w:line="240" w:lineRule="auto"/>
      </w:pPr>
      <w:r w:rsidRPr="00AF7716">
        <w:continuationSeparator/>
      </w:r>
    </w:p>
    <w:p w14:paraId="7D8D6E7A" w14:textId="77777777" w:rsidR="00EB0116" w:rsidRPr="00AF7716" w:rsidRDefault="00EB0116"/>
    <w:p w14:paraId="35D43768" w14:textId="77777777" w:rsidR="00EB0116" w:rsidRPr="00AF7716" w:rsidRDefault="00EB0116"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7C9FEA7B-D878-4583-B068-DBD3B204588D}"/>
    <w:embedBold r:id="rId2" w:fontKey="{6370DFC2-FB98-4F60-BD12-3982D6D216AA}"/>
    <w:embedItalic r:id="rId3" w:fontKey="{6FEA3DE7-FEDD-4A68-ABC4-CAD0B0EA7BDF}"/>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7799" w14:textId="77777777" w:rsidR="008D72A6" w:rsidRPr="00AF7716" w:rsidRDefault="003B6CAE" w:rsidP="003B6CAE">
    <w:pPr>
      <w:pStyle w:val="Footer"/>
      <w:tabs>
        <w:tab w:val="clear" w:pos="4680"/>
        <w:tab w:val="left" w:pos="6622"/>
      </w:tabs>
      <w:rPr>
        <w:b/>
        <w:bCs/>
        <w:color w:val="0056A9"/>
      </w:rPr>
    </w:pPr>
    <w:r w:rsidRPr="00AF7716">
      <w:rPr>
        <w:b/>
        <w:bCs/>
        <w:color w:val="0056A9"/>
      </w:rPr>
      <w:tab/>
    </w:r>
    <w:r w:rsidRPr="00AF7716">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7691" w14:textId="77777777" w:rsidR="00EB78FA" w:rsidRPr="00AF7716" w:rsidRDefault="00EB78FA" w:rsidP="00EB78FA">
    <w:pPr>
      <w:pStyle w:val="Footer"/>
      <w:tabs>
        <w:tab w:val="clear" w:pos="4680"/>
      </w:tabs>
      <w:jc w:val="right"/>
      <w:rPr>
        <w:b/>
        <w:bCs/>
        <w:color w:val="0056A9"/>
      </w:rPr>
    </w:pPr>
    <w:r w:rsidRPr="00AF7716">
      <w:rPr>
        <w:noProof/>
      </w:rPr>
      <mc:AlternateContent>
        <mc:Choice Requires="wps">
          <w:drawing>
            <wp:anchor distT="0" distB="0" distL="114300" distR="114300" simplePos="0" relativeHeight="251658240" behindDoc="0" locked="0" layoutInCell="1" allowOverlap="1" wp14:anchorId="75C2116C" wp14:editId="31236534">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EE0391"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Pr="00AF7716">
      <w:t xml:space="preserve">Document Title | </w:t>
    </w:r>
    <w:r w:rsidRPr="00AF7716">
      <w:rPr>
        <w:b/>
        <w:bCs/>
        <w:color w:val="0056A9"/>
      </w:rPr>
      <w:fldChar w:fldCharType="begin"/>
    </w:r>
    <w:r w:rsidRPr="00AF7716">
      <w:rPr>
        <w:b/>
        <w:bCs/>
        <w:color w:val="0056A9"/>
      </w:rPr>
      <w:instrText xml:space="preserve"> PAGE  \* Arabic  \* MERGEFORMAT </w:instrText>
    </w:r>
    <w:r w:rsidRPr="00AF7716">
      <w:rPr>
        <w:b/>
        <w:bCs/>
        <w:color w:val="0056A9"/>
      </w:rPr>
      <w:fldChar w:fldCharType="separate"/>
    </w:r>
    <w:r w:rsidRPr="00AF7716">
      <w:rPr>
        <w:b/>
        <w:bCs/>
        <w:color w:val="0056A9"/>
      </w:rPr>
      <w:t>7</w:t>
    </w:r>
    <w:r w:rsidRPr="00AF7716">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B0B0" w14:textId="08085291" w:rsidR="00B227C9" w:rsidRPr="00AF7716" w:rsidRDefault="00B227C9" w:rsidP="008D72A6">
    <w:pPr>
      <w:pStyle w:val="Footer"/>
      <w:tabs>
        <w:tab w:val="clear" w:pos="4680"/>
      </w:tabs>
      <w:jc w:val="right"/>
      <w:rPr>
        <w:b/>
        <w:bCs/>
        <w:color w:val="0056A9"/>
      </w:rPr>
    </w:pPr>
    <w:r w:rsidRPr="00AF7716">
      <w:rPr>
        <w:noProof/>
      </w:rPr>
      <mc:AlternateContent>
        <mc:Choice Requires="wps">
          <w:drawing>
            <wp:anchor distT="0" distB="0" distL="114300" distR="114300" simplePos="0" relativeHeight="251658242" behindDoc="0" locked="0" layoutInCell="1" allowOverlap="1" wp14:anchorId="35EE573B" wp14:editId="13953606">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4A56D3"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D80B99" w:rsidRPr="00AF7716">
      <w:t>Guidance: Preparing a Section 404 and 10 Impacts Table</w:t>
    </w:r>
    <w:r w:rsidRPr="00AF7716">
      <w:t xml:space="preserve"> | </w:t>
    </w:r>
    <w:r w:rsidRPr="00AF7716">
      <w:rPr>
        <w:b/>
        <w:bCs/>
        <w:color w:val="0056A9"/>
      </w:rPr>
      <w:fldChar w:fldCharType="begin"/>
    </w:r>
    <w:r w:rsidRPr="00AF7716">
      <w:rPr>
        <w:b/>
        <w:bCs/>
        <w:color w:val="0056A9"/>
      </w:rPr>
      <w:instrText xml:space="preserve"> PAGE  \* Arabic  \* MERGEFORMAT </w:instrText>
    </w:r>
    <w:r w:rsidRPr="00AF7716">
      <w:rPr>
        <w:b/>
        <w:bCs/>
        <w:color w:val="0056A9"/>
      </w:rPr>
      <w:fldChar w:fldCharType="separate"/>
    </w:r>
    <w:r w:rsidRPr="00AF7716">
      <w:rPr>
        <w:b/>
        <w:bCs/>
        <w:color w:val="0056A9"/>
      </w:rPr>
      <w:t>6</w:t>
    </w:r>
    <w:r w:rsidRPr="00AF7716">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F3B2" w14:textId="77777777" w:rsidR="00B227C9" w:rsidRPr="00AF7716" w:rsidRDefault="00B227C9" w:rsidP="00EB78FA">
    <w:pPr>
      <w:pStyle w:val="Footer"/>
      <w:tabs>
        <w:tab w:val="clear" w:pos="4680"/>
      </w:tabs>
      <w:jc w:val="right"/>
      <w:rPr>
        <w:b/>
        <w:bCs/>
        <w:color w:val="0056A9"/>
      </w:rPr>
    </w:pPr>
    <w:r w:rsidRPr="00AF7716">
      <w:rPr>
        <w:noProof/>
      </w:rPr>
      <mc:AlternateContent>
        <mc:Choice Requires="wps">
          <w:drawing>
            <wp:anchor distT="0" distB="0" distL="114300" distR="114300" simplePos="0" relativeHeight="251658241" behindDoc="0" locked="0" layoutInCell="1" allowOverlap="1" wp14:anchorId="5E463183" wp14:editId="45E6444F">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BAF9F"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Pr="00AF7716">
      <w:t xml:space="preserve">Document Title | </w:t>
    </w:r>
    <w:r w:rsidRPr="00AF7716">
      <w:rPr>
        <w:b/>
        <w:bCs/>
        <w:color w:val="0056A9"/>
      </w:rPr>
      <w:fldChar w:fldCharType="begin"/>
    </w:r>
    <w:r w:rsidRPr="00AF7716">
      <w:rPr>
        <w:b/>
        <w:bCs/>
        <w:color w:val="0056A9"/>
      </w:rPr>
      <w:instrText xml:space="preserve"> PAGE  \* Arabic  \* MERGEFORMAT </w:instrText>
    </w:r>
    <w:r w:rsidRPr="00AF7716">
      <w:rPr>
        <w:b/>
        <w:bCs/>
        <w:color w:val="0056A9"/>
      </w:rPr>
      <w:fldChar w:fldCharType="separate"/>
    </w:r>
    <w:r w:rsidRPr="00AF7716">
      <w:rPr>
        <w:b/>
        <w:bCs/>
        <w:color w:val="0056A9"/>
      </w:rPr>
      <w:t>6</w:t>
    </w:r>
    <w:r w:rsidRPr="00AF7716">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456E5" w14:textId="77777777" w:rsidR="00EB0116" w:rsidRPr="00AF7716" w:rsidRDefault="00EB0116" w:rsidP="00E9313B">
      <w:pPr>
        <w:spacing w:after="0" w:line="240" w:lineRule="auto"/>
      </w:pPr>
      <w:r w:rsidRPr="00AF7716">
        <w:separator/>
      </w:r>
    </w:p>
  </w:footnote>
  <w:footnote w:type="continuationSeparator" w:id="0">
    <w:p w14:paraId="3A94775F" w14:textId="77777777" w:rsidR="00EB0116" w:rsidRPr="00AF7716" w:rsidRDefault="00EB0116" w:rsidP="003D0A5B">
      <w:pPr>
        <w:spacing w:after="0" w:line="240" w:lineRule="auto"/>
      </w:pPr>
      <w:r w:rsidRPr="00AF7716">
        <w:continuationSeparator/>
      </w:r>
    </w:p>
    <w:p w14:paraId="6CB44655" w14:textId="77777777" w:rsidR="00EB0116" w:rsidRPr="00AF7716" w:rsidRDefault="00EB0116"/>
    <w:p w14:paraId="5AFB2E60" w14:textId="77777777" w:rsidR="00EB0116" w:rsidRPr="00AF7716" w:rsidRDefault="00EB0116" w:rsidP="008B0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0"/>
  </w:num>
  <w:num w:numId="2" w16cid:durableId="486940803">
    <w:abstractNumId w:val="1"/>
  </w:num>
  <w:num w:numId="3" w16cid:durableId="733626722">
    <w:abstractNumId w:val="0"/>
    <w:lvlOverride w:ilvl="0">
      <w:startOverride w:val="17"/>
    </w:lvlOverride>
  </w:num>
  <w:num w:numId="4" w16cid:durableId="334842899">
    <w:abstractNumId w:val="0"/>
    <w:lvlOverride w:ilvl="0">
      <w:startOverride w:val="17"/>
    </w:lvlOverride>
  </w:num>
  <w:num w:numId="5" w16cid:durableId="1875531040">
    <w:abstractNumId w:val="0"/>
    <w:lvlOverride w:ilvl="0">
      <w:startOverride w:val="17"/>
    </w:lvlOverride>
  </w:num>
  <w:num w:numId="6" w16cid:durableId="657882825">
    <w:abstractNumId w:val="0"/>
    <w:lvlOverride w:ilvl="0">
      <w:startOverride w:val="1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4pz7bBVzzoBabhmQ8IbtHZrZs48rFBlOLPThmTm9YERpeTY739CM/o3YGgPeNDKAfCar/okVjk7RK4dq8ZICpQ==" w:salt="UDf4HIm1fadGAganH7YR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99"/>
    <w:rsid w:val="00001772"/>
    <w:rsid w:val="00015A62"/>
    <w:rsid w:val="00020E5C"/>
    <w:rsid w:val="00023273"/>
    <w:rsid w:val="00026B1C"/>
    <w:rsid w:val="000424F1"/>
    <w:rsid w:val="000446C8"/>
    <w:rsid w:val="00044815"/>
    <w:rsid w:val="00073943"/>
    <w:rsid w:val="000A1B34"/>
    <w:rsid w:val="000A3FF8"/>
    <w:rsid w:val="000B4159"/>
    <w:rsid w:val="000C0D5B"/>
    <w:rsid w:val="000D50A8"/>
    <w:rsid w:val="000D78CE"/>
    <w:rsid w:val="000E0D7D"/>
    <w:rsid w:val="000F126D"/>
    <w:rsid w:val="001149B9"/>
    <w:rsid w:val="0011671A"/>
    <w:rsid w:val="00130206"/>
    <w:rsid w:val="00141813"/>
    <w:rsid w:val="00145F56"/>
    <w:rsid w:val="00155E89"/>
    <w:rsid w:val="001809BD"/>
    <w:rsid w:val="001A5617"/>
    <w:rsid w:val="001B5742"/>
    <w:rsid w:val="001B6719"/>
    <w:rsid w:val="001C12E5"/>
    <w:rsid w:val="001D276C"/>
    <w:rsid w:val="001E22B4"/>
    <w:rsid w:val="001F3E0C"/>
    <w:rsid w:val="001F43A4"/>
    <w:rsid w:val="00207F09"/>
    <w:rsid w:val="00211BC0"/>
    <w:rsid w:val="002301AB"/>
    <w:rsid w:val="00230BAE"/>
    <w:rsid w:val="0023200A"/>
    <w:rsid w:val="00232D1C"/>
    <w:rsid w:val="002408A5"/>
    <w:rsid w:val="00240B34"/>
    <w:rsid w:val="0024512C"/>
    <w:rsid w:val="00247CB8"/>
    <w:rsid w:val="00257D40"/>
    <w:rsid w:val="00295654"/>
    <w:rsid w:val="002A04D8"/>
    <w:rsid w:val="002A05A5"/>
    <w:rsid w:val="002A3C78"/>
    <w:rsid w:val="002B0BA2"/>
    <w:rsid w:val="002B37CB"/>
    <w:rsid w:val="002D4E37"/>
    <w:rsid w:val="002D6560"/>
    <w:rsid w:val="002E6CAC"/>
    <w:rsid w:val="00300CD1"/>
    <w:rsid w:val="00300E82"/>
    <w:rsid w:val="0030223D"/>
    <w:rsid w:val="00312038"/>
    <w:rsid w:val="00330402"/>
    <w:rsid w:val="00333FB6"/>
    <w:rsid w:val="00341F9E"/>
    <w:rsid w:val="00345AEF"/>
    <w:rsid w:val="0036329E"/>
    <w:rsid w:val="0036552D"/>
    <w:rsid w:val="00375095"/>
    <w:rsid w:val="00377187"/>
    <w:rsid w:val="00384C2D"/>
    <w:rsid w:val="003852FC"/>
    <w:rsid w:val="00387F2F"/>
    <w:rsid w:val="00395721"/>
    <w:rsid w:val="003B46FA"/>
    <w:rsid w:val="003B6CAE"/>
    <w:rsid w:val="003C2A4C"/>
    <w:rsid w:val="003C71B7"/>
    <w:rsid w:val="003D0A5B"/>
    <w:rsid w:val="003D192A"/>
    <w:rsid w:val="003D4749"/>
    <w:rsid w:val="003E43D0"/>
    <w:rsid w:val="003F767E"/>
    <w:rsid w:val="003F7E90"/>
    <w:rsid w:val="00400F33"/>
    <w:rsid w:val="00402F1A"/>
    <w:rsid w:val="00403F1E"/>
    <w:rsid w:val="004053A6"/>
    <w:rsid w:val="0041293E"/>
    <w:rsid w:val="004214B1"/>
    <w:rsid w:val="004217E0"/>
    <w:rsid w:val="00423C77"/>
    <w:rsid w:val="00435F70"/>
    <w:rsid w:val="00445393"/>
    <w:rsid w:val="004637F4"/>
    <w:rsid w:val="00466FDF"/>
    <w:rsid w:val="0046726C"/>
    <w:rsid w:val="0047655D"/>
    <w:rsid w:val="00490361"/>
    <w:rsid w:val="004B0DE9"/>
    <w:rsid w:val="004D3590"/>
    <w:rsid w:val="004D525F"/>
    <w:rsid w:val="004E522A"/>
    <w:rsid w:val="004F35A8"/>
    <w:rsid w:val="00505CA3"/>
    <w:rsid w:val="005101A9"/>
    <w:rsid w:val="005218C4"/>
    <w:rsid w:val="005260EC"/>
    <w:rsid w:val="005275CB"/>
    <w:rsid w:val="00546918"/>
    <w:rsid w:val="005470AB"/>
    <w:rsid w:val="00551A3A"/>
    <w:rsid w:val="0055667A"/>
    <w:rsid w:val="005622ED"/>
    <w:rsid w:val="00574731"/>
    <w:rsid w:val="00580F8D"/>
    <w:rsid w:val="00582328"/>
    <w:rsid w:val="00597EC7"/>
    <w:rsid w:val="005C2664"/>
    <w:rsid w:val="005C2BFE"/>
    <w:rsid w:val="005C5281"/>
    <w:rsid w:val="005D2983"/>
    <w:rsid w:val="005D3011"/>
    <w:rsid w:val="005D38BE"/>
    <w:rsid w:val="005D5DD4"/>
    <w:rsid w:val="00604295"/>
    <w:rsid w:val="00613610"/>
    <w:rsid w:val="00626F7E"/>
    <w:rsid w:val="0063569F"/>
    <w:rsid w:val="00635BE9"/>
    <w:rsid w:val="00642BC1"/>
    <w:rsid w:val="006440DC"/>
    <w:rsid w:val="006511E9"/>
    <w:rsid w:val="00651507"/>
    <w:rsid w:val="00653475"/>
    <w:rsid w:val="006550CD"/>
    <w:rsid w:val="0065532A"/>
    <w:rsid w:val="0068078C"/>
    <w:rsid w:val="00685C66"/>
    <w:rsid w:val="00693141"/>
    <w:rsid w:val="006A60EA"/>
    <w:rsid w:val="006B2846"/>
    <w:rsid w:val="006B5DBD"/>
    <w:rsid w:val="006D4A12"/>
    <w:rsid w:val="00711FA7"/>
    <w:rsid w:val="007142F9"/>
    <w:rsid w:val="00715F60"/>
    <w:rsid w:val="00723362"/>
    <w:rsid w:val="00732F51"/>
    <w:rsid w:val="00737E00"/>
    <w:rsid w:val="00745D4A"/>
    <w:rsid w:val="00760D4F"/>
    <w:rsid w:val="00794DD7"/>
    <w:rsid w:val="00795D53"/>
    <w:rsid w:val="007C7010"/>
    <w:rsid w:val="0081077F"/>
    <w:rsid w:val="00830DDB"/>
    <w:rsid w:val="00836DAC"/>
    <w:rsid w:val="0084167E"/>
    <w:rsid w:val="00857EE1"/>
    <w:rsid w:val="00871B50"/>
    <w:rsid w:val="0088087A"/>
    <w:rsid w:val="008A57EA"/>
    <w:rsid w:val="008B0E37"/>
    <w:rsid w:val="008B3AE8"/>
    <w:rsid w:val="008C1CC7"/>
    <w:rsid w:val="008D2811"/>
    <w:rsid w:val="008D72A6"/>
    <w:rsid w:val="008E4682"/>
    <w:rsid w:val="008F1999"/>
    <w:rsid w:val="00902BD2"/>
    <w:rsid w:val="00907379"/>
    <w:rsid w:val="00910CC7"/>
    <w:rsid w:val="00913DF0"/>
    <w:rsid w:val="0091552B"/>
    <w:rsid w:val="00916BE4"/>
    <w:rsid w:val="00935DFA"/>
    <w:rsid w:val="00937873"/>
    <w:rsid w:val="00941F40"/>
    <w:rsid w:val="00952F15"/>
    <w:rsid w:val="00953721"/>
    <w:rsid w:val="009755E6"/>
    <w:rsid w:val="009756D1"/>
    <w:rsid w:val="00980550"/>
    <w:rsid w:val="00984B23"/>
    <w:rsid w:val="0098586B"/>
    <w:rsid w:val="009B7B60"/>
    <w:rsid w:val="009C460F"/>
    <w:rsid w:val="009D110D"/>
    <w:rsid w:val="009D1F42"/>
    <w:rsid w:val="009D3D76"/>
    <w:rsid w:val="009D6EB9"/>
    <w:rsid w:val="009E02BD"/>
    <w:rsid w:val="009E1957"/>
    <w:rsid w:val="009E5068"/>
    <w:rsid w:val="009F1DD4"/>
    <w:rsid w:val="00A02B24"/>
    <w:rsid w:val="00A129C6"/>
    <w:rsid w:val="00A1426D"/>
    <w:rsid w:val="00A66AF4"/>
    <w:rsid w:val="00A71CD9"/>
    <w:rsid w:val="00A74A61"/>
    <w:rsid w:val="00A7674C"/>
    <w:rsid w:val="00A77F8A"/>
    <w:rsid w:val="00A80D1E"/>
    <w:rsid w:val="00A84966"/>
    <w:rsid w:val="00A93469"/>
    <w:rsid w:val="00AA10E8"/>
    <w:rsid w:val="00AA49FA"/>
    <w:rsid w:val="00AA4F86"/>
    <w:rsid w:val="00AB41E2"/>
    <w:rsid w:val="00AB4433"/>
    <w:rsid w:val="00AB7F56"/>
    <w:rsid w:val="00AD06B7"/>
    <w:rsid w:val="00AE4C68"/>
    <w:rsid w:val="00AF7716"/>
    <w:rsid w:val="00B11660"/>
    <w:rsid w:val="00B15547"/>
    <w:rsid w:val="00B227C9"/>
    <w:rsid w:val="00B272A7"/>
    <w:rsid w:val="00B274FE"/>
    <w:rsid w:val="00B46F8B"/>
    <w:rsid w:val="00B66799"/>
    <w:rsid w:val="00B71F7F"/>
    <w:rsid w:val="00B72EAF"/>
    <w:rsid w:val="00B77DF5"/>
    <w:rsid w:val="00B84643"/>
    <w:rsid w:val="00B93B4F"/>
    <w:rsid w:val="00BA63DC"/>
    <w:rsid w:val="00BB261C"/>
    <w:rsid w:val="00BB29D7"/>
    <w:rsid w:val="00BB4982"/>
    <w:rsid w:val="00BC2A0C"/>
    <w:rsid w:val="00BC2FB8"/>
    <w:rsid w:val="00BC7158"/>
    <w:rsid w:val="00BD4138"/>
    <w:rsid w:val="00BE3E16"/>
    <w:rsid w:val="00BE43A7"/>
    <w:rsid w:val="00BE46D1"/>
    <w:rsid w:val="00C001A8"/>
    <w:rsid w:val="00C00464"/>
    <w:rsid w:val="00C27891"/>
    <w:rsid w:val="00C33034"/>
    <w:rsid w:val="00C34362"/>
    <w:rsid w:val="00C41BAA"/>
    <w:rsid w:val="00C423F6"/>
    <w:rsid w:val="00C431EA"/>
    <w:rsid w:val="00C436ED"/>
    <w:rsid w:val="00C445B3"/>
    <w:rsid w:val="00C548C9"/>
    <w:rsid w:val="00C639EB"/>
    <w:rsid w:val="00C64139"/>
    <w:rsid w:val="00C74B3E"/>
    <w:rsid w:val="00C776E4"/>
    <w:rsid w:val="00C86591"/>
    <w:rsid w:val="00C92601"/>
    <w:rsid w:val="00CC1217"/>
    <w:rsid w:val="00CC1F1A"/>
    <w:rsid w:val="00CC2BDA"/>
    <w:rsid w:val="00CC6F7F"/>
    <w:rsid w:val="00D04CBF"/>
    <w:rsid w:val="00D06D9E"/>
    <w:rsid w:val="00D47744"/>
    <w:rsid w:val="00D5026E"/>
    <w:rsid w:val="00D62CCD"/>
    <w:rsid w:val="00D775EA"/>
    <w:rsid w:val="00D77F2D"/>
    <w:rsid w:val="00D80B99"/>
    <w:rsid w:val="00D91C13"/>
    <w:rsid w:val="00DD3CA8"/>
    <w:rsid w:val="00DD67E1"/>
    <w:rsid w:val="00DE34F5"/>
    <w:rsid w:val="00DE37A9"/>
    <w:rsid w:val="00DE5111"/>
    <w:rsid w:val="00DE690B"/>
    <w:rsid w:val="00DE69FF"/>
    <w:rsid w:val="00DF147E"/>
    <w:rsid w:val="00E00839"/>
    <w:rsid w:val="00E0501F"/>
    <w:rsid w:val="00E10CEE"/>
    <w:rsid w:val="00E21354"/>
    <w:rsid w:val="00E43CD8"/>
    <w:rsid w:val="00E455A8"/>
    <w:rsid w:val="00E8082E"/>
    <w:rsid w:val="00E845D6"/>
    <w:rsid w:val="00E9313B"/>
    <w:rsid w:val="00EB0116"/>
    <w:rsid w:val="00EB3C3E"/>
    <w:rsid w:val="00EB6AE0"/>
    <w:rsid w:val="00EB78FA"/>
    <w:rsid w:val="00EC090A"/>
    <w:rsid w:val="00EC1C9F"/>
    <w:rsid w:val="00EC6A57"/>
    <w:rsid w:val="00ED0775"/>
    <w:rsid w:val="00ED5131"/>
    <w:rsid w:val="00ED5883"/>
    <w:rsid w:val="00EF1531"/>
    <w:rsid w:val="00EF5B22"/>
    <w:rsid w:val="00F16BE1"/>
    <w:rsid w:val="00F17ED2"/>
    <w:rsid w:val="00F22BD6"/>
    <w:rsid w:val="00F251E3"/>
    <w:rsid w:val="00F40A7E"/>
    <w:rsid w:val="00F602D4"/>
    <w:rsid w:val="00F66D09"/>
    <w:rsid w:val="00F84154"/>
    <w:rsid w:val="00F919D6"/>
    <w:rsid w:val="00F92530"/>
    <w:rsid w:val="00F96D2C"/>
    <w:rsid w:val="00FA4C6E"/>
    <w:rsid w:val="00FA590D"/>
    <w:rsid w:val="00FB2011"/>
    <w:rsid w:val="00FB6EB5"/>
    <w:rsid w:val="00FC262D"/>
    <w:rsid w:val="00FD0EAF"/>
    <w:rsid w:val="00FD2D5C"/>
    <w:rsid w:val="00FD568D"/>
    <w:rsid w:val="00FE0689"/>
    <w:rsid w:val="00FE184D"/>
    <w:rsid w:val="00FE2B7A"/>
    <w:rsid w:val="00FE5D65"/>
    <w:rsid w:val="00FF2AB3"/>
    <w:rsid w:val="00FF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DE141"/>
  <w15:chartTrackingRefBased/>
  <w15:docId w15:val="{9091BA6D-FE80-4AF1-AEA3-26AEA22D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rsid w:val="008B0E37"/>
    <w:pPr>
      <w:spacing w:line="240" w:lineRule="auto"/>
    </w:pPr>
    <w:rPr>
      <w:rFonts w:eastAsia="MS Mincho" w:cs="Traditional Arabic"/>
      <w:i/>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130206"/>
    <w:pPr>
      <w:tabs>
        <w:tab w:val="right" w:leader="dot" w:pos="9350"/>
      </w:tabs>
      <w:spacing w:after="100"/>
      <w:ind w:left="180"/>
    </w:pPr>
    <w:rPr>
      <w:rFonts w:asciiTheme="majorHAnsi" w:eastAsiaTheme="majorEastAsia" w:hAnsiTheme="majorHAnsi" w:cstheme="majorBidi"/>
      <w:b/>
      <w:bCs/>
    </w:r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table" w:styleId="ListTable3-Accent1">
    <w:name w:val="List Table 3 Accent 1"/>
    <w:basedOn w:val="TableNormal"/>
    <w:uiPriority w:val="48"/>
    <w:rsid w:val="00CC6F7F"/>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character" w:styleId="FollowedHyperlink">
    <w:name w:val="FollowedHyperlink"/>
    <w:basedOn w:val="DefaultParagraphFont"/>
    <w:uiPriority w:val="99"/>
    <w:semiHidden/>
    <w:unhideWhenUsed/>
    <w:rsid w:val="0047655D"/>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ftp.dot.state.tx.us/pub/txdot-info/env/toolkit/910-03-tem.xls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F02DA-8656-4BD8-A5E4-F6F7AB09512D}">
  <ds:schemaRefs>
    <ds:schemaRef ds:uri="7fef7c20-eb6f-4e1b-9e04-31bde27da1d8"/>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3.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4.xml><?xml version="1.0" encoding="utf-8"?>
<ds:datastoreItem xmlns:ds="http://schemas.openxmlformats.org/officeDocument/2006/customXml" ds:itemID="{9F2B24FF-C33A-4352-9313-4F143CAE4056}"/>
</file>

<file path=docProps/app.xml><?xml version="1.0" encoding="utf-8"?>
<Properties xmlns="http://schemas.openxmlformats.org/officeDocument/2006/extended-properties" xmlns:vt="http://schemas.openxmlformats.org/officeDocument/2006/docPropsVTypes">
  <Template>Normal.dotm</Template>
  <TotalTime>172</TotalTime>
  <Pages>14</Pages>
  <Words>2821</Words>
  <Characters>16086</Characters>
  <Application>Microsoft Office Word</Application>
  <DocSecurity>8</DocSecurity>
  <Lines>134</Lines>
  <Paragraphs>37</Paragraphs>
  <ScaleCrop>false</ScaleCrop>
  <HeadingPairs>
    <vt:vector size="2" baseType="variant">
      <vt:variant>
        <vt:lpstr>Title</vt:lpstr>
      </vt:variant>
      <vt:variant>
        <vt:i4>1</vt:i4>
      </vt:variant>
    </vt:vector>
  </HeadingPairs>
  <TitlesOfParts>
    <vt:vector size="1" baseType="lpstr">
      <vt:lpstr>Guidance: Preparing a Section 404 and 10 Impacts Table</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Preparing a Section 404 and 10 Impacts Table</dc:title>
  <dc:subject>Guidance: ssed to complete the "Obtain Section 404 and 10 Permit" Activity in ECOS</dc:subject>
  <dc:creator>TxDOT</dc:creator>
  <cp:keywords>910-01-gui; Guidance; Section 404; and 10; Impacts Table</cp:keywords>
  <dc:description/>
  <cp:lastModifiedBy>Elisa Garcia</cp:lastModifiedBy>
  <cp:revision>103</cp:revision>
  <dcterms:created xsi:type="dcterms:W3CDTF">2026-02-04T12:47:00Z</dcterms:created>
  <dcterms:modified xsi:type="dcterms:W3CDTF">2026-02-13T21:14:00Z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ies>
</file>