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4A2D7" w14:textId="4CFCFA33" w:rsidR="00CE2B96" w:rsidRDefault="00674C8E" w:rsidP="001705BC">
      <w:pPr>
        <w:pStyle w:val="Heading1"/>
      </w:pPr>
      <w:r>
        <w:t>Work Categories Tableau Dashboard</w:t>
      </w:r>
    </w:p>
    <w:p w14:paraId="2F37C8F4" w14:textId="67B61151" w:rsidR="001705BC" w:rsidRDefault="003A5912" w:rsidP="001705BC">
      <w:r>
        <w:t xml:space="preserve">A </w:t>
      </w:r>
      <w:r w:rsidR="009B6420">
        <w:t>Texas Department of Transportation (</w:t>
      </w:r>
      <w:r>
        <w:t>TxDOT</w:t>
      </w:r>
      <w:r w:rsidR="009B6420">
        <w:t>)</w:t>
      </w:r>
      <w:r>
        <w:t xml:space="preserve"> </w:t>
      </w:r>
      <w:r w:rsidR="00674C8E">
        <w:t xml:space="preserve">Job Aid for </w:t>
      </w:r>
      <w:r>
        <w:t xml:space="preserve">navigating the Standard </w:t>
      </w:r>
      <w:r w:rsidR="00674C8E">
        <w:t>Work Categories Dashboard</w:t>
      </w:r>
    </w:p>
    <w:p w14:paraId="0A2510FC" w14:textId="799EC3A1" w:rsidR="001705BC" w:rsidRDefault="00674C8E" w:rsidP="001705BC">
      <w:pPr>
        <w:pStyle w:val="Heading2"/>
      </w:pPr>
      <w:r>
        <w:t>Purpose</w:t>
      </w:r>
    </w:p>
    <w:p w14:paraId="2C72027F" w14:textId="759DA899" w:rsidR="00674C8E" w:rsidRDefault="00674C8E" w:rsidP="00674C8E">
      <w:pPr>
        <w:pStyle w:val="BodyText"/>
        <w:rPr>
          <w:rFonts w:ascii="Verdana" w:hAnsi="Verdana"/>
        </w:rPr>
      </w:pPr>
      <w:r w:rsidRPr="00AB232C">
        <w:rPr>
          <w:rFonts w:ascii="Verdana" w:hAnsi="Verdana"/>
        </w:rPr>
        <w:t>Th</w:t>
      </w:r>
      <w:r w:rsidR="00967306">
        <w:rPr>
          <w:rFonts w:ascii="Verdana" w:hAnsi="Verdana"/>
        </w:rPr>
        <w:t>is Job Aid is designed for TxDOT staff and external partners who need to navigate</w:t>
      </w:r>
      <w:r w:rsidR="007D1565">
        <w:rPr>
          <w:rFonts w:ascii="Verdana" w:hAnsi="Verdana"/>
        </w:rPr>
        <w:t xml:space="preserve"> standard work category data using the Work Categories </w:t>
      </w:r>
      <w:r w:rsidR="004C3DCB">
        <w:rPr>
          <w:rFonts w:ascii="Verdana" w:hAnsi="Verdana"/>
        </w:rPr>
        <w:t xml:space="preserve">Tableau Dashboard. This guide outlines how to find specific work categories and download dashboard data efficiently. </w:t>
      </w:r>
      <w:r w:rsidRPr="00AB232C">
        <w:rPr>
          <w:rFonts w:ascii="Verdana" w:hAnsi="Verdana"/>
        </w:rPr>
        <w:t xml:space="preserve"> </w:t>
      </w:r>
    </w:p>
    <w:p w14:paraId="7C2316E3" w14:textId="6931FBC6" w:rsidR="00674C8E" w:rsidRDefault="00674C8E" w:rsidP="00674C8E">
      <w:pPr>
        <w:pStyle w:val="Heading2"/>
      </w:pPr>
      <w:r>
        <w:t>Overview</w:t>
      </w:r>
    </w:p>
    <w:p w14:paraId="3E9B6095" w14:textId="77777777" w:rsidR="003C3B5E" w:rsidRDefault="00674C8E" w:rsidP="003C3B5E">
      <w:pPr>
        <w:keepNext/>
      </w:pPr>
      <w:r w:rsidRPr="00674C8E">
        <w:rPr>
          <w:rFonts w:ascii="Verdana" w:hAnsi="Verdana"/>
          <w:noProof/>
        </w:rPr>
        <w:drawing>
          <wp:inline distT="0" distB="0" distL="0" distR="0" wp14:anchorId="7FB5B113" wp14:editId="000BE14C">
            <wp:extent cx="5408117" cy="3054650"/>
            <wp:effectExtent l="133350" t="95250" r="135890" b="88900"/>
            <wp:docPr id="707341257" name="Picture 1" descr="Screenshot of TxDOT's “Precertification Work Categories” Tableau dashboar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341257" name="Picture 1" descr="Screenshot of TxDOT's “Precertification Work Categories” Tableau dashboard."/>
                    <pic:cNvPicPr/>
                  </pic:nvPicPr>
                  <pic:blipFill rotWithShape="1">
                    <a:blip r:embed="rId10"/>
                    <a:srcRect t="19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889" cy="30596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DD2AC0" w14:textId="55A01B06" w:rsidR="00621476" w:rsidRDefault="003C3B5E" w:rsidP="003C3B5E">
      <w:pPr>
        <w:pStyle w:val="Caption"/>
      </w:pPr>
      <w:r>
        <w:t xml:space="preserve">Figure </w:t>
      </w:r>
      <w:fldSimple w:instr=" SEQ Figure \* ARABIC ">
        <w:r w:rsidR="0057270A">
          <w:rPr>
            <w:noProof/>
          </w:rPr>
          <w:t>1</w:t>
        </w:r>
      </w:fldSimple>
      <w:r w:rsidR="0071629C">
        <w:t xml:space="preserve">: </w:t>
      </w:r>
      <w:r w:rsidR="001E11A1">
        <w:t xml:space="preserve">TxDOT Precertification Work Categories dashboard </w:t>
      </w:r>
    </w:p>
    <w:p w14:paraId="0D5AB612" w14:textId="0087ED95" w:rsidR="00674C8E" w:rsidRDefault="00CE1377" w:rsidP="00674C8E">
      <w:r>
        <w:t>Upon</w:t>
      </w:r>
      <w:r w:rsidR="00674C8E">
        <w:t xml:space="preserve"> opening the </w:t>
      </w:r>
      <w:r>
        <w:t>dashboard</w:t>
      </w:r>
      <w:r w:rsidR="00674C8E">
        <w:t>, you will see the full list of standard work categories</w:t>
      </w:r>
      <w:r w:rsidR="003A5912">
        <w:t xml:space="preserve"> listed in numerical order</w:t>
      </w:r>
      <w:r w:rsidR="00674C8E">
        <w:t>. Use the vertical scroll bar to the right to navigate through the work categories.</w:t>
      </w:r>
    </w:p>
    <w:p w14:paraId="0018A0B9" w14:textId="462649FF" w:rsidR="003A5912" w:rsidRDefault="0019315E" w:rsidP="003A5912">
      <w:pPr>
        <w:pStyle w:val="Heading2"/>
      </w:pPr>
      <w:r>
        <w:lastRenderedPageBreak/>
        <w:t>How to find and View Specific Work Categories</w:t>
      </w:r>
    </w:p>
    <w:p w14:paraId="43D2DF55" w14:textId="77777777" w:rsidR="0057270A" w:rsidRDefault="003A5912" w:rsidP="0057270A">
      <w:pPr>
        <w:keepNext/>
      </w:pPr>
      <w:r w:rsidRPr="003A5912">
        <w:rPr>
          <w:noProof/>
        </w:rPr>
        <w:drawing>
          <wp:inline distT="0" distB="0" distL="0" distR="0" wp14:anchorId="37672BA3" wp14:editId="014226EF">
            <wp:extent cx="6293329" cy="404405"/>
            <wp:effectExtent l="114300" t="76200" r="107950" b="72390"/>
            <wp:docPr id="1457300360" name="Picture 1" descr="Two filter dropdowns labeled “Group Name” and “Category Name.” Both fields display “(All)” and include right-side dropdown arrows for selecting categori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300360" name="Picture 1" descr="Two filter dropdowns labeled “Group Name” and “Category Name.” Both fields display “(All)” and include right-side dropdown arrows for selecting categories."/>
                    <pic:cNvPicPr/>
                  </pic:nvPicPr>
                  <pic:blipFill rotWithShape="1">
                    <a:blip r:embed="rId11"/>
                    <a:srcRect t="163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2139" cy="40818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396F22" w14:textId="23E66D83" w:rsidR="003A5912" w:rsidRDefault="0057270A" w:rsidP="0057270A">
      <w:pPr>
        <w:pStyle w:val="Caption"/>
      </w:pPr>
      <w:r>
        <w:t xml:space="preserve">Figure </w:t>
      </w:r>
      <w:fldSimple w:instr=" SEQ Figure \* ARABIC ">
        <w:r>
          <w:rPr>
            <w:noProof/>
          </w:rPr>
          <w:t>2</w:t>
        </w:r>
      </w:fldSimple>
      <w:r w:rsidR="00951603">
        <w:t xml:space="preserve">: </w:t>
      </w:r>
      <w:r w:rsidR="0071629C">
        <w:t>Filter options</w:t>
      </w:r>
    </w:p>
    <w:p w14:paraId="62253FEC" w14:textId="77777777" w:rsidR="003A5912" w:rsidRDefault="003A5912" w:rsidP="00674C8E">
      <w:r>
        <w:t xml:space="preserve">There are two options for filtering. You can filter by </w:t>
      </w:r>
    </w:p>
    <w:p w14:paraId="5ABD7734" w14:textId="7DA99303" w:rsidR="003A5912" w:rsidRDefault="003A5912" w:rsidP="003A5912">
      <w:pPr>
        <w:pStyle w:val="ListParagraph"/>
        <w:numPr>
          <w:ilvl w:val="0"/>
          <w:numId w:val="5"/>
        </w:numPr>
      </w:pPr>
      <w:r>
        <w:t>Group Name – to view all work categories within one group</w:t>
      </w:r>
    </w:p>
    <w:p w14:paraId="507BD15A" w14:textId="533772FD" w:rsidR="003A5912" w:rsidRDefault="003A5912" w:rsidP="003A5912">
      <w:pPr>
        <w:pStyle w:val="ListParagraph"/>
        <w:numPr>
          <w:ilvl w:val="0"/>
          <w:numId w:val="5"/>
        </w:numPr>
      </w:pPr>
      <w:r>
        <w:t xml:space="preserve">Category Name – to view one work category </w:t>
      </w:r>
    </w:p>
    <w:p w14:paraId="5AE7A5B0" w14:textId="212273E9" w:rsidR="00580E21" w:rsidRDefault="00580E21" w:rsidP="003A5912">
      <w:pPr>
        <w:pStyle w:val="ListParagraph"/>
        <w:numPr>
          <w:ilvl w:val="0"/>
          <w:numId w:val="5"/>
        </w:numPr>
      </w:pPr>
      <w:r>
        <w:t xml:space="preserve">Remember to </w:t>
      </w:r>
      <w:r w:rsidR="006342C8">
        <w:t>clear filters afterwards to restore the full list of work categories.</w:t>
      </w:r>
    </w:p>
    <w:p w14:paraId="445CB83E" w14:textId="4840847F" w:rsidR="005A6FD7" w:rsidRDefault="005A6FD7" w:rsidP="005A6FD7">
      <w:pPr>
        <w:pStyle w:val="Heading2"/>
      </w:pPr>
      <w:r>
        <w:t>View All</w:t>
      </w:r>
    </w:p>
    <w:p w14:paraId="055266B8" w14:textId="77777777" w:rsidR="0057270A" w:rsidRDefault="006342C8" w:rsidP="0057270A">
      <w:pPr>
        <w:keepNext/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718E1FE7" wp14:editId="757FC7EF">
            <wp:simplePos x="0" y="0"/>
            <wp:positionH relativeFrom="column">
              <wp:posOffset>3761740</wp:posOffset>
            </wp:positionH>
            <wp:positionV relativeFrom="paragraph">
              <wp:posOffset>216241</wp:posOffset>
            </wp:positionV>
            <wp:extent cx="325925" cy="325925"/>
            <wp:effectExtent l="0" t="0" r="0" b="0"/>
            <wp:wrapNone/>
            <wp:docPr id="1729580024" name="Graphic 3" descr="Curso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568324" name="Graphic 150568324" descr="Cursor with solid fill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925" cy="325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6FD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B62B39" wp14:editId="4EADD1F3">
                <wp:simplePos x="0" y="0"/>
                <wp:positionH relativeFrom="column">
                  <wp:posOffset>3940896</wp:posOffset>
                </wp:positionH>
                <wp:positionV relativeFrom="paragraph">
                  <wp:posOffset>279999</wp:posOffset>
                </wp:positionV>
                <wp:extent cx="3053193" cy="515799"/>
                <wp:effectExtent l="0" t="0" r="13970" b="17780"/>
                <wp:wrapNone/>
                <wp:docPr id="998190208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3193" cy="515799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3F76A6" id="Rectangle: Rounded Corners 1" o:spid="_x0000_s1026" style="position:absolute;margin-left:310.3pt;margin-top:22.05pt;width:240.4pt;height:4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" filled="f" strokecolor="#c00000">
                <v:stroke joinstyle="miter"/>
              </v:roundrect>
            </w:pict>
          </mc:Fallback>
        </mc:AlternateContent>
      </w:r>
      <w:r w:rsidR="005A6FD7" w:rsidRPr="005A6FD7">
        <w:rPr>
          <w:noProof/>
        </w:rPr>
        <w:drawing>
          <wp:inline distT="0" distB="0" distL="0" distR="0" wp14:anchorId="054503FF" wp14:editId="40FF0B70">
            <wp:extent cx="6858000" cy="720090"/>
            <wp:effectExtent l="133350" t="76200" r="133350" b="80010"/>
            <wp:docPr id="285206696" name="Picture 1" descr="Table screenshot presents a work category with a description and precertification requirements. A cursor hovers over the certification requirements section to reveal the full tex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206696" name="Picture 1" descr="Table screenshot presents a work category with a description and precertification requirements. A cursor hovers over the certification requirements section to reveal the full tex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720090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044D982" w14:textId="3ED667E3" w:rsidR="005A6FD7" w:rsidRDefault="0057270A" w:rsidP="0057270A">
      <w:pPr>
        <w:pStyle w:val="Caption"/>
      </w:pPr>
      <w:r>
        <w:t xml:space="preserve">Figure </w:t>
      </w:r>
      <w:fldSimple w:instr=" SEQ Figure \* ARABIC ">
        <w:r>
          <w:rPr>
            <w:noProof/>
          </w:rPr>
          <w:t>3</w:t>
        </w:r>
      </w:fldSimple>
      <w:r w:rsidR="00951603">
        <w:t>: Cursor hovering over the field to view full text</w:t>
      </w:r>
    </w:p>
    <w:p w14:paraId="294E5931" w14:textId="36FFE40F" w:rsidR="005A6FD7" w:rsidRDefault="005A6FD7" w:rsidP="005A6FD7">
      <w:r>
        <w:t xml:space="preserve">Standard view shows the first 4 lines of language for both work category descriptions and Certification Requirements. To view all language for one cell, hover over the cell with your cursor. A new window will </w:t>
      </w:r>
      <w:r w:rsidR="002921D1">
        <w:t>pop up</w:t>
      </w:r>
      <w:r>
        <w:t xml:space="preserve"> with the full description or requirement.</w:t>
      </w:r>
    </w:p>
    <w:p w14:paraId="71177DD3" w14:textId="4527A443" w:rsidR="00311DD2" w:rsidRDefault="00311DD2" w:rsidP="00311DD2">
      <w:pPr>
        <w:pStyle w:val="Heading2"/>
      </w:pPr>
      <w:r>
        <w:t>Downloading</w:t>
      </w:r>
    </w:p>
    <w:p w14:paraId="7F919948" w14:textId="77777777" w:rsidR="0057270A" w:rsidRDefault="007E4F3A" w:rsidP="0057270A">
      <w:pPr>
        <w:keepNext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62CFCC80" wp14:editId="62E402E3">
            <wp:simplePos x="0" y="0"/>
            <wp:positionH relativeFrom="column">
              <wp:posOffset>1244851</wp:posOffset>
            </wp:positionH>
            <wp:positionV relativeFrom="paragraph">
              <wp:posOffset>754305</wp:posOffset>
            </wp:positionV>
            <wp:extent cx="325925" cy="325925"/>
            <wp:effectExtent l="0" t="0" r="0" b="0"/>
            <wp:wrapNone/>
            <wp:docPr id="150568324" name="Graphic 3" descr="Curso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568324" name="Graphic 150568324" descr="Cursor with solid fill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984" cy="3269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E4F3A">
        <w:rPr>
          <w:noProof/>
        </w:rPr>
        <w:drawing>
          <wp:inline distT="0" distB="0" distL="0" distR="0" wp14:anchorId="5FFCEFC6" wp14:editId="0C34428F">
            <wp:extent cx="2534004" cy="819264"/>
            <wp:effectExtent l="76200" t="76200" r="76200" b="76200"/>
            <wp:docPr id="321496697" name="Picture 1" descr="Screenshot of a download and sharing toolbar with a popup labeled “Choose a format to download.” Dark teal toolbar includes monitor, dropdown, selection, and Share icon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496697" name="Picture 1" descr="Screenshot of a download and sharing toolbar with a popup labeled “Choose a format to download.” Dark teal toolbar includes monitor, dropdown, selection, and Share icons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34004" cy="819264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6E52DB7" w14:textId="1ACE60C4" w:rsidR="00311DD2" w:rsidRDefault="0057270A" w:rsidP="0057270A">
      <w:pPr>
        <w:pStyle w:val="Caption"/>
      </w:pPr>
      <w:r>
        <w:t xml:space="preserve">Figure </w:t>
      </w:r>
      <w:fldSimple w:instr=" SEQ Figure \* ARABIC ">
        <w:r>
          <w:rPr>
            <w:noProof/>
          </w:rPr>
          <w:t>4</w:t>
        </w:r>
      </w:fldSimple>
      <w:r w:rsidR="00A04901">
        <w:t xml:space="preserve">: </w:t>
      </w:r>
      <w:r w:rsidR="00951603">
        <w:t>Selection of the download icon</w:t>
      </w:r>
    </w:p>
    <w:p w14:paraId="30FFE103" w14:textId="33542A38" w:rsidR="00EB5A43" w:rsidRDefault="00EB5A43" w:rsidP="005A6FD7">
      <w:r>
        <w:t>Select the download icon</w:t>
      </w:r>
      <w:r w:rsidR="00CB2AD0">
        <w:t xml:space="preserve"> on the dashboard toolbar</w:t>
      </w:r>
      <w:r w:rsidR="00E92F15">
        <w:t>,</w:t>
      </w:r>
      <w:r>
        <w:t xml:space="preserve"> at the bottom right corner.</w:t>
      </w:r>
      <w:r w:rsidR="00B84A69">
        <w:t xml:space="preserve"> Select PDF </w:t>
      </w:r>
      <w:r w:rsidR="00E92F15">
        <w:t>from the list of export options.</w:t>
      </w:r>
      <w:r w:rsidR="00B84A69">
        <w:t xml:space="preserve"> </w:t>
      </w:r>
    </w:p>
    <w:p w14:paraId="736BB711" w14:textId="77777777" w:rsidR="0057270A" w:rsidRDefault="00E560E8" w:rsidP="0057270A">
      <w:pPr>
        <w:keepNext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2FF0B716" wp14:editId="7FE45DB3">
            <wp:simplePos x="0" y="0"/>
            <wp:positionH relativeFrom="column">
              <wp:posOffset>1792757</wp:posOffset>
            </wp:positionH>
            <wp:positionV relativeFrom="paragraph">
              <wp:posOffset>1043188</wp:posOffset>
            </wp:positionV>
            <wp:extent cx="325925" cy="325925"/>
            <wp:effectExtent l="0" t="0" r="0" b="0"/>
            <wp:wrapNone/>
            <wp:docPr id="827884718" name="Graphic 3" descr="Curso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568324" name="Graphic 150568324" descr="Cursor with solid fill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925" cy="325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60E8">
        <w:rPr>
          <w:noProof/>
        </w:rPr>
        <w:drawing>
          <wp:inline distT="0" distB="0" distL="0" distR="0" wp14:anchorId="07DB4C47" wp14:editId="5C43BAA3">
            <wp:extent cx="2748927" cy="2083755"/>
            <wp:effectExtent l="76200" t="95250" r="70485" b="88265"/>
            <wp:docPr id="124265382" name="Picture 1" descr="Screenshot of a “Download PDF” dialog for exporting dashboard content. “This View” is selected, with options for specific sheets, Letter page size, Portrait orientation, and blue Download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65382" name="Picture 1" descr="Screenshot of a “Download PDF” dialog for exporting dashboard content. “This View” is selected, with options for specific sheets, Letter page size, Portrait orientation, and blue Download button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59098" cy="2091465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D4BCDD3" w14:textId="7CC0EA69" w:rsidR="00E560E8" w:rsidRDefault="0057270A" w:rsidP="0057270A">
      <w:pPr>
        <w:pStyle w:val="Caption"/>
      </w:pPr>
      <w:r>
        <w:t xml:space="preserve">Figure </w:t>
      </w:r>
      <w:fldSimple w:instr=" SEQ Figure \* ARABIC ">
        <w:r>
          <w:rPr>
            <w:noProof/>
          </w:rPr>
          <w:t>5</w:t>
        </w:r>
      </w:fldSimple>
      <w:r w:rsidR="00A04901">
        <w:t>: Selection of “Specific sheets from this dashboard” to download</w:t>
      </w:r>
    </w:p>
    <w:p w14:paraId="03ED297E" w14:textId="52BF815F" w:rsidR="0061752E" w:rsidRDefault="0061752E" w:rsidP="005A6FD7">
      <w:r>
        <w:t xml:space="preserve">Select specific sheets from this dashboard. </w:t>
      </w:r>
    </w:p>
    <w:p w14:paraId="0939E71A" w14:textId="77777777" w:rsidR="0057270A" w:rsidRDefault="006B19DA" w:rsidP="0057270A">
      <w:pPr>
        <w:keepNext/>
      </w:pPr>
      <w:r w:rsidRPr="006B19DA">
        <w:rPr>
          <w:noProof/>
        </w:rPr>
        <w:drawing>
          <wp:inline distT="0" distB="0" distL="0" distR="0" wp14:anchorId="758AB7FD" wp14:editId="30C04E25">
            <wp:extent cx="2086851" cy="2387357"/>
            <wp:effectExtent l="76200" t="95250" r="85090" b="89535"/>
            <wp:docPr id="616718291" name="Picture 1" descr="Screenshot of a Download PDF dialog for selecting dashboard sheets. Data sheet is selected, with 1 of 3 sheets shown, Automatic scaling, Letter page size, Portrait orientation, and Select All, Clear All, and Download button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718291" name="Picture 1" descr="Screenshot of a Download PDF dialog for selecting dashboard sheets. Data sheet is selected, with 1 of 3 sheets shown, Automatic scaling, Letter page size, Portrait orientation, and Select All, Clear All, and Download buttons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92656" cy="2393998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FE5D3CA" w14:textId="07AB9A4B" w:rsidR="006B19DA" w:rsidRDefault="0057270A" w:rsidP="0057270A">
      <w:pPr>
        <w:pStyle w:val="Caption"/>
      </w:pPr>
      <w:r>
        <w:t xml:space="preserve">Figure </w:t>
      </w:r>
      <w:fldSimple w:instr=" SEQ Figure \* ARABIC ">
        <w:r>
          <w:rPr>
            <w:noProof/>
          </w:rPr>
          <w:t>6</w:t>
        </w:r>
      </w:fldSimple>
      <w:r w:rsidR="009C6111">
        <w:t xml:space="preserve">: </w:t>
      </w:r>
      <w:r w:rsidR="00A04901">
        <w:t>Selection of the “Data” field to download</w:t>
      </w:r>
    </w:p>
    <w:p w14:paraId="13327476" w14:textId="75434B68" w:rsidR="001E1D40" w:rsidRDefault="006B19DA" w:rsidP="005A6FD7">
      <w:r>
        <w:t>Select Data only and then Download</w:t>
      </w:r>
      <w:r w:rsidR="003A384F">
        <w:t xml:space="preserve"> to save the file to your device</w:t>
      </w:r>
      <w:r>
        <w:t>.</w:t>
      </w:r>
    </w:p>
    <w:p w14:paraId="5CA1EC65" w14:textId="77777777" w:rsidR="0057270A" w:rsidRDefault="001E1D40" w:rsidP="0057270A">
      <w:pPr>
        <w:keepNext/>
      </w:pPr>
      <w:r w:rsidRPr="001E1D40">
        <w:rPr>
          <w:noProof/>
        </w:rPr>
        <w:lastRenderedPageBreak/>
        <w:drawing>
          <wp:inline distT="0" distB="0" distL="0" distR="0" wp14:anchorId="2AF22DB8" wp14:editId="5066122D">
            <wp:extent cx="5190365" cy="3014864"/>
            <wp:effectExtent l="133350" t="95250" r="125095" b="90805"/>
            <wp:docPr id="1938966254" name="Picture 1" descr="Table screenshot shows the downloaded view of the work categories l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966254" name="Picture 1" descr="Table screenshot shows the downloaded view of the work categories list."/>
                    <pic:cNvPicPr/>
                  </pic:nvPicPr>
                  <pic:blipFill rotWithShape="1">
                    <a:blip r:embed="rId18"/>
                    <a:srcRect t="87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937" cy="301751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0ED939" w14:textId="3F7BD4C5" w:rsidR="001E1D40" w:rsidRDefault="0057270A" w:rsidP="0057270A">
      <w:pPr>
        <w:pStyle w:val="Caption"/>
      </w:pPr>
      <w:r>
        <w:t xml:space="preserve">Figure </w:t>
      </w:r>
      <w:fldSimple w:instr=" SEQ Figure \* ARABIC ">
        <w:r>
          <w:rPr>
            <w:noProof/>
          </w:rPr>
          <w:t>7</w:t>
        </w:r>
      </w:fldSimple>
      <w:r w:rsidR="009C6111">
        <w:t>: Downloaded view of the dashboard</w:t>
      </w:r>
    </w:p>
    <w:p w14:paraId="72764B06" w14:textId="5D96A3E5" w:rsidR="00EB5A43" w:rsidRPr="00D270BE" w:rsidRDefault="002A77B7" w:rsidP="005A6FD7">
      <w:r>
        <w:t xml:space="preserve">Note: </w:t>
      </w:r>
      <w:r w:rsidR="001E1D40">
        <w:t xml:space="preserve">This </w:t>
      </w:r>
      <w:r w:rsidR="002D4E4E">
        <w:t xml:space="preserve">action </w:t>
      </w:r>
      <w:r w:rsidR="001E1D40">
        <w:t>download</w:t>
      </w:r>
      <w:r w:rsidR="002D4E4E">
        <w:t>s</w:t>
      </w:r>
      <w:r w:rsidR="001E1D40">
        <w:t xml:space="preserve"> a full list of the work categories. Please be advised that </w:t>
      </w:r>
      <w:r w:rsidR="00CF0F67">
        <w:t xml:space="preserve">long block text will remain truncated. If you require the complete text, you must view it interactively on the live dashboard using the hover/pop-up feature. </w:t>
      </w:r>
    </w:p>
    <w:sectPr w:rsidR="00EB5A43" w:rsidRPr="00D270BE" w:rsidSect="001705BC">
      <w:headerReference w:type="default" r:id="rId19"/>
      <w:footerReference w:type="default" r:id="rId20"/>
      <w:headerReference w:type="first" r:id="rId21"/>
      <w:pgSz w:w="12240" w:h="15840" w:code="1"/>
      <w:pgMar w:top="720" w:right="720" w:bottom="720" w:left="72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9A0D6" w14:textId="77777777" w:rsidR="00CF64B8" w:rsidRDefault="00CF64B8" w:rsidP="00CE2B96">
      <w:pPr>
        <w:spacing w:after="0"/>
      </w:pPr>
      <w:r>
        <w:separator/>
      </w:r>
    </w:p>
  </w:endnote>
  <w:endnote w:type="continuationSeparator" w:id="0">
    <w:p w14:paraId="551C08CF" w14:textId="77777777" w:rsidR="00CF64B8" w:rsidRDefault="00CF64B8" w:rsidP="00CE2B9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 Bold">
    <w:panose1 w:val="020B080403050404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38568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2F0FE0" w14:textId="30137EBE" w:rsidR="003F1D91" w:rsidRDefault="003F1D9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D4ED24" w14:textId="77777777" w:rsidR="003F1D91" w:rsidRDefault="003F1D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B4D5C" w14:textId="77777777" w:rsidR="00CF64B8" w:rsidRDefault="00CF64B8" w:rsidP="00CE2B96">
      <w:pPr>
        <w:spacing w:after="0"/>
      </w:pPr>
      <w:r>
        <w:separator/>
      </w:r>
    </w:p>
  </w:footnote>
  <w:footnote w:type="continuationSeparator" w:id="0">
    <w:p w14:paraId="01A230E2" w14:textId="77777777" w:rsidR="00CF64B8" w:rsidRDefault="00CF64B8" w:rsidP="00CE2B9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67905" w14:textId="77777777" w:rsidR="001705BC" w:rsidRDefault="001705BC" w:rsidP="001705BC">
    <w:pPr>
      <w:pStyle w:val="Header"/>
      <w:spacing w:after="400"/>
      <w:jc w:val="right"/>
    </w:pPr>
    <w:r>
      <w:rPr>
        <w:noProof/>
      </w:rPr>
      <w:drawing>
        <wp:inline distT="0" distB="0" distL="0" distR="0" wp14:anchorId="163EE95B" wp14:editId="068AFED6">
          <wp:extent cx="1915044" cy="347472"/>
          <wp:effectExtent l="0" t="0" r="0" b="0"/>
          <wp:docPr id="882335144" name="Graphic 1" descr="Texas Department of Transportatio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335144" name="Graphic 1" descr="Texas Department of Transportation logo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5044" cy="3474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09ACD" w14:textId="77777777" w:rsidR="00CE2B96" w:rsidRPr="002A75F2" w:rsidRDefault="00CE2B96" w:rsidP="002A75F2">
    <w:pPr>
      <w:spacing w:after="2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EB522D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C4C12DE"/>
    <w:multiLevelType w:val="multilevel"/>
    <w:tmpl w:val="89B43690"/>
    <w:lvl w:ilvl="0">
      <w:start w:val="1"/>
      <w:numFmt w:val="decimal"/>
      <w:pStyle w:val="ListNumber"/>
      <w:lvlText w:val="%1."/>
      <w:lvlJc w:val="left"/>
      <w:pPr>
        <w:ind w:left="792" w:hanging="43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24" w:hanging="432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656" w:hanging="432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088" w:hanging="432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432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952" w:hanging="432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384" w:hanging="43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816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248" w:hanging="432"/>
      </w:pPr>
      <w:rPr>
        <w:rFonts w:hint="default"/>
      </w:rPr>
    </w:lvl>
  </w:abstractNum>
  <w:abstractNum w:abstractNumId="2" w15:restartNumberingAfterBreak="0">
    <w:nsid w:val="65BF1531"/>
    <w:multiLevelType w:val="hybridMultilevel"/>
    <w:tmpl w:val="368E4A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FD11F3"/>
    <w:multiLevelType w:val="multilevel"/>
    <w:tmpl w:val="C214F574"/>
    <w:lvl w:ilvl="0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color w:val="0056A9" w:themeColor="accent1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Franklin Gothic Book" w:hAnsi="Franklin Gothic Book" w:hint="default"/>
        <w:color w:val="0056A9" w:themeColor="accent1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0056A9" w:themeColor="accent1"/>
      </w:rPr>
    </w:lvl>
    <w:lvl w:ilvl="3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  <w:color w:val="0056A9" w:themeColor="accent1"/>
      </w:rPr>
    </w:lvl>
    <w:lvl w:ilvl="4">
      <w:start w:val="1"/>
      <w:numFmt w:val="bullet"/>
      <w:lvlText w:val="°"/>
      <w:lvlJc w:val="left"/>
      <w:pPr>
        <w:ind w:left="2160" w:hanging="360"/>
      </w:pPr>
      <w:rPr>
        <w:rFonts w:ascii="Verdana" w:hAnsi="Verdana" w:hint="default"/>
        <w:color w:val="0056A9" w:themeColor="accent1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num w:numId="1" w16cid:durableId="486940803">
    <w:abstractNumId w:val="3"/>
  </w:num>
  <w:num w:numId="2" w16cid:durableId="1867331364">
    <w:abstractNumId w:val="0"/>
  </w:num>
  <w:num w:numId="3" w16cid:durableId="1724865868">
    <w:abstractNumId w:val="0"/>
  </w:num>
  <w:num w:numId="4" w16cid:durableId="918443326">
    <w:abstractNumId w:val="1"/>
  </w:num>
  <w:num w:numId="5" w16cid:durableId="21431857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C8E"/>
    <w:rsid w:val="000327E2"/>
    <w:rsid w:val="00040371"/>
    <w:rsid w:val="0005583F"/>
    <w:rsid w:val="000940FB"/>
    <w:rsid w:val="000B2945"/>
    <w:rsid w:val="000C7AD7"/>
    <w:rsid w:val="000D7C40"/>
    <w:rsid w:val="000E0386"/>
    <w:rsid w:val="00105532"/>
    <w:rsid w:val="00110644"/>
    <w:rsid w:val="0012534D"/>
    <w:rsid w:val="00142031"/>
    <w:rsid w:val="001705BC"/>
    <w:rsid w:val="00185734"/>
    <w:rsid w:val="0018586E"/>
    <w:rsid w:val="0019315E"/>
    <w:rsid w:val="001B4AF9"/>
    <w:rsid w:val="001B6C26"/>
    <w:rsid w:val="001E11A1"/>
    <w:rsid w:val="001E1D40"/>
    <w:rsid w:val="001F432B"/>
    <w:rsid w:val="002340C7"/>
    <w:rsid w:val="00237C42"/>
    <w:rsid w:val="00247AE5"/>
    <w:rsid w:val="00256A68"/>
    <w:rsid w:val="00273031"/>
    <w:rsid w:val="00284504"/>
    <w:rsid w:val="00290571"/>
    <w:rsid w:val="00290A05"/>
    <w:rsid w:val="002921D1"/>
    <w:rsid w:val="002A75F2"/>
    <w:rsid w:val="002A77B7"/>
    <w:rsid w:val="002D4E4E"/>
    <w:rsid w:val="002E4C80"/>
    <w:rsid w:val="00311DD2"/>
    <w:rsid w:val="0031573E"/>
    <w:rsid w:val="003802CB"/>
    <w:rsid w:val="003A384F"/>
    <w:rsid w:val="003A504F"/>
    <w:rsid w:val="003A5912"/>
    <w:rsid w:val="003C3B5E"/>
    <w:rsid w:val="003D41C5"/>
    <w:rsid w:val="003F1D91"/>
    <w:rsid w:val="003F7555"/>
    <w:rsid w:val="004112F8"/>
    <w:rsid w:val="0042061E"/>
    <w:rsid w:val="00427DBB"/>
    <w:rsid w:val="00437A34"/>
    <w:rsid w:val="004A1102"/>
    <w:rsid w:val="004C3DCB"/>
    <w:rsid w:val="004E496F"/>
    <w:rsid w:val="004E7B23"/>
    <w:rsid w:val="004F6A2D"/>
    <w:rsid w:val="00501A04"/>
    <w:rsid w:val="005555C5"/>
    <w:rsid w:val="0057270A"/>
    <w:rsid w:val="00580E21"/>
    <w:rsid w:val="00597E72"/>
    <w:rsid w:val="005A6FD7"/>
    <w:rsid w:val="005A730F"/>
    <w:rsid w:val="005D04EF"/>
    <w:rsid w:val="00601370"/>
    <w:rsid w:val="00605137"/>
    <w:rsid w:val="006125F2"/>
    <w:rsid w:val="0061752E"/>
    <w:rsid w:val="00621476"/>
    <w:rsid w:val="00622606"/>
    <w:rsid w:val="006258E9"/>
    <w:rsid w:val="006342C8"/>
    <w:rsid w:val="0065337D"/>
    <w:rsid w:val="00653515"/>
    <w:rsid w:val="00674C8E"/>
    <w:rsid w:val="00686796"/>
    <w:rsid w:val="006A1352"/>
    <w:rsid w:val="006B19DA"/>
    <w:rsid w:val="006B34EF"/>
    <w:rsid w:val="006C04C7"/>
    <w:rsid w:val="006C427A"/>
    <w:rsid w:val="00713CE0"/>
    <w:rsid w:val="0071629C"/>
    <w:rsid w:val="0072002A"/>
    <w:rsid w:val="007412DF"/>
    <w:rsid w:val="00770630"/>
    <w:rsid w:val="00780BC7"/>
    <w:rsid w:val="00790DD5"/>
    <w:rsid w:val="007A17D6"/>
    <w:rsid w:val="007A3B26"/>
    <w:rsid w:val="007C4DD3"/>
    <w:rsid w:val="007D1565"/>
    <w:rsid w:val="007E4F3A"/>
    <w:rsid w:val="00806AC8"/>
    <w:rsid w:val="008316C2"/>
    <w:rsid w:val="00854773"/>
    <w:rsid w:val="00862630"/>
    <w:rsid w:val="0086528F"/>
    <w:rsid w:val="00867A02"/>
    <w:rsid w:val="0087110F"/>
    <w:rsid w:val="008B1B55"/>
    <w:rsid w:val="008C0406"/>
    <w:rsid w:val="008E281B"/>
    <w:rsid w:val="008E4188"/>
    <w:rsid w:val="008F41F2"/>
    <w:rsid w:val="00901211"/>
    <w:rsid w:val="0091552D"/>
    <w:rsid w:val="009160AB"/>
    <w:rsid w:val="0091704D"/>
    <w:rsid w:val="00931C0A"/>
    <w:rsid w:val="00942EBF"/>
    <w:rsid w:val="00945878"/>
    <w:rsid w:val="00951603"/>
    <w:rsid w:val="00967306"/>
    <w:rsid w:val="00967F5A"/>
    <w:rsid w:val="00976A16"/>
    <w:rsid w:val="00995A37"/>
    <w:rsid w:val="00995D68"/>
    <w:rsid w:val="009A0F8F"/>
    <w:rsid w:val="009A1A95"/>
    <w:rsid w:val="009A5764"/>
    <w:rsid w:val="009B6420"/>
    <w:rsid w:val="009C6111"/>
    <w:rsid w:val="009F116C"/>
    <w:rsid w:val="009F72F5"/>
    <w:rsid w:val="00A04901"/>
    <w:rsid w:val="00A10252"/>
    <w:rsid w:val="00A14A49"/>
    <w:rsid w:val="00A22F82"/>
    <w:rsid w:val="00A44284"/>
    <w:rsid w:val="00A517D8"/>
    <w:rsid w:val="00A56AFA"/>
    <w:rsid w:val="00A62467"/>
    <w:rsid w:val="00A628CD"/>
    <w:rsid w:val="00A71049"/>
    <w:rsid w:val="00AC64B9"/>
    <w:rsid w:val="00AE1A16"/>
    <w:rsid w:val="00B07583"/>
    <w:rsid w:val="00B30B03"/>
    <w:rsid w:val="00B51151"/>
    <w:rsid w:val="00B63CB8"/>
    <w:rsid w:val="00B83658"/>
    <w:rsid w:val="00B84690"/>
    <w:rsid w:val="00B84A69"/>
    <w:rsid w:val="00B93172"/>
    <w:rsid w:val="00BC3C15"/>
    <w:rsid w:val="00BD51E7"/>
    <w:rsid w:val="00BD7E0B"/>
    <w:rsid w:val="00C0107C"/>
    <w:rsid w:val="00C05609"/>
    <w:rsid w:val="00C25F78"/>
    <w:rsid w:val="00C27402"/>
    <w:rsid w:val="00C27E67"/>
    <w:rsid w:val="00C431D9"/>
    <w:rsid w:val="00C923ED"/>
    <w:rsid w:val="00CB2AD0"/>
    <w:rsid w:val="00CC00DC"/>
    <w:rsid w:val="00CE1377"/>
    <w:rsid w:val="00CE2B96"/>
    <w:rsid w:val="00CE6A5A"/>
    <w:rsid w:val="00CF0F67"/>
    <w:rsid w:val="00CF2B9F"/>
    <w:rsid w:val="00CF64B8"/>
    <w:rsid w:val="00D058C9"/>
    <w:rsid w:val="00D07333"/>
    <w:rsid w:val="00D07FC6"/>
    <w:rsid w:val="00D1407C"/>
    <w:rsid w:val="00D270BE"/>
    <w:rsid w:val="00D4473A"/>
    <w:rsid w:val="00D46BC3"/>
    <w:rsid w:val="00D52D93"/>
    <w:rsid w:val="00D571F8"/>
    <w:rsid w:val="00DB5DE5"/>
    <w:rsid w:val="00DB6A6F"/>
    <w:rsid w:val="00DD5129"/>
    <w:rsid w:val="00DF4357"/>
    <w:rsid w:val="00E071B5"/>
    <w:rsid w:val="00E07C0E"/>
    <w:rsid w:val="00E12E46"/>
    <w:rsid w:val="00E50774"/>
    <w:rsid w:val="00E50CA5"/>
    <w:rsid w:val="00E560E8"/>
    <w:rsid w:val="00E72FCC"/>
    <w:rsid w:val="00E82A9B"/>
    <w:rsid w:val="00E85F5E"/>
    <w:rsid w:val="00E92F15"/>
    <w:rsid w:val="00EB5A43"/>
    <w:rsid w:val="00EC16F0"/>
    <w:rsid w:val="00EF5AF8"/>
    <w:rsid w:val="00F11034"/>
    <w:rsid w:val="00F35F29"/>
    <w:rsid w:val="00F44653"/>
    <w:rsid w:val="00F53357"/>
    <w:rsid w:val="00F63F58"/>
    <w:rsid w:val="00F91366"/>
    <w:rsid w:val="00FB50FD"/>
    <w:rsid w:val="00FC4A49"/>
    <w:rsid w:val="00FF4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29AAFC"/>
  <w15:chartTrackingRefBased/>
  <w15:docId w15:val="{61FB9EA2-212A-40D3-9CB8-01EF8A96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31D9"/>
    <w:pPr>
      <w:spacing w:after="200" w:line="360" w:lineRule="auto"/>
    </w:pPr>
    <w:rPr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1370"/>
    <w:pPr>
      <w:keepNext/>
      <w:keepLines/>
      <w:spacing w:after="240" w:line="240" w:lineRule="auto"/>
      <w:outlineLvl w:val="0"/>
    </w:pPr>
    <w:rPr>
      <w:rFonts w:ascii="Verdana" w:eastAsiaTheme="majorEastAsia" w:hAnsi="Verdana" w:cstheme="majorBidi"/>
      <w:b/>
      <w:color w:val="0056A9" w:themeColor="accent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01370"/>
    <w:pPr>
      <w:keepNext/>
      <w:keepLines/>
      <w:spacing w:after="0"/>
      <w:outlineLvl w:val="1"/>
    </w:pPr>
    <w:rPr>
      <w:rFonts w:ascii="Verdana" w:eastAsiaTheme="majorEastAsia" w:hAnsi="Verdana" w:cstheme="majorBidi"/>
      <w:b/>
      <w:color w:val="0056A9" w:themeColor="accent1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01370"/>
    <w:pPr>
      <w:keepNext/>
      <w:keepLines/>
      <w:spacing w:before="40" w:after="0"/>
      <w:outlineLvl w:val="2"/>
    </w:pPr>
    <w:rPr>
      <w:rFonts w:ascii="Verdana" w:eastAsiaTheme="majorEastAsia" w:hAnsi="Verdana" w:cstheme="majorBidi"/>
      <w:b/>
      <w:i/>
      <w:color w:val="002E69" w:themeColor="accent5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01370"/>
    <w:pPr>
      <w:keepNext/>
      <w:keepLines/>
      <w:spacing w:before="40" w:after="0"/>
      <w:outlineLvl w:val="3"/>
    </w:pPr>
    <w:rPr>
      <w:rFonts w:ascii="Verdana" w:eastAsiaTheme="majorEastAsia" w:hAnsi="Verdana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rsid w:val="00F63F58"/>
    <w:rPr>
      <w:color w:val="000000" w:themeColor="text1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01370"/>
    <w:rPr>
      <w:rFonts w:ascii="Verdana" w:eastAsiaTheme="majorEastAsia" w:hAnsi="Verdana" w:cstheme="majorBidi"/>
      <w:b/>
      <w:color w:val="0056A9" w:themeColor="accent1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01370"/>
    <w:rPr>
      <w:rFonts w:ascii="Verdana" w:eastAsiaTheme="majorEastAsia" w:hAnsi="Verdana" w:cstheme="majorBidi"/>
      <w:b/>
      <w:color w:val="0056A9" w:themeColor="accent1"/>
      <w:sz w:val="32"/>
      <w:szCs w:val="26"/>
    </w:rPr>
  </w:style>
  <w:style w:type="paragraph" w:styleId="ListParagraph">
    <w:name w:val="List Paragraph"/>
    <w:basedOn w:val="Normal"/>
    <w:uiPriority w:val="34"/>
    <w:rsid w:val="00437A34"/>
    <w:pPr>
      <w:spacing w:before="120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705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05BC"/>
    <w:rPr>
      <w:color w:val="000000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1705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05BC"/>
    <w:rPr>
      <w:color w:val="000000" w:themeColor="text1"/>
      <w:sz w:val="20"/>
    </w:rPr>
  </w:style>
  <w:style w:type="character" w:customStyle="1" w:styleId="Heading3Char">
    <w:name w:val="Heading 3 Char"/>
    <w:basedOn w:val="DefaultParagraphFont"/>
    <w:link w:val="Heading3"/>
    <w:uiPriority w:val="9"/>
    <w:rsid w:val="00601370"/>
    <w:rPr>
      <w:rFonts w:ascii="Verdana" w:eastAsiaTheme="majorEastAsia" w:hAnsi="Verdana" w:cstheme="majorBidi"/>
      <w:b/>
      <w:i/>
      <w:color w:val="002E69" w:themeColor="accent5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01370"/>
    <w:rPr>
      <w:rFonts w:ascii="Verdana" w:eastAsiaTheme="majorEastAsia" w:hAnsi="Verdana" w:cstheme="majorBidi"/>
      <w:b/>
      <w:iCs/>
      <w:color w:val="000000" w:themeColor="text1"/>
    </w:rPr>
  </w:style>
  <w:style w:type="paragraph" w:styleId="ListBullet">
    <w:name w:val="List Bullet"/>
    <w:basedOn w:val="Normal"/>
    <w:uiPriority w:val="1"/>
    <w:qFormat/>
    <w:rsid w:val="00D270BE"/>
    <w:pPr>
      <w:numPr>
        <w:numId w:val="1"/>
      </w:numPr>
      <w:contextualSpacing/>
    </w:pPr>
    <w:rPr>
      <w:rFonts w:ascii="Verdana" w:eastAsia="MS Mincho" w:hAnsi="Verdana" w:cs="Times New Roman"/>
      <w:color w:val="000000"/>
      <w:kern w:val="0"/>
      <w:szCs w:val="22"/>
      <w14:ligatures w14:val="none"/>
    </w:rPr>
  </w:style>
  <w:style w:type="paragraph" w:styleId="ListNumber">
    <w:name w:val="List Number"/>
    <w:basedOn w:val="BodyText"/>
    <w:uiPriority w:val="1"/>
    <w:qFormat/>
    <w:rsid w:val="00D270BE"/>
    <w:pPr>
      <w:numPr>
        <w:numId w:val="4"/>
      </w:numPr>
      <w:spacing w:after="200"/>
      <w:contextualSpacing/>
    </w:pPr>
    <w:rPr>
      <w:rFonts w:ascii="Verdana" w:eastAsia="MS Mincho" w:hAnsi="Verdana" w:cs="Times New Roman"/>
      <w:color w:val="000000"/>
      <w:kern w:val="0"/>
      <w:szCs w:val="22"/>
      <w14:ligatures w14:val="none"/>
    </w:rPr>
  </w:style>
  <w:style w:type="paragraph" w:styleId="BodyText">
    <w:name w:val="Body Text"/>
    <w:basedOn w:val="Normal"/>
    <w:link w:val="BodyTextChar"/>
    <w:uiPriority w:val="99"/>
    <w:unhideWhenUsed/>
    <w:rsid w:val="00D270B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D270BE"/>
    <w:rPr>
      <w:color w:val="000000" w:themeColor="text1"/>
    </w:rPr>
  </w:style>
  <w:style w:type="paragraph" w:customStyle="1" w:styleId="TableHeadingSingle">
    <w:name w:val="Table Heading (Single"/>
    <w:aliases w:val="No Space After)"/>
    <w:basedOn w:val="Normal"/>
    <w:rsid w:val="00C431D9"/>
    <w:pPr>
      <w:framePr w:wrap="around" w:vAnchor="text" w:hAnchor="text" w:y="1"/>
      <w:spacing w:after="0"/>
      <w:suppressOverlap/>
    </w:pPr>
    <w:rPr>
      <w:rFonts w:ascii="Verdana" w:hAnsi="Verdana"/>
      <w:b/>
      <w:color w:val="FFFFFF" w:themeColor="background1"/>
      <w:szCs w:val="20"/>
    </w:rPr>
  </w:style>
  <w:style w:type="table" w:customStyle="1" w:styleId="TxDOTTable">
    <w:name w:val="TxDOT Table"/>
    <w:basedOn w:val="TableNormal"/>
    <w:uiPriority w:val="99"/>
    <w:rsid w:val="00621476"/>
    <w:pPr>
      <w:spacing w:line="360" w:lineRule="auto"/>
    </w:pPr>
    <w:rPr>
      <w:color w:val="000000" w:themeColor="text1"/>
    </w:rPr>
    <w:tblPr>
      <w:tblStyleRowBandSize w:val="1"/>
      <w:tblStyleColBandSize w:val="1"/>
      <w:tblBorders>
        <w:bottom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58" w:type="dxa"/>
        <w:left w:w="58" w:type="dxa"/>
        <w:bottom w:w="58" w:type="dxa"/>
        <w:right w:w="58" w:type="dxa"/>
      </w:tblCellMar>
    </w:tblPr>
    <w:tcPr>
      <w:vAlign w:val="center"/>
    </w:tcPr>
    <w:tblStylePr w:type="firstRow">
      <w:pPr>
        <w:wordWrap/>
        <w:spacing w:beforeLines="0" w:before="0" w:beforeAutospacing="0" w:afterLines="0" w:after="0" w:afterAutospacing="0" w:line="360" w:lineRule="auto"/>
      </w:pPr>
      <w:rPr>
        <w:rFonts w:asciiTheme="minorHAnsi" w:hAnsiTheme="minorHAnsi"/>
        <w:b/>
        <w:color w:val="FFFFFF" w:themeColor="background1"/>
        <w:sz w:val="24"/>
      </w:rPr>
      <w:tblPr/>
      <w:tcPr>
        <w:tcBorders>
          <w:bottom w:val="single" w:sz="4" w:space="0" w:color="FFFFFF" w:themeColor="background1"/>
          <w:insideV w:val="single" w:sz="4" w:space="0" w:color="FFFFFF" w:themeColor="background1"/>
        </w:tcBorders>
        <w:shd w:val="clear" w:color="auto" w:fill="0056A9" w:themeFill="accent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DADEE5"/>
      </w:tcPr>
    </w:tblStylePr>
  </w:style>
  <w:style w:type="paragraph" w:customStyle="1" w:styleId="TableNormalNoSpaceAfter">
    <w:name w:val="Table Normal (No Space After)"/>
    <w:basedOn w:val="Normal"/>
    <w:rsid w:val="00C431D9"/>
    <w:pPr>
      <w:spacing w:after="0"/>
    </w:pPr>
    <w:rPr>
      <w:color w:val="auto"/>
      <w:szCs w:val="20"/>
    </w:rPr>
  </w:style>
  <w:style w:type="table" w:styleId="TableGrid">
    <w:name w:val="Table Grid"/>
    <w:basedOn w:val="TableNormal"/>
    <w:uiPriority w:val="39"/>
    <w:rsid w:val="00C431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C431D9"/>
    <w:rPr>
      <w:i/>
      <w:iCs/>
      <w:color w:val="000000" w:themeColor="text2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svg"/><Relationship Id="rId18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1.svg"/><Relationship Id="rId1" Type="http://schemas.openxmlformats.org/officeDocument/2006/relationships/image" Target="media/image1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alina1\Downloads\txdot-document-template.dotx" TargetMode="External"/></Relationships>
</file>

<file path=word/theme/theme1.xml><?xml version="1.0" encoding="utf-8"?>
<a:theme xmlns:a="http://schemas.openxmlformats.org/drawingml/2006/main" name="txdot-brand-template-microsoft-theme">
  <a:themeElements>
    <a:clrScheme name="TxDOT Template Color Scheme">
      <a:dk1>
        <a:srgbClr val="000000"/>
      </a:dk1>
      <a:lt1>
        <a:srgbClr val="FFFFFF"/>
      </a:lt1>
      <a:dk2>
        <a:srgbClr val="000000"/>
      </a:dk2>
      <a:lt2>
        <a:srgbClr val="EBEBEB"/>
      </a:lt2>
      <a:accent1>
        <a:srgbClr val="0056A9"/>
      </a:accent1>
      <a:accent2>
        <a:srgbClr val="D90D0D"/>
      </a:accent2>
      <a:accent3>
        <a:srgbClr val="196533"/>
      </a:accent3>
      <a:accent4>
        <a:srgbClr val="5F0F40"/>
      </a:accent4>
      <a:accent5>
        <a:srgbClr val="002E69"/>
      </a:accent5>
      <a:accent6>
        <a:srgbClr val="333F48"/>
      </a:accent6>
      <a:hlink>
        <a:srgbClr val="0056A9"/>
      </a:hlink>
      <a:folHlink>
        <a:srgbClr val="5F0F40"/>
      </a:folHlink>
    </a:clrScheme>
    <a:fontScheme name="TxDOT Template fonts">
      <a:majorFont>
        <a:latin typeface="Verdana Bold"/>
        <a:ea typeface=""/>
        <a:cs typeface=""/>
      </a:majorFont>
      <a:minorFont>
        <a:latin typeface="Verdana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txdot-brand-template-microsoft-theme" id="{C26E1BF5-F8BE-4F71-85B1-218D4EC69D9E}" vid="{E6DCCC63-DDF4-4C00-AD5C-6EBC44B9848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5c79692-26de-48e2-b244-858b1739375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4E08B51FD30143AE70A3AC85CB2BA0" ma:contentTypeVersion="19" ma:contentTypeDescription="Create a new document." ma:contentTypeScope="" ma:versionID="02c8a9bd9553caeeb1de06c99595cf2b">
  <xsd:schema xmlns:xsd="http://www.w3.org/2001/XMLSchema" xmlns:xs="http://www.w3.org/2001/XMLSchema" xmlns:p="http://schemas.microsoft.com/office/2006/metadata/properties" xmlns:ns3="d5b92c88-c524-4e2b-a596-571743b8e6a5" xmlns:ns4="45c79692-26de-48e2-b244-858b1739375d" targetNamespace="http://schemas.microsoft.com/office/2006/metadata/properties" ma:root="true" ma:fieldsID="5d1d2d9aa732f4257391a4ab8d481e83" ns3:_="" ns4:_="">
    <xsd:import namespace="d5b92c88-c524-4e2b-a596-571743b8e6a5"/>
    <xsd:import namespace="45c79692-26de-48e2-b244-858b1739375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b92c88-c524-4e2b-a596-571743b8e6a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c79692-26de-48e2-b244-858b173937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9DAF0B-C2BD-4988-A77C-87FEFA34CF7F}">
  <ds:schemaRefs>
    <ds:schemaRef ds:uri="http://schemas.microsoft.com/office/2006/metadata/properties"/>
    <ds:schemaRef ds:uri="http://schemas.microsoft.com/office/infopath/2007/PartnerControls"/>
    <ds:schemaRef ds:uri="45c79692-26de-48e2-b244-858b1739375d"/>
  </ds:schemaRefs>
</ds:datastoreItem>
</file>

<file path=customXml/itemProps2.xml><?xml version="1.0" encoding="utf-8"?>
<ds:datastoreItem xmlns:ds="http://schemas.openxmlformats.org/officeDocument/2006/customXml" ds:itemID="{D8685476-98B4-4E0C-875C-320A271A0A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b92c88-c524-4e2b-a596-571743b8e6a5"/>
    <ds:schemaRef ds:uri="45c79692-26de-48e2-b244-858b173937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0C6C6B7-5E40-44F9-8388-524086E5D7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txdot-document-template.dotx</Template>
  <TotalTime>155</TotalTime>
  <Pages>4</Pages>
  <Words>328</Words>
  <Characters>1872</Characters>
  <Application>Microsoft Office Word</Application>
  <DocSecurity>2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guidance-work-category-dashboard</vt:lpstr>
    </vt:vector>
  </TitlesOfParts>
  <Company>Texas Department of Transportation</Company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guidance-work-category-dashboard</dc:title>
  <dc:subject>Guidance for navigating TxDOT's standard list of work categories in Tableau</dc:subject>
  <dc:creator>TxDOT</dc:creator>
  <cp:keywords>guidance; work category dashboard</cp:keywords>
  <dc:description/>
  <cp:lastModifiedBy>Allyson Fuller</cp:lastModifiedBy>
  <cp:revision>64</cp:revision>
  <dcterms:created xsi:type="dcterms:W3CDTF">2026-09-24T19:30:00Z</dcterms:created>
  <dcterms:modified xsi:type="dcterms:W3CDTF">2026-10-01T15:33:00Z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Publication Date">
    <vt:lpwstr>2026-07-10</vt:lpwstr>
  </property>
  <property fmtid="{D5CDD505-2E9C-101B-9397-08002B2CF9AE}" pid="3" name="GrammarlyDocumentId">
    <vt:lpwstr>0e709efa-505e-4a66-a55d-f35e537b4c17</vt:lpwstr>
  </property>
</Properties>
</file>