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8D0D" w14:textId="77777777" w:rsidR="00DE788C" w:rsidRPr="00456D0F" w:rsidRDefault="00456D0F" w:rsidP="00456D0F">
      <w:pPr>
        <w:jc w:val="center"/>
        <w:rPr>
          <w:b/>
          <w:u w:val="single"/>
        </w:rPr>
      </w:pPr>
      <w:r w:rsidRPr="00456D0F">
        <w:rPr>
          <w:b/>
          <w:u w:val="single"/>
        </w:rPr>
        <w:t>TEXAS DEPARTMENT OF TRANSPORTATION</w:t>
      </w:r>
    </w:p>
    <w:p w14:paraId="4F60F1DB" w14:textId="77777777" w:rsidR="00957CB1" w:rsidRDefault="00276F8E" w:rsidP="00456D0F">
      <w:pPr>
        <w:jc w:val="center"/>
        <w:rPr>
          <w:smallCaps/>
        </w:rPr>
      </w:pPr>
      <w:r>
        <w:rPr>
          <w:smallCaps/>
        </w:rPr>
        <w:t>Master Utility</w:t>
      </w:r>
      <w:r w:rsidR="00456D0F" w:rsidRPr="00456D0F">
        <w:rPr>
          <w:smallCaps/>
        </w:rPr>
        <w:t xml:space="preserve"> </w:t>
      </w:r>
      <w:r w:rsidR="00611410">
        <w:rPr>
          <w:smallCaps/>
        </w:rPr>
        <w:t>Agreement</w:t>
      </w:r>
    </w:p>
    <w:p w14:paraId="552B38FF" w14:textId="77777777" w:rsidR="005A72F6" w:rsidRPr="00456D0F" w:rsidRDefault="005A72F6" w:rsidP="00456D0F">
      <w:pPr>
        <w:jc w:val="center"/>
        <w:rPr>
          <w:smallCaps/>
        </w:rPr>
      </w:pPr>
    </w:p>
    <w:p w14:paraId="763671B0" w14:textId="77777777" w:rsidR="00EB3191" w:rsidRDefault="00EB3191" w:rsidP="00D228B9">
      <w:pPr>
        <w:spacing w:line="276" w:lineRule="auto"/>
        <w:jc w:val="both"/>
      </w:pPr>
      <w:r>
        <w:tab/>
      </w:r>
      <w:r w:rsidR="00F836EA">
        <w:t>This Agreement between the State of Texas, acting by and through the Texas Department of Transportation (“</w:t>
      </w:r>
      <w:r w:rsidR="00F836EA" w:rsidRPr="00EB3191">
        <w:rPr>
          <w:b/>
        </w:rPr>
        <w:t>TxDOT</w:t>
      </w:r>
      <w:r w:rsidR="00F836EA">
        <w:t xml:space="preserve">”) and </w:t>
      </w:r>
      <w:r w:rsidR="00F836EA">
        <w:softHyphen/>
      </w:r>
      <w:r w:rsidR="00F836EA">
        <w:softHyphen/>
      </w:r>
      <w:r w:rsidR="00F836EA">
        <w:softHyphen/>
      </w:r>
      <w:r w:rsidR="00F836EA" w:rsidRPr="0053701A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F836EA" w:rsidRPr="0053701A">
        <w:rPr>
          <w:u w:val="single"/>
        </w:rPr>
        <w:instrText xml:space="preserve"> </w:instrText>
      </w:r>
      <w:bookmarkStart w:id="0" w:name="Text43"/>
      <w:r w:rsidR="00F836EA" w:rsidRPr="0053701A">
        <w:rPr>
          <w:u w:val="single"/>
        </w:rPr>
        <w:instrText xml:space="preserve">FORMTEXT </w:instrText>
      </w:r>
      <w:r w:rsidR="00F836EA" w:rsidRPr="0053701A">
        <w:rPr>
          <w:u w:val="single"/>
        </w:rPr>
      </w:r>
      <w:r w:rsidR="00F836EA" w:rsidRPr="0053701A">
        <w:rPr>
          <w:u w:val="single"/>
        </w:rPr>
        <w:fldChar w:fldCharType="separate"/>
      </w:r>
      <w:r w:rsidR="00F836EA" w:rsidRPr="0053701A">
        <w:rPr>
          <w:noProof/>
          <w:u w:val="single"/>
        </w:rPr>
        <w:t> </w:t>
      </w:r>
      <w:r w:rsidR="00F836EA" w:rsidRPr="0053701A">
        <w:rPr>
          <w:noProof/>
          <w:u w:val="single"/>
        </w:rPr>
        <w:t> </w:t>
      </w:r>
      <w:r w:rsidR="00F836EA" w:rsidRPr="0053701A">
        <w:rPr>
          <w:noProof/>
          <w:u w:val="single"/>
        </w:rPr>
        <w:t> </w:t>
      </w:r>
      <w:r w:rsidR="00F836EA" w:rsidRPr="0053701A">
        <w:rPr>
          <w:noProof/>
          <w:u w:val="single"/>
        </w:rPr>
        <w:t> </w:t>
      </w:r>
      <w:r w:rsidR="00F836EA" w:rsidRPr="0053701A">
        <w:rPr>
          <w:noProof/>
          <w:u w:val="single"/>
        </w:rPr>
        <w:t> </w:t>
      </w:r>
      <w:r w:rsidR="00F836EA" w:rsidRPr="0053701A">
        <w:rPr>
          <w:u w:val="single"/>
        </w:rPr>
        <w:fldChar w:fldCharType="end"/>
      </w:r>
      <w:bookmarkEnd w:id="0"/>
      <w:r w:rsidR="00F836EA">
        <w:t xml:space="preserve"> ("</w:t>
      </w:r>
      <w:r w:rsidR="00F836EA" w:rsidRPr="00EB3191">
        <w:rPr>
          <w:b/>
        </w:rPr>
        <w:t>Utility</w:t>
      </w:r>
      <w:r w:rsidR="00F836EA">
        <w:t>”)(each a “</w:t>
      </w:r>
      <w:r w:rsidR="00F836EA">
        <w:rPr>
          <w:b/>
        </w:rPr>
        <w:t>Party</w:t>
      </w:r>
      <w:r w:rsidR="00F836EA">
        <w:rPr>
          <w:i/>
        </w:rPr>
        <w:t>”</w:t>
      </w:r>
      <w:r w:rsidR="00F836EA">
        <w:t xml:space="preserve"> and collectively the “</w:t>
      </w:r>
      <w:r w:rsidR="00F836EA" w:rsidRPr="00465220">
        <w:rPr>
          <w:b/>
        </w:rPr>
        <w:t>Parties</w:t>
      </w:r>
      <w:r w:rsidR="00F836EA">
        <w:t>”) delineates the responsibilities of the Parties with respect to the coordination and possible relocation of certain utilities resulting from TxDOT transportation projects (the “</w:t>
      </w:r>
      <w:r w:rsidR="00F836EA" w:rsidRPr="0012388D">
        <w:rPr>
          <w:b/>
        </w:rPr>
        <w:t>Project</w:t>
      </w:r>
      <w:r w:rsidR="00F23985" w:rsidRPr="00F23985">
        <w:t>”</w:t>
      </w:r>
      <w:r w:rsidR="00F836EA">
        <w:rPr>
          <w:b/>
        </w:rPr>
        <w:t xml:space="preserve"> </w:t>
      </w:r>
      <w:r w:rsidR="00F836EA" w:rsidRPr="00974256">
        <w:t>or</w:t>
      </w:r>
      <w:r w:rsidR="00F836EA">
        <w:rPr>
          <w:b/>
        </w:rPr>
        <w:t xml:space="preserve"> </w:t>
      </w:r>
      <w:r w:rsidR="00F836EA" w:rsidRPr="00F23985">
        <w:t>“</w:t>
      </w:r>
      <w:r w:rsidR="00F836EA">
        <w:rPr>
          <w:b/>
        </w:rPr>
        <w:t>Projects</w:t>
      </w:r>
      <w:r w:rsidR="00F836EA" w:rsidRPr="00F23985">
        <w:t>”</w:t>
      </w:r>
      <w:r w:rsidR="00F836EA">
        <w:t>).</w:t>
      </w:r>
    </w:p>
    <w:p w14:paraId="21B47216" w14:textId="77777777" w:rsidR="00E121A5" w:rsidRDefault="00E121A5" w:rsidP="00D228B9">
      <w:pPr>
        <w:spacing w:line="276" w:lineRule="auto"/>
        <w:jc w:val="both"/>
      </w:pPr>
    </w:p>
    <w:p w14:paraId="2289874B" w14:textId="77777777" w:rsidR="00EB3191" w:rsidRDefault="00EB3191" w:rsidP="00D228B9">
      <w:pPr>
        <w:spacing w:line="276" w:lineRule="auto"/>
        <w:jc w:val="both"/>
      </w:pPr>
      <w:r>
        <w:t>RECITALS</w:t>
      </w:r>
    </w:p>
    <w:p w14:paraId="1117FECC" w14:textId="77777777" w:rsidR="00611410" w:rsidRDefault="00611410" w:rsidP="00D228B9">
      <w:pPr>
        <w:pStyle w:val="ListParagraph"/>
        <w:numPr>
          <w:ilvl w:val="0"/>
          <w:numId w:val="5"/>
        </w:numPr>
        <w:spacing w:line="276" w:lineRule="auto"/>
        <w:jc w:val="both"/>
      </w:pPr>
      <w:r>
        <w:t>Utility owns, operates</w:t>
      </w:r>
      <w:r w:rsidR="00E7588F">
        <w:t>,</w:t>
      </w:r>
      <w:r>
        <w:t xml:space="preserve"> and maintains</w:t>
      </w:r>
      <w:r w:rsidR="00D92864">
        <w:t xml:space="preserve"> utility facilities </w:t>
      </w:r>
      <w:r w:rsidR="00602184">
        <w:t>throughout the State of Texas.</w:t>
      </w:r>
    </w:p>
    <w:p w14:paraId="60969493" w14:textId="77777777" w:rsidR="00611410" w:rsidRDefault="00611410" w:rsidP="00D228B9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TxDOT has various </w:t>
      </w:r>
      <w:r w:rsidR="007D29FF">
        <w:t>Projects</w:t>
      </w:r>
      <w:r>
        <w:t xml:space="preserve"> throughout the State of Texas.  On occasion these </w:t>
      </w:r>
      <w:r w:rsidR="007D29FF">
        <w:t>P</w:t>
      </w:r>
      <w:r>
        <w:t>rojects require the relocation of Utility’s facilities.</w:t>
      </w:r>
    </w:p>
    <w:p w14:paraId="0BCEBBA6" w14:textId="77777777" w:rsidR="00EB3191" w:rsidRDefault="00EB3191" w:rsidP="00D228B9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To </w:t>
      </w:r>
      <w:r w:rsidR="005100F9">
        <w:t>facilitate the planning, design, safe construction</w:t>
      </w:r>
      <w:r w:rsidR="00F37C1D">
        <w:t>,</w:t>
      </w:r>
      <w:r w:rsidR="005100F9">
        <w:t xml:space="preserve"> and ultimate operation of TxDOT </w:t>
      </w:r>
      <w:r w:rsidR="007D29FF">
        <w:t>P</w:t>
      </w:r>
      <w:r w:rsidR="005100F9">
        <w:t>roject</w:t>
      </w:r>
      <w:r w:rsidR="00602184">
        <w:t>s</w:t>
      </w:r>
      <w:r w:rsidR="005100F9">
        <w:t xml:space="preserve">, </w:t>
      </w:r>
      <w:r w:rsidR="004B24C0">
        <w:t xml:space="preserve">the </w:t>
      </w:r>
      <w:r w:rsidR="005D4041">
        <w:t>P</w:t>
      </w:r>
      <w:r w:rsidR="005256C6">
        <w:t xml:space="preserve">arties </w:t>
      </w:r>
      <w:r w:rsidR="005D4041">
        <w:t>will identify</w:t>
      </w:r>
      <w:r w:rsidR="005256C6">
        <w:t xml:space="preserve"> </w:t>
      </w:r>
      <w:r w:rsidR="005100F9">
        <w:t xml:space="preserve">the location and nature </w:t>
      </w:r>
      <w:r w:rsidR="009A0A1B">
        <w:t>of Utility’s</w:t>
      </w:r>
      <w:r w:rsidR="00EE4195">
        <w:t xml:space="preserve"> facilities</w:t>
      </w:r>
      <w:r w:rsidR="005256C6">
        <w:t xml:space="preserve"> on such </w:t>
      </w:r>
      <w:r w:rsidR="007D29FF">
        <w:t>P</w:t>
      </w:r>
      <w:r w:rsidR="005256C6">
        <w:t>rojects</w:t>
      </w:r>
      <w:r w:rsidR="00EE4195">
        <w:t>.</w:t>
      </w:r>
    </w:p>
    <w:p w14:paraId="15018688" w14:textId="77777777" w:rsidR="00366F6E" w:rsidRDefault="00366F6E" w:rsidP="00D228B9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The Parties </w:t>
      </w:r>
      <w:r w:rsidR="005D4041">
        <w:t>desire to</w:t>
      </w:r>
      <w:r>
        <w:t xml:space="preserve"> delineate TxDOT’s plan for addressing </w:t>
      </w:r>
      <w:r w:rsidR="00C95403">
        <w:t xml:space="preserve">any </w:t>
      </w:r>
      <w:r w:rsidR="008D6D22">
        <w:t>U</w:t>
      </w:r>
      <w:r w:rsidR="00C95403">
        <w:t xml:space="preserve">tility conflict and </w:t>
      </w:r>
      <w:r w:rsidR="00465220">
        <w:t>the process</w:t>
      </w:r>
      <w:r w:rsidR="00C95403">
        <w:t xml:space="preserve"> and requirements of both </w:t>
      </w:r>
      <w:r w:rsidR="00602184">
        <w:t>P</w:t>
      </w:r>
      <w:r w:rsidR="00C95403">
        <w:t xml:space="preserve">arties </w:t>
      </w:r>
      <w:r w:rsidR="00602184">
        <w:t xml:space="preserve">for all TxDOT </w:t>
      </w:r>
      <w:r w:rsidR="008D6D22">
        <w:t>P</w:t>
      </w:r>
      <w:r w:rsidR="00602184">
        <w:t xml:space="preserve">rojects across Texas through </w:t>
      </w:r>
      <w:r w:rsidR="00C95403">
        <w:t>the</w:t>
      </w:r>
      <w:r w:rsidR="00602184">
        <w:t xml:space="preserve"> life of </w:t>
      </w:r>
      <w:r w:rsidR="001E38F6">
        <w:t>a</w:t>
      </w:r>
      <w:r w:rsidR="00602184">
        <w:t xml:space="preserve"> </w:t>
      </w:r>
      <w:r w:rsidR="008D6D22">
        <w:t>P</w:t>
      </w:r>
      <w:r w:rsidR="009A0A1B">
        <w:t>roject</w:t>
      </w:r>
      <w:r w:rsidR="00C95403">
        <w:t>.</w:t>
      </w:r>
    </w:p>
    <w:p w14:paraId="7692BDDC" w14:textId="77777777" w:rsidR="00EE4195" w:rsidRDefault="000E2C1F" w:rsidP="00D228B9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As part of the </w:t>
      </w:r>
      <w:r w:rsidR="008D6D22">
        <w:t>U</w:t>
      </w:r>
      <w:r>
        <w:t>tility</w:t>
      </w:r>
      <w:r w:rsidR="00F37C1D">
        <w:t>’s</w:t>
      </w:r>
      <w:r>
        <w:t xml:space="preserve"> conflict process, </w:t>
      </w:r>
      <w:r w:rsidR="00465220">
        <w:t>the Parties</w:t>
      </w:r>
      <w:r w:rsidR="00576A7D">
        <w:t xml:space="preserve"> have determined </w:t>
      </w:r>
      <w:r w:rsidR="00465220">
        <w:t xml:space="preserve">that it is in their mutual </w:t>
      </w:r>
      <w:r w:rsidR="00576A7D">
        <w:t xml:space="preserve">best </w:t>
      </w:r>
      <w:r w:rsidR="004C49D1">
        <w:t>interest</w:t>
      </w:r>
      <w:r w:rsidR="00602184">
        <w:t xml:space="preserve"> to coordinate communications</w:t>
      </w:r>
      <w:r w:rsidR="00576A7D">
        <w:t xml:space="preserve"> and actions on </w:t>
      </w:r>
      <w:r w:rsidR="00602184">
        <w:t>a</w:t>
      </w:r>
      <w:r w:rsidR="00576A7D">
        <w:t xml:space="preserve"> </w:t>
      </w:r>
      <w:r w:rsidR="008D6D22">
        <w:t>P</w:t>
      </w:r>
      <w:r w:rsidR="00576A7D">
        <w:t xml:space="preserve">roject from the initial planning stage through the completion of the </w:t>
      </w:r>
      <w:r w:rsidR="008D6D22">
        <w:t>P</w:t>
      </w:r>
      <w:r w:rsidR="00576A7D">
        <w:t>roject to avoid unnecessary costs or delays to either party.</w:t>
      </w:r>
      <w:r w:rsidR="007D29FF">
        <w:t xml:space="preserve">  The Parties have also determined that design should first consider feasible conflict avoidance before any Utility accommodation is recommended </w:t>
      </w:r>
      <w:r w:rsidR="00D5097E">
        <w:t xml:space="preserve">or requested </w:t>
      </w:r>
      <w:r w:rsidR="007D29FF">
        <w:t>as part of a Project.</w:t>
      </w:r>
    </w:p>
    <w:p w14:paraId="768A926F" w14:textId="77777777" w:rsidR="00E121A5" w:rsidRDefault="00E121A5" w:rsidP="00D228B9">
      <w:pPr>
        <w:spacing w:line="276" w:lineRule="auto"/>
        <w:jc w:val="both"/>
      </w:pPr>
    </w:p>
    <w:p w14:paraId="3D20B3B8" w14:textId="77777777" w:rsidR="00540645" w:rsidRDefault="00465220" w:rsidP="00D228B9">
      <w:pPr>
        <w:spacing w:line="276" w:lineRule="auto"/>
        <w:jc w:val="both"/>
      </w:pPr>
      <w:r>
        <w:t xml:space="preserve">NOW, THEREFORE, in consideration of the mutual covenants and agreements contained herein, the </w:t>
      </w:r>
      <w:r w:rsidR="004C49D1">
        <w:t>Parties mutually agree as follows:</w:t>
      </w:r>
    </w:p>
    <w:p w14:paraId="2A9B7C60" w14:textId="77777777" w:rsidR="00E121A5" w:rsidRDefault="00E121A5" w:rsidP="00D228B9">
      <w:pPr>
        <w:spacing w:line="276" w:lineRule="auto"/>
        <w:jc w:val="both"/>
      </w:pPr>
    </w:p>
    <w:p w14:paraId="29FF433F" w14:textId="77777777" w:rsidR="004C49D1" w:rsidRPr="00540645" w:rsidRDefault="004C49D1" w:rsidP="0024549E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</w:pPr>
      <w:r w:rsidRPr="00540645">
        <w:rPr>
          <w:b/>
        </w:rPr>
        <w:t>PLANNING STAGE</w:t>
      </w:r>
    </w:p>
    <w:p w14:paraId="40C38F98" w14:textId="77777777" w:rsidR="00557612" w:rsidRDefault="00557612" w:rsidP="00D228B9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Upon initiation of a </w:t>
      </w:r>
      <w:r w:rsidR="00580A63">
        <w:t>Project</w:t>
      </w:r>
      <w:r>
        <w:t xml:space="preserve">, TxDOT will provide a Notice of Proposed Construction </w:t>
      </w:r>
      <w:r w:rsidR="007F47CA">
        <w:t>(“NOPC”)</w:t>
      </w:r>
      <w:r w:rsidR="00F23985">
        <w:t xml:space="preserve"> </w:t>
      </w:r>
      <w:r w:rsidR="00DE4E74">
        <w:t>to U</w:t>
      </w:r>
      <w:r>
        <w:t>tilities</w:t>
      </w:r>
      <w:r w:rsidR="0005016E">
        <w:t xml:space="preserve"> believed to have facilities in and around the Project</w:t>
      </w:r>
      <w:r w:rsidR="00F23985">
        <w:t>, in a form substantially similar to that attached in Exhibit “A</w:t>
      </w:r>
      <w:r w:rsidR="007F47CA">
        <w:t>.</w:t>
      </w:r>
      <w:r w:rsidR="00F23985">
        <w:t>”</w:t>
      </w:r>
    </w:p>
    <w:p w14:paraId="29688D8A" w14:textId="77777777" w:rsidR="008D6D22" w:rsidRDefault="00633DFB" w:rsidP="00D228B9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The Parties </w:t>
      </w:r>
      <w:r w:rsidR="00C345EB">
        <w:t>shall cooperate</w:t>
      </w:r>
      <w:r>
        <w:t xml:space="preserve"> </w:t>
      </w:r>
      <w:r w:rsidR="00C345EB">
        <w:t>to</w:t>
      </w:r>
      <w:r>
        <w:t xml:space="preserve"> identify </w:t>
      </w:r>
      <w:r w:rsidR="00B57AF4">
        <w:t xml:space="preserve">potential conflicts between a </w:t>
      </w:r>
      <w:r w:rsidR="00CF5FD4">
        <w:t>U</w:t>
      </w:r>
      <w:r>
        <w:t>tility</w:t>
      </w:r>
      <w:r w:rsidR="00B57AF4">
        <w:t>’s</w:t>
      </w:r>
      <w:r>
        <w:t xml:space="preserve"> facility</w:t>
      </w:r>
      <w:r w:rsidR="0012388D">
        <w:t xml:space="preserve"> and </w:t>
      </w:r>
      <w:r w:rsidR="00580A63">
        <w:t xml:space="preserve">the </w:t>
      </w:r>
      <w:r w:rsidR="00DF1262">
        <w:t>Project</w:t>
      </w:r>
      <w:r w:rsidR="0093760E">
        <w:t xml:space="preserve"> </w:t>
      </w:r>
      <w:r>
        <w:t xml:space="preserve">and work towards the most effective resolution </w:t>
      </w:r>
      <w:r w:rsidR="00C345EB">
        <w:t>of</w:t>
      </w:r>
      <w:r>
        <w:t xml:space="preserve"> such conflicts.</w:t>
      </w:r>
    </w:p>
    <w:p w14:paraId="2B0AC060" w14:textId="77777777" w:rsidR="00633DFB" w:rsidRDefault="007E2A65" w:rsidP="00D228B9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If </w:t>
      </w:r>
      <w:r w:rsidR="00D5097E">
        <w:t xml:space="preserve">Utility’s </w:t>
      </w:r>
      <w:r>
        <w:t xml:space="preserve">conflicts cannot be avoided, the Parties will work </w:t>
      </w:r>
      <w:r w:rsidR="008D6D22">
        <w:t>toward</w:t>
      </w:r>
      <w:r w:rsidR="00633DFB">
        <w:t xml:space="preserve"> the most effective resolution </w:t>
      </w:r>
      <w:r w:rsidR="00C345EB">
        <w:t>of</w:t>
      </w:r>
      <w:r w:rsidR="00633DFB">
        <w:t xml:space="preserve"> such conflicts</w:t>
      </w:r>
      <w:r w:rsidR="008D6D22">
        <w:t xml:space="preserve">, which may include Utility facilities </w:t>
      </w:r>
      <w:r w:rsidR="00EE50BA">
        <w:t>accommodation</w:t>
      </w:r>
      <w:r w:rsidR="00633DFB">
        <w:t>.</w:t>
      </w:r>
    </w:p>
    <w:p w14:paraId="5682E32A" w14:textId="77777777" w:rsidR="00540645" w:rsidRPr="00E60C1A" w:rsidRDefault="00540645" w:rsidP="00D228B9">
      <w:pPr>
        <w:pStyle w:val="ListParagraph"/>
        <w:numPr>
          <w:ilvl w:val="0"/>
          <w:numId w:val="8"/>
        </w:numPr>
        <w:spacing w:line="276" w:lineRule="auto"/>
        <w:jc w:val="both"/>
      </w:pPr>
      <w:r>
        <w:lastRenderedPageBreak/>
        <w:t xml:space="preserve">Unless otherwise prohibited by outside construction agreements, TxDOT agrees to provide Utility access to the current design plans for </w:t>
      </w:r>
      <w:r w:rsidR="0012388D">
        <w:t>the</w:t>
      </w:r>
      <w:r>
        <w:t xml:space="preserve"> </w:t>
      </w:r>
      <w:r w:rsidR="0012388D">
        <w:t>P</w:t>
      </w:r>
      <w:r w:rsidR="00C81EB7">
        <w:t>roject</w:t>
      </w:r>
      <w:r w:rsidR="00C10DE3">
        <w:t xml:space="preserve"> after TxDOT provides the Utility with the N</w:t>
      </w:r>
      <w:r w:rsidR="00164616">
        <w:t>O</w:t>
      </w:r>
      <w:r w:rsidR="00C10DE3">
        <w:t>PC</w:t>
      </w:r>
      <w:r w:rsidR="00C81EB7">
        <w:t>.</w:t>
      </w:r>
    </w:p>
    <w:p w14:paraId="76519640" w14:textId="77777777" w:rsidR="00C40809" w:rsidRDefault="00540645" w:rsidP="00934B8A">
      <w:pPr>
        <w:pStyle w:val="ListParagraph"/>
        <w:numPr>
          <w:ilvl w:val="0"/>
          <w:numId w:val="8"/>
        </w:numPr>
        <w:spacing w:line="276" w:lineRule="auto"/>
        <w:jc w:val="both"/>
      </w:pPr>
      <w:r>
        <w:t>Utility agrees to provide TxDOT</w:t>
      </w:r>
      <w:r w:rsidR="00C10DE3">
        <w:t>, upon request by TxDOT,</w:t>
      </w:r>
      <w:r w:rsidR="00A24B28">
        <w:t xml:space="preserve"> and subject to critical energy infrastructure information</w:t>
      </w:r>
      <w:r w:rsidR="0093760E">
        <w:t xml:space="preserve"> </w:t>
      </w:r>
      <w:r w:rsidR="00A24B28">
        <w:t>(CEII) limitations,</w:t>
      </w:r>
      <w:r>
        <w:t xml:space="preserve"> </w:t>
      </w:r>
      <w:r w:rsidR="00914D37">
        <w:t>facilities</w:t>
      </w:r>
      <w:r w:rsidR="00B371FB">
        <w:t xml:space="preserve"> maps</w:t>
      </w:r>
      <w:r w:rsidR="00386E77">
        <w:t>,</w:t>
      </w:r>
      <w:r w:rsidR="0093760E">
        <w:t xml:space="preserve"> </w:t>
      </w:r>
      <w:r w:rsidR="00386E77">
        <w:t xml:space="preserve">including as-built plans if available, </w:t>
      </w:r>
      <w:r>
        <w:t>of</w:t>
      </w:r>
      <w:r w:rsidR="006015A2">
        <w:t xml:space="preserve"> its</w:t>
      </w:r>
      <w:r>
        <w:t xml:space="preserve"> current </w:t>
      </w:r>
      <w:r w:rsidR="00B371FB">
        <w:t xml:space="preserve">Utility </w:t>
      </w:r>
      <w:r>
        <w:t xml:space="preserve">facilities in and around the </w:t>
      </w:r>
      <w:r w:rsidR="0012388D">
        <w:t>P</w:t>
      </w:r>
      <w:r w:rsidR="00C81EB7">
        <w:t>roject</w:t>
      </w:r>
      <w:r w:rsidR="00B371FB">
        <w:t xml:space="preserve"> relevant to a conflict analysis</w:t>
      </w:r>
      <w:r>
        <w:t>.</w:t>
      </w:r>
    </w:p>
    <w:p w14:paraId="32FE06D8" w14:textId="77777777" w:rsidR="00633DFB" w:rsidRDefault="00540645" w:rsidP="00D228B9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The Parties agree that the </w:t>
      </w:r>
      <w:r w:rsidR="00C81EB7">
        <w:t>initial</w:t>
      </w:r>
      <w:r>
        <w:t xml:space="preserve"> point of contact </w:t>
      </w:r>
      <w:r w:rsidR="00C81EB7">
        <w:t xml:space="preserve">for any </w:t>
      </w:r>
      <w:r w:rsidR="0012388D">
        <w:t>P</w:t>
      </w:r>
      <w:r w:rsidR="00C81EB7">
        <w:t>roject</w:t>
      </w:r>
      <w:r>
        <w:t xml:space="preserve"> shall be</w:t>
      </w:r>
      <w:r w:rsidR="00CF5FD4">
        <w:t xml:space="preserve"> the respective</w:t>
      </w:r>
      <w:r w:rsidR="006015A2">
        <w:t xml:space="preserve"> local</w:t>
      </w:r>
      <w:r>
        <w:t xml:space="preserve"> </w:t>
      </w:r>
      <w:r w:rsidR="0084425A">
        <w:t xml:space="preserve">or identified </w:t>
      </w:r>
      <w:r w:rsidR="00633DFB">
        <w:t>representative</w:t>
      </w:r>
      <w:r w:rsidR="006015A2">
        <w:t>s</w:t>
      </w:r>
      <w:r w:rsidR="00D5097E">
        <w:t>.</w:t>
      </w:r>
      <w:r w:rsidR="000702D4">
        <w:t xml:space="preserve">  </w:t>
      </w:r>
    </w:p>
    <w:p w14:paraId="56594E08" w14:textId="77777777" w:rsidR="00DE4E74" w:rsidRDefault="00DE4E74" w:rsidP="00DE4E74">
      <w:pPr>
        <w:pStyle w:val="ListParagraph"/>
        <w:spacing w:line="276" w:lineRule="auto"/>
        <w:jc w:val="both"/>
      </w:pPr>
    </w:p>
    <w:p w14:paraId="3B136046" w14:textId="77777777" w:rsidR="00633DFB" w:rsidRDefault="00633DFB" w:rsidP="0024549E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UTILITY CONFLICT IDENTIFICATION</w:t>
      </w:r>
    </w:p>
    <w:p w14:paraId="71612F53" w14:textId="77777777" w:rsidR="00C90032" w:rsidRDefault="00D32A53" w:rsidP="00CC34EA">
      <w:pPr>
        <w:pStyle w:val="ListParagraph"/>
        <w:numPr>
          <w:ilvl w:val="0"/>
          <w:numId w:val="9"/>
        </w:numPr>
        <w:spacing w:line="276" w:lineRule="auto"/>
        <w:jc w:val="both"/>
      </w:pPr>
      <w:r>
        <w:t xml:space="preserve">Once </w:t>
      </w:r>
      <w:r w:rsidR="00361EC8">
        <w:t xml:space="preserve">the Parties have </w:t>
      </w:r>
      <w:r>
        <w:t>identified a conflict between the Project and Utility’s facility</w:t>
      </w:r>
      <w:r w:rsidR="00C345EB">
        <w:t xml:space="preserve"> that </w:t>
      </w:r>
      <w:r w:rsidR="00E13A20">
        <w:t xml:space="preserve">cannot be </w:t>
      </w:r>
      <w:r w:rsidR="00393661">
        <w:t xml:space="preserve">feasibly </w:t>
      </w:r>
      <w:r w:rsidR="00E13A20">
        <w:t xml:space="preserve">avoided by design and </w:t>
      </w:r>
      <w:r w:rsidR="00C345EB">
        <w:t>requires the relocation of Utility’s facility</w:t>
      </w:r>
      <w:r w:rsidR="00F16B02">
        <w:t>,</w:t>
      </w:r>
      <w:r>
        <w:t xml:space="preserve"> TxDOT will provide Utility with a </w:t>
      </w:r>
      <w:r w:rsidR="00F16B02">
        <w:t xml:space="preserve">Notice of Required Accommodation </w:t>
      </w:r>
      <w:r w:rsidR="007F47CA">
        <w:t xml:space="preserve">(“NORA”) </w:t>
      </w:r>
      <w:r w:rsidR="00F16B02">
        <w:t>in a form substantially similar to that attached in Exhibit “</w:t>
      </w:r>
      <w:r w:rsidR="009A01D6">
        <w:t>B</w:t>
      </w:r>
      <w:r w:rsidR="007F47CA">
        <w:t>.</w:t>
      </w:r>
      <w:r w:rsidR="00F16B02">
        <w:t xml:space="preserve">” </w:t>
      </w:r>
    </w:p>
    <w:p w14:paraId="38617173" w14:textId="77777777" w:rsidR="00F16B02" w:rsidRDefault="00F16B02" w:rsidP="00E43C60">
      <w:pPr>
        <w:pStyle w:val="ListParagraph"/>
        <w:numPr>
          <w:ilvl w:val="0"/>
          <w:numId w:val="9"/>
        </w:numPr>
        <w:spacing w:line="276" w:lineRule="auto"/>
        <w:jc w:val="both"/>
      </w:pPr>
      <w:r>
        <w:t>The NORA will detail TxDOT’s proposed constr</w:t>
      </w:r>
      <w:r w:rsidR="00CD0206">
        <w:t xml:space="preserve">uction schedule and the date by which the Utility </w:t>
      </w:r>
      <w:r w:rsidR="00E13A20">
        <w:t>is requested to have</w:t>
      </w:r>
      <w:r w:rsidR="00CD0206">
        <w:t xml:space="preserve"> the conflict resolved.</w:t>
      </w:r>
      <w:r w:rsidR="002D27DB">
        <w:t xml:space="preserve">  </w:t>
      </w:r>
      <w:r w:rsidR="00440942">
        <w:t xml:space="preserve">Parties agree that the timeline for conflict resolution is dependent on the project scope as defined in the </w:t>
      </w:r>
      <w:r w:rsidR="00440942" w:rsidRPr="004C5840">
        <w:t>Standard Utility Agreement</w:t>
      </w:r>
      <w:r w:rsidR="00440942" w:rsidRPr="00F94288">
        <w:rPr>
          <w:b/>
        </w:rPr>
        <w:t xml:space="preserve"> </w:t>
      </w:r>
      <w:r w:rsidR="00440942" w:rsidRPr="004C5840">
        <w:t>(</w:t>
      </w:r>
      <w:r w:rsidR="007F47CA">
        <w:t>“</w:t>
      </w:r>
      <w:r w:rsidR="00440942" w:rsidRPr="00F94288">
        <w:rPr>
          <w:b/>
        </w:rPr>
        <w:t>SUA</w:t>
      </w:r>
      <w:r w:rsidR="00974256">
        <w:rPr>
          <w:b/>
        </w:rPr>
        <w:t>”</w:t>
      </w:r>
      <w:r w:rsidR="00440942" w:rsidRPr="004C5840">
        <w:t>)</w:t>
      </w:r>
      <w:r w:rsidR="00440942">
        <w:t>, but s</w:t>
      </w:r>
      <w:r w:rsidR="002D27DB">
        <w:t xml:space="preserve">uch resolution shall not be </w:t>
      </w:r>
      <w:r w:rsidR="00E7192F">
        <w:t xml:space="preserve">requested </w:t>
      </w:r>
      <w:r w:rsidR="002D27DB">
        <w:t>sooner than 90 days from the date of the NORA</w:t>
      </w:r>
      <w:r w:rsidR="00AF5932">
        <w:t xml:space="preserve"> unless otherwise agreed to by the Parties</w:t>
      </w:r>
      <w:r w:rsidR="002D27DB">
        <w:t>.</w:t>
      </w:r>
      <w:r w:rsidR="00CC34EA">
        <w:t xml:space="preserve"> </w:t>
      </w:r>
    </w:p>
    <w:p w14:paraId="0D4A0AA5" w14:textId="77777777" w:rsidR="00CD0206" w:rsidRDefault="00CD0206" w:rsidP="00D228B9">
      <w:pPr>
        <w:pStyle w:val="ListParagraph"/>
        <w:numPr>
          <w:ilvl w:val="0"/>
          <w:numId w:val="9"/>
        </w:numPr>
        <w:spacing w:line="276" w:lineRule="auto"/>
        <w:jc w:val="both"/>
      </w:pPr>
      <w:r>
        <w:t xml:space="preserve">The Utility may rely upon the NORA </w:t>
      </w:r>
      <w:r w:rsidR="00045CF5">
        <w:t xml:space="preserve">and the schematics </w:t>
      </w:r>
      <w:r w:rsidR="00D228B9">
        <w:t xml:space="preserve">or plans </w:t>
      </w:r>
      <w:r w:rsidR="00045CF5">
        <w:t xml:space="preserve">provided therein </w:t>
      </w:r>
      <w:r>
        <w:t xml:space="preserve">to begin </w:t>
      </w:r>
      <w:r w:rsidR="00276F8E">
        <w:t>preliminary utility</w:t>
      </w:r>
      <w:r w:rsidR="00565F9C">
        <w:t xml:space="preserve"> activities </w:t>
      </w:r>
      <w:r w:rsidR="00705840">
        <w:t>(</w:t>
      </w:r>
      <w:r w:rsidR="00AD31DE" w:rsidRPr="00A5722B">
        <w:rPr>
          <w:i/>
        </w:rPr>
        <w:t>e.g.</w:t>
      </w:r>
      <w:r w:rsidR="00AD31DE" w:rsidRPr="00AD31DE">
        <w:t>,</w:t>
      </w:r>
      <w:r w:rsidR="00705840">
        <w:t xml:space="preserve"> design</w:t>
      </w:r>
      <w:r w:rsidR="00440942">
        <w:t>; due diligence activities including surveying, engineering, field verifications, as-built research, right of way or easement research, utility customer impact re-configurations;</w:t>
      </w:r>
      <w:r w:rsidR="00705840">
        <w:t xml:space="preserve"> </w:t>
      </w:r>
      <w:r w:rsidR="00AD31DE">
        <w:t xml:space="preserve">and </w:t>
      </w:r>
      <w:r w:rsidR="00705840">
        <w:t xml:space="preserve">ordering materials that require extended lead times </w:t>
      </w:r>
      <w:r w:rsidR="00565F9C">
        <w:t xml:space="preserve">for the </w:t>
      </w:r>
      <w:r>
        <w:t>relocati</w:t>
      </w:r>
      <w:r w:rsidR="00565F9C">
        <w:t>o</w:t>
      </w:r>
      <w:r>
        <w:t>n</w:t>
      </w:r>
      <w:r w:rsidR="00565F9C">
        <w:t xml:space="preserve"> of</w:t>
      </w:r>
      <w:r>
        <w:t xml:space="preserve"> </w:t>
      </w:r>
      <w:r w:rsidR="00C345EB">
        <w:t>its</w:t>
      </w:r>
      <w:r w:rsidR="00045CF5">
        <w:t xml:space="preserve"> facilit</w:t>
      </w:r>
      <w:r w:rsidR="00934B8A">
        <w:t>ies</w:t>
      </w:r>
      <w:r w:rsidR="00974256">
        <w:t>)</w:t>
      </w:r>
      <w:r w:rsidR="00045CF5">
        <w:t>.</w:t>
      </w:r>
      <w:r w:rsidR="00565F9C">
        <w:t xml:space="preserve"> </w:t>
      </w:r>
      <w:r w:rsidR="00631098">
        <w:t xml:space="preserve"> </w:t>
      </w:r>
      <w:r w:rsidR="00565F9C" w:rsidRPr="00A5722B">
        <w:rPr>
          <w:b/>
        </w:rPr>
        <w:t>Physical relocation</w:t>
      </w:r>
      <w:r w:rsidR="00AD31DE">
        <w:rPr>
          <w:b/>
        </w:rPr>
        <w:t xml:space="preserve"> of reimbursable adjustments</w:t>
      </w:r>
      <w:r w:rsidR="00565F9C" w:rsidRPr="00A5722B">
        <w:rPr>
          <w:b/>
        </w:rPr>
        <w:t xml:space="preserve"> shall not commence until the </w:t>
      </w:r>
      <w:r w:rsidR="008C281A">
        <w:rPr>
          <w:b/>
        </w:rPr>
        <w:t xml:space="preserve">SUA </w:t>
      </w:r>
      <w:r w:rsidR="00565F9C" w:rsidRPr="00A5722B">
        <w:rPr>
          <w:b/>
        </w:rPr>
        <w:t>is executed by the Parties</w:t>
      </w:r>
      <w:r w:rsidR="00565F9C">
        <w:t>.</w:t>
      </w:r>
    </w:p>
    <w:p w14:paraId="6C870274" w14:textId="77777777" w:rsidR="00045CF5" w:rsidRDefault="00045CF5" w:rsidP="00D228B9">
      <w:pPr>
        <w:pStyle w:val="ListParagraph"/>
        <w:spacing w:line="276" w:lineRule="auto"/>
        <w:jc w:val="both"/>
      </w:pPr>
    </w:p>
    <w:p w14:paraId="127603EB" w14:textId="77777777" w:rsidR="00045CF5" w:rsidRDefault="00045CF5" w:rsidP="0024549E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UTILITY RELOCATION AGREEMENT</w:t>
      </w:r>
    </w:p>
    <w:p w14:paraId="548117E0" w14:textId="77777777" w:rsidR="00045CF5" w:rsidRDefault="002D27DB" w:rsidP="00D228B9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Upon the Utility’s receipt of the NORA, TxDOT and the Utility will enter into a </w:t>
      </w:r>
      <w:r w:rsidR="008C281A">
        <w:t>SUA</w:t>
      </w:r>
      <w:r w:rsidR="006D2BA6">
        <w:t xml:space="preserve"> in a form</w:t>
      </w:r>
      <w:r w:rsidR="008C281A">
        <w:t xml:space="preserve"> </w:t>
      </w:r>
      <w:r w:rsidR="006D2BA6">
        <w:t>substantially</w:t>
      </w:r>
      <w:r w:rsidR="008C281A">
        <w:t xml:space="preserve"> similar to that attached </w:t>
      </w:r>
      <w:r w:rsidR="006D2BA6">
        <w:t>as</w:t>
      </w:r>
      <w:r w:rsidR="00845A3E">
        <w:t xml:space="preserve"> Exhibit “C</w:t>
      </w:r>
      <w:r w:rsidR="007F47CA">
        <w:t>.</w:t>
      </w:r>
      <w:r w:rsidR="008C281A">
        <w:t>”</w:t>
      </w:r>
    </w:p>
    <w:p w14:paraId="777DCD7B" w14:textId="77777777" w:rsidR="00FC068D" w:rsidRDefault="00C20FCD" w:rsidP="00D228B9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The Parties agree to work diligently to finalize the </w:t>
      </w:r>
      <w:r w:rsidR="006D2BA6">
        <w:t>SUA</w:t>
      </w:r>
      <w:r w:rsidR="00C90032">
        <w:t xml:space="preserve"> within 90 days</w:t>
      </w:r>
      <w:r w:rsidR="00BB22A0">
        <w:t xml:space="preserve"> </w:t>
      </w:r>
      <w:r>
        <w:t>of the NORA,</w:t>
      </w:r>
      <w:r w:rsidR="00596BBB">
        <w:t xml:space="preserve"> </w:t>
      </w:r>
      <w:r w:rsidR="00BB22A0">
        <w:t xml:space="preserve">as described in Transportation Code </w:t>
      </w:r>
      <w:r w:rsidR="00BB22A0" w:rsidRPr="0071597D">
        <w:rPr>
          <w:rFonts w:ascii="Calibri" w:hAnsi="Calibri"/>
        </w:rPr>
        <w:t>§</w:t>
      </w:r>
      <w:r w:rsidR="00BB22A0">
        <w:t>203.0935</w:t>
      </w:r>
      <w:r w:rsidR="007F47CA">
        <w:t>,</w:t>
      </w:r>
      <w:r w:rsidR="00BB22A0">
        <w:t xml:space="preserve"> </w:t>
      </w:r>
      <w:r w:rsidR="00C90032">
        <w:t>unless otherwise agreed to by the Parties</w:t>
      </w:r>
      <w:r w:rsidR="00BB22A0">
        <w:t xml:space="preserve"> or the Parties have invoked the escalation process described in Section F.</w:t>
      </w:r>
    </w:p>
    <w:p w14:paraId="3040D11C" w14:textId="77777777" w:rsidR="00D532BB" w:rsidRDefault="00FC068D" w:rsidP="00D228B9">
      <w:pPr>
        <w:pStyle w:val="ListParagraph"/>
        <w:numPr>
          <w:ilvl w:val="0"/>
          <w:numId w:val="10"/>
        </w:numPr>
        <w:spacing w:line="276" w:lineRule="auto"/>
        <w:jc w:val="both"/>
      </w:pPr>
      <w:r>
        <w:t>The SUA will include an estimated completion date by which the Utility expects to have the conflict resolved.</w:t>
      </w:r>
    </w:p>
    <w:p w14:paraId="41A2E887" w14:textId="77777777" w:rsidR="00C20FCD" w:rsidRDefault="00C20FCD" w:rsidP="00D228B9">
      <w:pPr>
        <w:pStyle w:val="ListParagraph"/>
        <w:spacing w:line="276" w:lineRule="auto"/>
        <w:jc w:val="both"/>
      </w:pPr>
    </w:p>
    <w:p w14:paraId="21BF5637" w14:textId="77777777" w:rsidR="00C20FCD" w:rsidRDefault="007078DA" w:rsidP="0024549E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lastRenderedPageBreak/>
        <w:t>RELOCATION OF UTILITY FACILITY WITHIN HIGHWAY RIGHT OF WAY</w:t>
      </w:r>
    </w:p>
    <w:p w14:paraId="445B4749" w14:textId="77777777" w:rsidR="00C20FCD" w:rsidRDefault="004B05EC" w:rsidP="00D228B9">
      <w:pPr>
        <w:pStyle w:val="ListParagraph"/>
        <w:numPr>
          <w:ilvl w:val="0"/>
          <w:numId w:val="11"/>
        </w:numPr>
        <w:spacing w:line="276" w:lineRule="auto"/>
        <w:jc w:val="both"/>
      </w:pPr>
      <w:r>
        <w:t>If</w:t>
      </w:r>
      <w:r w:rsidR="00AF5932">
        <w:t xml:space="preserve"> the Utility </w:t>
      </w:r>
      <w:r w:rsidR="007078DA">
        <w:t>wish</w:t>
      </w:r>
      <w:r>
        <w:t>es</w:t>
      </w:r>
      <w:r w:rsidR="007078DA">
        <w:t xml:space="preserve"> to</w:t>
      </w:r>
      <w:r w:rsidR="00AF5932">
        <w:t xml:space="preserve"> relocate its facilities </w:t>
      </w:r>
      <w:r w:rsidR="007078DA">
        <w:t>within</w:t>
      </w:r>
      <w:r w:rsidR="00AF5932">
        <w:t xml:space="preserve"> the highway right of way</w:t>
      </w:r>
      <w:r w:rsidR="007078DA">
        <w:t xml:space="preserve">, the Parties agree to work diligently in </w:t>
      </w:r>
      <w:r w:rsidR="005922F0">
        <w:t>determining</w:t>
      </w:r>
      <w:r w:rsidR="007078DA">
        <w:t xml:space="preserve"> the appro</w:t>
      </w:r>
      <w:r w:rsidR="005922F0">
        <w:t xml:space="preserve">priate location of the </w:t>
      </w:r>
      <w:r w:rsidR="00D13D19">
        <w:t>relocated</w:t>
      </w:r>
      <w:r w:rsidR="005922F0">
        <w:t xml:space="preserve"> facility.</w:t>
      </w:r>
    </w:p>
    <w:p w14:paraId="7CCA840C" w14:textId="77777777" w:rsidR="007E2A65" w:rsidRDefault="006D2BA6" w:rsidP="00BC2D2B">
      <w:pPr>
        <w:pStyle w:val="ListParagraph"/>
        <w:numPr>
          <w:ilvl w:val="0"/>
          <w:numId w:val="11"/>
        </w:numPr>
        <w:spacing w:line="276" w:lineRule="auto"/>
        <w:jc w:val="both"/>
      </w:pPr>
      <w:r>
        <w:t xml:space="preserve">Upon determination </w:t>
      </w:r>
      <w:r w:rsidR="009A0A1B">
        <w:t>of the</w:t>
      </w:r>
      <w:r w:rsidR="005922F0">
        <w:t xml:space="preserve"> new location of the utility facility within the highway right of way </w:t>
      </w:r>
      <w:r w:rsidR="009A0A1B">
        <w:t>and application</w:t>
      </w:r>
      <w:r w:rsidR="001A723D">
        <w:t xml:space="preserve"> by the Utility, </w:t>
      </w:r>
      <w:r w:rsidR="005922F0">
        <w:t xml:space="preserve">TxDOT will </w:t>
      </w:r>
      <w:r w:rsidR="00AF5932">
        <w:t xml:space="preserve">facilitate the timely </w:t>
      </w:r>
      <w:r w:rsidR="005922F0">
        <w:t>issu</w:t>
      </w:r>
      <w:r w:rsidR="00AF5932">
        <w:t>ance of</w:t>
      </w:r>
      <w:r w:rsidR="005922F0">
        <w:t xml:space="preserve"> a permit allowing the installation of the utility facility.</w:t>
      </w:r>
    </w:p>
    <w:p w14:paraId="0038B9F9" w14:textId="77777777" w:rsidR="00440942" w:rsidRDefault="00440942" w:rsidP="00440942">
      <w:pPr>
        <w:pStyle w:val="ListParagraph"/>
        <w:spacing w:line="276" w:lineRule="auto"/>
        <w:jc w:val="both"/>
        <w:rPr>
          <w:b/>
        </w:rPr>
      </w:pPr>
    </w:p>
    <w:p w14:paraId="1B433171" w14:textId="77777777" w:rsidR="00FC068D" w:rsidRDefault="00FC068D" w:rsidP="00440942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UTILITY REIMBURSEMENT</w:t>
      </w:r>
    </w:p>
    <w:p w14:paraId="7BCC876D" w14:textId="77777777" w:rsidR="00934B8A" w:rsidRPr="00440942" w:rsidRDefault="00440942" w:rsidP="00833689">
      <w:pPr>
        <w:pStyle w:val="ListParagraph"/>
        <w:numPr>
          <w:ilvl w:val="0"/>
          <w:numId w:val="15"/>
        </w:numPr>
        <w:spacing w:line="276" w:lineRule="auto"/>
        <w:jc w:val="both"/>
      </w:pPr>
      <w:r>
        <w:t>A change to the TxDOT schematics or plans included in the NORA that requires the Utility to undertake subsequent utility accommodation activities</w:t>
      </w:r>
      <w:r w:rsidR="007F47CA">
        <w:t>,</w:t>
      </w:r>
      <w:r w:rsidR="00F37C1D">
        <w:t xml:space="preserve"> or a cancellation of TxDOT plans to construct</w:t>
      </w:r>
      <w:r>
        <w:t xml:space="preserve"> </w:t>
      </w:r>
      <w:r w:rsidR="00F37C1D">
        <w:t>the Project</w:t>
      </w:r>
      <w:r w:rsidR="007F47CA">
        <w:t>,</w:t>
      </w:r>
      <w:r w:rsidR="00F37C1D">
        <w:t xml:space="preserve"> </w:t>
      </w:r>
      <w:r>
        <w:t>will entitle the Utility to the reimbursement of such applicable expenses</w:t>
      </w:r>
      <w:r w:rsidR="007F47CA">
        <w:t>.  Utility will be eligible for such reimbursement</w:t>
      </w:r>
      <w:r>
        <w:t xml:space="preserve"> regardless of the Utility’s</w:t>
      </w:r>
      <w:r w:rsidR="00934B8A">
        <w:t xml:space="preserve"> reimbursement</w:t>
      </w:r>
      <w:r>
        <w:t xml:space="preserve"> status </w:t>
      </w:r>
      <w:r w:rsidR="004375A3">
        <w:t xml:space="preserve">for the initial relocation </w:t>
      </w:r>
      <w:r>
        <w:t xml:space="preserve">under </w:t>
      </w:r>
      <w:r w:rsidR="004375A3">
        <w:t xml:space="preserve">Transportation Code </w:t>
      </w:r>
      <w:r>
        <w:rPr>
          <w:rFonts w:cs="Arial"/>
        </w:rPr>
        <w:t>§</w:t>
      </w:r>
      <w:r>
        <w:t>203.092</w:t>
      </w:r>
      <w:r w:rsidR="004375A3">
        <w:t>.</w:t>
      </w:r>
      <w:r w:rsidRPr="00440942">
        <w:t xml:space="preserve"> </w:t>
      </w:r>
    </w:p>
    <w:p w14:paraId="707464D8" w14:textId="77777777" w:rsidR="00FC068D" w:rsidRDefault="00FC068D" w:rsidP="00FC068D">
      <w:pPr>
        <w:pStyle w:val="ListParagraph"/>
        <w:spacing w:line="276" w:lineRule="auto"/>
        <w:ind w:left="360"/>
        <w:jc w:val="both"/>
        <w:rPr>
          <w:b/>
        </w:rPr>
      </w:pPr>
    </w:p>
    <w:p w14:paraId="3C4DA33D" w14:textId="77777777" w:rsidR="007078DA" w:rsidRDefault="007078DA" w:rsidP="0024549E">
      <w:pPr>
        <w:pStyle w:val="ListParagraph"/>
        <w:keepNext/>
        <w:keepLines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FAILURE TO RESOLVE CONFLICT</w:t>
      </w:r>
    </w:p>
    <w:p w14:paraId="097C1CE0" w14:textId="77777777" w:rsidR="009A0A1B" w:rsidRDefault="004044D0" w:rsidP="0024549E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If the Parties have not </w:t>
      </w:r>
      <w:r w:rsidR="008E3573">
        <w:t xml:space="preserve">reached an agreement </w:t>
      </w:r>
      <w:r>
        <w:t xml:space="preserve">to resolve the </w:t>
      </w:r>
      <w:r w:rsidR="0094640D">
        <w:t xml:space="preserve">utility </w:t>
      </w:r>
      <w:r>
        <w:t>conflict</w:t>
      </w:r>
      <w:r w:rsidR="00EC35C9">
        <w:t xml:space="preserve"> within 90 days of the NORA</w:t>
      </w:r>
      <w:r w:rsidR="00C10DE3">
        <w:t>,</w:t>
      </w:r>
      <w:r w:rsidR="00EC35C9">
        <w:t xml:space="preserve"> </w:t>
      </w:r>
      <w:r w:rsidR="00C054B3">
        <w:t xml:space="preserve">the Parties will utilize the </w:t>
      </w:r>
      <w:r w:rsidR="00DC5057">
        <w:t>e</w:t>
      </w:r>
      <w:r>
        <w:t xml:space="preserve">scalation </w:t>
      </w:r>
      <w:r w:rsidR="00EA7A50">
        <w:t xml:space="preserve">process </w:t>
      </w:r>
      <w:r w:rsidR="00C054B3">
        <w:t>below</w:t>
      </w:r>
      <w:r w:rsidR="007F47CA">
        <w:t>:</w:t>
      </w:r>
    </w:p>
    <w:p w14:paraId="796C7C50" w14:textId="77777777" w:rsidR="008E3573" w:rsidRDefault="006C0439" w:rsidP="00974256">
      <w:pPr>
        <w:pStyle w:val="ListParagraph"/>
        <w:numPr>
          <w:ilvl w:val="1"/>
          <w:numId w:val="16"/>
        </w:numPr>
        <w:spacing w:line="276" w:lineRule="auto"/>
        <w:jc w:val="both"/>
      </w:pPr>
      <w:r>
        <w:t>Either</w:t>
      </w:r>
      <w:r w:rsidR="00D5097E">
        <w:t xml:space="preserve"> Part</w:t>
      </w:r>
      <w:r>
        <w:t>y</w:t>
      </w:r>
      <w:r w:rsidR="008E3573">
        <w:t xml:space="preserve"> </w:t>
      </w:r>
      <w:r>
        <w:t>may</w:t>
      </w:r>
      <w:r w:rsidR="008E3573">
        <w:t xml:space="preserve"> request </w:t>
      </w:r>
      <w:r>
        <w:t>an</w:t>
      </w:r>
      <w:r w:rsidR="008E3573">
        <w:t xml:space="preserve"> </w:t>
      </w:r>
      <w:r w:rsidR="00DC5057">
        <w:t xml:space="preserve">in-person meeting with a representative of each Party with authority to resolve the </w:t>
      </w:r>
      <w:r w:rsidR="0094640D">
        <w:t xml:space="preserve">utility </w:t>
      </w:r>
      <w:r w:rsidR="00DC5057">
        <w:t xml:space="preserve">conflict. </w:t>
      </w:r>
      <w:r w:rsidR="008E3573">
        <w:t xml:space="preserve">Notice shall be </w:t>
      </w:r>
      <w:r w:rsidR="00C44F55">
        <w:t>delivered by the requesting Party</w:t>
      </w:r>
      <w:r w:rsidR="00DC5057">
        <w:t xml:space="preserve"> </w:t>
      </w:r>
      <w:r w:rsidR="00C44F55">
        <w:t>outlining the basis of the unresolved conflict</w:t>
      </w:r>
      <w:r w:rsidR="0094640D">
        <w:t>.</w:t>
      </w:r>
    </w:p>
    <w:p w14:paraId="51E9F914" w14:textId="77777777" w:rsidR="00DF27A1" w:rsidRDefault="002969EB" w:rsidP="0024549E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If </w:t>
      </w:r>
      <w:r w:rsidR="00AF5932">
        <w:t xml:space="preserve">the escalation process </w:t>
      </w:r>
      <w:r>
        <w:t xml:space="preserve">fails to resolve </w:t>
      </w:r>
      <w:r w:rsidR="004044D0">
        <w:t xml:space="preserve">the </w:t>
      </w:r>
      <w:r w:rsidR="0094640D">
        <w:t xml:space="preserve">utility </w:t>
      </w:r>
      <w:r>
        <w:t xml:space="preserve">conflict within a timely manner, TxDOT </w:t>
      </w:r>
      <w:r w:rsidR="00AF5932">
        <w:t xml:space="preserve">may </w:t>
      </w:r>
      <w:r>
        <w:t xml:space="preserve">invoke its right under Transportation Code </w:t>
      </w:r>
      <w:r w:rsidR="007F47CA">
        <w:rPr>
          <w:rFonts w:cs="Arial"/>
        </w:rPr>
        <w:t>§</w:t>
      </w:r>
      <w:r>
        <w:t>203.0935 to relocate the facility itself.</w:t>
      </w:r>
    </w:p>
    <w:p w14:paraId="18056363" w14:textId="77777777" w:rsidR="00DF27A1" w:rsidRDefault="00DF27A1" w:rsidP="00D228B9">
      <w:pPr>
        <w:pStyle w:val="ListParagraph"/>
        <w:spacing w:line="276" w:lineRule="auto"/>
        <w:jc w:val="both"/>
        <w:rPr>
          <w:b/>
        </w:rPr>
      </w:pPr>
    </w:p>
    <w:p w14:paraId="21C28EC1" w14:textId="77777777" w:rsidR="00E72C5A" w:rsidRDefault="00E72C5A" w:rsidP="00D228B9">
      <w:pPr>
        <w:pStyle w:val="ListParagraph"/>
        <w:spacing w:line="276" w:lineRule="auto"/>
        <w:jc w:val="center"/>
        <w:rPr>
          <w:b/>
        </w:rPr>
      </w:pPr>
    </w:p>
    <w:p w14:paraId="3FEB4806" w14:textId="77777777" w:rsidR="007279F0" w:rsidRDefault="00DF27A1" w:rsidP="00E72C5A">
      <w:pPr>
        <w:pStyle w:val="ListParagraph"/>
        <w:spacing w:line="276" w:lineRule="auto"/>
        <w:jc w:val="center"/>
      </w:pPr>
      <w:r w:rsidRPr="00456D0F">
        <w:rPr>
          <w:b/>
        </w:rPr>
        <w:t>SIGNATURE PAGE FOLLOWS</w:t>
      </w:r>
    </w:p>
    <w:p w14:paraId="4036D3B7" w14:textId="77777777" w:rsidR="007279F0" w:rsidRDefault="007279F0" w:rsidP="00D228B9">
      <w:pPr>
        <w:spacing w:line="276" w:lineRule="auto"/>
      </w:pPr>
      <w:r>
        <w:br w:type="page"/>
      </w:r>
    </w:p>
    <w:p w14:paraId="1264DC8A" w14:textId="77777777" w:rsidR="00CF1B98" w:rsidRDefault="00CF1B98" w:rsidP="00D228B9">
      <w:pPr>
        <w:spacing w:before="240" w:line="276" w:lineRule="auto"/>
        <w:rPr>
          <w:bCs/>
        </w:rPr>
      </w:pPr>
      <w:r w:rsidRPr="00CF1B98">
        <w:rPr>
          <w:bCs/>
        </w:rPr>
        <w:lastRenderedPageBreak/>
        <w:t xml:space="preserve">The signatories to this </w:t>
      </w:r>
      <w:r w:rsidR="00F75427">
        <w:rPr>
          <w:bCs/>
        </w:rPr>
        <w:t>Agreement</w:t>
      </w:r>
      <w:r w:rsidRPr="00CF1B98">
        <w:rPr>
          <w:bCs/>
        </w:rPr>
        <w:t xml:space="preserve"> warrant that each has the authority to enter into this A</w:t>
      </w:r>
      <w:r w:rsidR="00F75427">
        <w:rPr>
          <w:bCs/>
        </w:rPr>
        <w:t>gree</w:t>
      </w:r>
      <w:r w:rsidRPr="00CF1B98">
        <w:rPr>
          <w:bCs/>
        </w:rPr>
        <w:t>ment on behalf of the party represented.</w:t>
      </w:r>
    </w:p>
    <w:p w14:paraId="426D516E" w14:textId="77777777" w:rsidR="00143128" w:rsidRDefault="00143128" w:rsidP="00D228B9">
      <w:pPr>
        <w:spacing w:before="240" w:line="276" w:lineRule="auto"/>
        <w:rPr>
          <w:bCs/>
        </w:rPr>
      </w:pPr>
      <w:r w:rsidRPr="006D2C6A">
        <w:rPr>
          <w:bCs/>
        </w:rPr>
        <w:t xml:space="preserve">The rights and obligations of the </w:t>
      </w:r>
      <w:r w:rsidR="002835D1">
        <w:rPr>
          <w:bCs/>
        </w:rPr>
        <w:t>P</w:t>
      </w:r>
      <w:r w:rsidRPr="006D2C6A">
        <w:rPr>
          <w:bCs/>
        </w:rPr>
        <w:t xml:space="preserve">arties to this </w:t>
      </w:r>
      <w:r w:rsidR="002835D1">
        <w:rPr>
          <w:bCs/>
        </w:rPr>
        <w:t>A</w:t>
      </w:r>
      <w:r w:rsidRPr="006D2C6A">
        <w:rPr>
          <w:bCs/>
        </w:rPr>
        <w:t>greement will be binding on, and will be of benefit to, each of the parties’ successors, assigns, heirs and estates.</w:t>
      </w:r>
    </w:p>
    <w:p w14:paraId="76D9C4BF" w14:textId="77777777" w:rsidR="00CF1B98" w:rsidRDefault="00CF1B98" w:rsidP="00D228B9">
      <w:pPr>
        <w:spacing w:before="240" w:line="276" w:lineRule="auto"/>
        <w:rPr>
          <w:bCs/>
        </w:rPr>
      </w:pPr>
      <w:r w:rsidRPr="006D2C6A">
        <w:rPr>
          <w:bCs/>
        </w:rPr>
        <w:t xml:space="preserve">IN WITNESS WHEREOF, </w:t>
      </w:r>
      <w:r w:rsidRPr="00CF1B98">
        <w:rPr>
          <w:bCs/>
        </w:rPr>
        <w:t xml:space="preserve">the </w:t>
      </w:r>
      <w:r w:rsidR="00EA7A50">
        <w:rPr>
          <w:bCs/>
        </w:rPr>
        <w:t>P</w:t>
      </w:r>
      <w:r w:rsidRPr="00CF1B98">
        <w:rPr>
          <w:bCs/>
        </w:rPr>
        <w:t>arties hereto have affixed their signatures.</w:t>
      </w:r>
    </w:p>
    <w:p w14:paraId="1B5DC0C9" w14:textId="77777777" w:rsidR="007279F0" w:rsidRDefault="007279F0" w:rsidP="00CF1B98">
      <w:pPr>
        <w:rPr>
          <w:bCs/>
        </w:rPr>
      </w:pPr>
    </w:p>
    <w:p w14:paraId="76B999FC" w14:textId="77777777" w:rsidR="007279F0" w:rsidRDefault="007279F0" w:rsidP="00CF1B98">
      <w:pPr>
        <w:rPr>
          <w:bCs/>
        </w:rPr>
      </w:pPr>
    </w:p>
    <w:p w14:paraId="495556E0" w14:textId="77777777" w:rsidR="007279F0" w:rsidRDefault="007279F0" w:rsidP="00CF1B98">
      <w:pPr>
        <w:rPr>
          <w:bCs/>
        </w:rPr>
      </w:pPr>
    </w:p>
    <w:p w14:paraId="69F2B2CD" w14:textId="77777777" w:rsidR="007279F0" w:rsidRPr="00CF1B98" w:rsidRDefault="007279F0" w:rsidP="00CF1B98">
      <w:pPr>
        <w:rPr>
          <w:bCs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828"/>
        <w:gridCol w:w="4440"/>
        <w:gridCol w:w="420"/>
        <w:gridCol w:w="270"/>
        <w:gridCol w:w="1170"/>
        <w:gridCol w:w="3150"/>
        <w:gridCol w:w="270"/>
      </w:tblGrid>
      <w:tr w:rsidR="00A05AD8" w:rsidRPr="00BD7492" w14:paraId="75F55289" w14:textId="77777777" w:rsidTr="0024549E">
        <w:tc>
          <w:tcPr>
            <w:tcW w:w="5268" w:type="dxa"/>
            <w:gridSpan w:val="2"/>
            <w:shd w:val="clear" w:color="auto" w:fill="auto"/>
          </w:tcPr>
          <w:p w14:paraId="1EC2641A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b/>
                <w:sz w:val="20"/>
              </w:rPr>
              <w:t>UTILITY</w:t>
            </w:r>
          </w:p>
        </w:tc>
        <w:tc>
          <w:tcPr>
            <w:tcW w:w="420" w:type="dxa"/>
            <w:shd w:val="clear" w:color="auto" w:fill="auto"/>
          </w:tcPr>
          <w:p w14:paraId="2286F610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2E9A9BA1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C5144D4" w14:textId="77777777" w:rsidR="00A05AD8" w:rsidRPr="00BD7492" w:rsidRDefault="00A05AD8" w:rsidP="00D27B69">
            <w:pPr>
              <w:rPr>
                <w:rFonts w:cs="Arial"/>
                <w:b/>
                <w:sz w:val="20"/>
              </w:rPr>
            </w:pPr>
            <w:r w:rsidRPr="00BD7492">
              <w:rPr>
                <w:rFonts w:cs="Arial"/>
                <w:b/>
                <w:sz w:val="20"/>
              </w:rPr>
              <w:t>EXECUTION RECOMMENDED: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54CA74F2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3E5CF5D4" w14:textId="77777777" w:rsidTr="0024549E">
        <w:tc>
          <w:tcPr>
            <w:tcW w:w="828" w:type="dxa"/>
            <w:shd w:val="clear" w:color="auto" w:fill="auto"/>
          </w:tcPr>
          <w:p w14:paraId="5F6C3DD1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568C5211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60353987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74ECEAB3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FF4BC21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2AE2156E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16BA3781" w14:textId="77777777" w:rsidTr="0024549E">
        <w:tc>
          <w:tcPr>
            <w:tcW w:w="828" w:type="dxa"/>
            <w:shd w:val="clear" w:color="auto" w:fill="auto"/>
          </w:tcPr>
          <w:p w14:paraId="0F4F89D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79674C40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0AE522F9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137B5758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DD276E0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0E275A27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561D0F51" w14:textId="77777777" w:rsidTr="0024549E">
        <w:tc>
          <w:tcPr>
            <w:tcW w:w="828" w:type="dxa"/>
            <w:shd w:val="clear" w:color="auto" w:fill="auto"/>
          </w:tcPr>
          <w:p w14:paraId="00EFFF39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Utility: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14:paraId="121ED965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420" w:type="dxa"/>
            <w:shd w:val="clear" w:color="auto" w:fill="auto"/>
          </w:tcPr>
          <w:p w14:paraId="4486A732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7CC914A5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A009E" w14:textId="77777777" w:rsidR="00A05AD8" w:rsidRPr="00BD7492" w:rsidRDefault="00A05AD8" w:rsidP="00D27B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6B667ED8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305B40BE" w14:textId="77777777" w:rsidTr="0024549E">
        <w:tc>
          <w:tcPr>
            <w:tcW w:w="828" w:type="dxa"/>
            <w:shd w:val="clear" w:color="auto" w:fill="auto"/>
          </w:tcPr>
          <w:p w14:paraId="33E1712A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</w:tcPr>
          <w:p w14:paraId="6ABF30D2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i/>
                <w:sz w:val="16"/>
                <w:szCs w:val="16"/>
              </w:rPr>
              <w:t>Name of Utility</w:t>
            </w:r>
          </w:p>
        </w:tc>
        <w:tc>
          <w:tcPr>
            <w:tcW w:w="420" w:type="dxa"/>
            <w:shd w:val="clear" w:color="auto" w:fill="auto"/>
          </w:tcPr>
          <w:p w14:paraId="43C0DCF4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14:paraId="58E94F5C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66AA5" w14:textId="77777777" w:rsidR="00A05AD8" w:rsidRPr="00BD7492" w:rsidRDefault="00A05AD8" w:rsidP="006A54A8">
            <w:pPr>
              <w:rPr>
                <w:rFonts w:cs="Arial"/>
                <w:i/>
                <w:sz w:val="16"/>
                <w:szCs w:val="16"/>
              </w:rPr>
            </w:pPr>
            <w:r w:rsidRPr="00E121A5">
              <w:rPr>
                <w:rFonts w:cs="Arial"/>
                <w:i/>
                <w:sz w:val="18"/>
              </w:rPr>
              <w:t>Utility Portfolio Section Director, R</w:t>
            </w:r>
            <w:r w:rsidR="00BC62E9" w:rsidRPr="00E121A5">
              <w:rPr>
                <w:rFonts w:cs="Arial"/>
                <w:i/>
                <w:sz w:val="18"/>
              </w:rPr>
              <w:t>ight of Way</w:t>
            </w:r>
            <w:r w:rsidRPr="00E121A5">
              <w:rPr>
                <w:rFonts w:cs="Arial"/>
                <w:i/>
                <w:sz w:val="18"/>
              </w:rPr>
              <w:t xml:space="preserve"> Division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6A85F6D5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0B687CB5" w14:textId="77777777" w:rsidTr="0024549E">
        <w:tc>
          <w:tcPr>
            <w:tcW w:w="828" w:type="dxa"/>
            <w:shd w:val="clear" w:color="auto" w:fill="auto"/>
          </w:tcPr>
          <w:p w14:paraId="37CF7A10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2D8A84C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36141B96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double" w:sz="12" w:space="0" w:color="auto"/>
            </w:tcBorders>
            <w:shd w:val="clear" w:color="auto" w:fill="auto"/>
          </w:tcPr>
          <w:p w14:paraId="3C730ECD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50BA8FD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bottom w:val="double" w:sz="12" w:space="0" w:color="auto"/>
            </w:tcBorders>
            <w:shd w:val="clear" w:color="auto" w:fill="auto"/>
          </w:tcPr>
          <w:p w14:paraId="4B5EB592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900F07" w:rsidRPr="00BD7492" w14:paraId="2C7BEE1D" w14:textId="77777777" w:rsidTr="0024549E">
        <w:tc>
          <w:tcPr>
            <w:tcW w:w="828" w:type="dxa"/>
            <w:shd w:val="clear" w:color="auto" w:fill="auto"/>
          </w:tcPr>
          <w:p w14:paraId="4284D6F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By: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14:paraId="7D387A5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7AB9E139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</w:tcPr>
          <w:p w14:paraId="48023986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865A039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uble" w:sz="12" w:space="0" w:color="auto"/>
              <w:left w:val="nil"/>
              <w:right w:val="double" w:sz="12" w:space="0" w:color="auto"/>
            </w:tcBorders>
            <w:shd w:val="clear" w:color="auto" w:fill="auto"/>
          </w:tcPr>
          <w:p w14:paraId="0DC07CAF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900F07" w:rsidRPr="00BD7492" w14:paraId="2F7DD1A3" w14:textId="77777777" w:rsidTr="0024549E">
        <w:tc>
          <w:tcPr>
            <w:tcW w:w="828" w:type="dxa"/>
            <w:shd w:val="clear" w:color="auto" w:fill="auto"/>
          </w:tcPr>
          <w:p w14:paraId="296A8C47" w14:textId="77777777" w:rsidR="00A05AD8" w:rsidRPr="00BD7492" w:rsidRDefault="00A05AD8" w:rsidP="00D27B69">
            <w:pPr>
              <w:rPr>
                <w:rFonts w:cs="Arial"/>
                <w:i/>
                <w:sz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</w:tcPr>
          <w:p w14:paraId="77944D0A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  <w:r w:rsidRPr="00BD7492">
              <w:rPr>
                <w:rFonts w:cs="Arial"/>
                <w:i/>
                <w:sz w:val="16"/>
                <w:szCs w:val="16"/>
              </w:rPr>
              <w:t>Authorized Signature</w:t>
            </w: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0F5C8341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6B240996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vMerge w:val="restart"/>
            <w:shd w:val="clear" w:color="auto" w:fill="auto"/>
            <w:vAlign w:val="center"/>
          </w:tcPr>
          <w:p w14:paraId="6090A970" w14:textId="77777777" w:rsidR="00A05AD8" w:rsidRPr="00BD7492" w:rsidRDefault="00A05AD8" w:rsidP="00D27B69">
            <w:pPr>
              <w:spacing w:after="120"/>
              <w:jc w:val="center"/>
              <w:rPr>
                <w:rFonts w:cs="Arial"/>
                <w:b/>
                <w:sz w:val="20"/>
              </w:rPr>
            </w:pPr>
            <w:r w:rsidRPr="00BD7492">
              <w:rPr>
                <w:rFonts w:cs="Arial"/>
                <w:b/>
                <w:sz w:val="20"/>
              </w:rPr>
              <w:t>THE STATE OF TEXAS</w:t>
            </w:r>
          </w:p>
          <w:p w14:paraId="28C127E6" w14:textId="77777777" w:rsidR="00A05AD8" w:rsidRPr="00BD7492" w:rsidRDefault="00A05AD8" w:rsidP="00D27B69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BD7492">
              <w:rPr>
                <w:rFonts w:cs="Arial"/>
                <w:sz w:val="20"/>
              </w:rPr>
              <w:t>Executed and approved for the Texas Transportation Commission for the purpose and effect of activating and/or carrying out the orders, established policies or work programs heretofore approved and authorized by the Texas Transportation Commission.</w:t>
            </w: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15245FD9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A05AD8" w:rsidRPr="00BD7492" w14:paraId="2913A0DD" w14:textId="77777777" w:rsidTr="0024549E">
        <w:tc>
          <w:tcPr>
            <w:tcW w:w="828" w:type="dxa"/>
            <w:shd w:val="clear" w:color="auto" w:fill="auto"/>
          </w:tcPr>
          <w:p w14:paraId="08E030D6" w14:textId="77777777" w:rsidR="00A05AD8" w:rsidRPr="00BD7492" w:rsidRDefault="00A05AD8" w:rsidP="00D27B69">
            <w:pPr>
              <w:rPr>
                <w:rFonts w:cs="Arial"/>
                <w:i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1BBE3452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6AE9F891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2CF1B728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500C4356" w14:textId="77777777" w:rsidR="00A05AD8" w:rsidRPr="00BD7492" w:rsidRDefault="00A05AD8" w:rsidP="00D27B69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018010DD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900F07" w:rsidRPr="00BD7492" w14:paraId="527DE584" w14:textId="77777777" w:rsidTr="0024549E">
        <w:tc>
          <w:tcPr>
            <w:tcW w:w="828" w:type="dxa"/>
            <w:shd w:val="clear" w:color="auto" w:fill="auto"/>
          </w:tcPr>
          <w:p w14:paraId="710F0910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14:paraId="68DB9ACA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7492">
              <w:rPr>
                <w:rFonts w:cs="Arial"/>
                <w:sz w:val="20"/>
              </w:rPr>
              <w:instrText xml:space="preserve"> FORMTEXT </w:instrText>
            </w:r>
            <w:r w:rsidRPr="00BD7492">
              <w:rPr>
                <w:rFonts w:cs="Arial"/>
                <w:sz w:val="20"/>
              </w:rPr>
            </w:r>
            <w:r w:rsidRPr="00BD7492">
              <w:rPr>
                <w:rFonts w:cs="Arial"/>
                <w:sz w:val="20"/>
              </w:rPr>
              <w:fldChar w:fldCharType="separate"/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4BCE363C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4103897E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3FBE7D9E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09E5DDE2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900F07" w:rsidRPr="00BD7492" w14:paraId="41A76652" w14:textId="77777777" w:rsidTr="0024549E">
        <w:trPr>
          <w:trHeight w:val="135"/>
        </w:trPr>
        <w:tc>
          <w:tcPr>
            <w:tcW w:w="828" w:type="dxa"/>
            <w:shd w:val="clear" w:color="auto" w:fill="auto"/>
          </w:tcPr>
          <w:p w14:paraId="42DADE8E" w14:textId="77777777" w:rsidR="00A05AD8" w:rsidRPr="00BD7492" w:rsidRDefault="00A05AD8" w:rsidP="00D27B69">
            <w:pPr>
              <w:rPr>
                <w:rFonts w:cs="Arial"/>
                <w:noProof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</w:tcPr>
          <w:p w14:paraId="6198D31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i/>
                <w:sz w:val="16"/>
                <w:szCs w:val="16"/>
              </w:rPr>
              <w:t>Print or Type Name</w:t>
            </w: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3EE7DE18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60402166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174E285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2C6F3740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A05AD8" w:rsidRPr="00BD7492" w14:paraId="0DD02138" w14:textId="77777777" w:rsidTr="0024549E">
        <w:tc>
          <w:tcPr>
            <w:tcW w:w="828" w:type="dxa"/>
            <w:shd w:val="clear" w:color="auto" w:fill="auto"/>
          </w:tcPr>
          <w:p w14:paraId="4E0D29FC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6A108C59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17E53070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4E800710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209BCA81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13B47A9A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900F07" w:rsidRPr="00BD7492" w14:paraId="3438D745" w14:textId="77777777" w:rsidTr="0024549E">
        <w:tc>
          <w:tcPr>
            <w:tcW w:w="828" w:type="dxa"/>
            <w:shd w:val="clear" w:color="auto" w:fill="auto"/>
          </w:tcPr>
          <w:p w14:paraId="04970876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Title: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14:paraId="312C434D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  <w:r w:rsidRPr="00BD7492"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D7492">
              <w:rPr>
                <w:rFonts w:cs="Arial"/>
                <w:sz w:val="20"/>
              </w:rPr>
              <w:instrText xml:space="preserve"> FORMTEXT </w:instrText>
            </w:r>
            <w:r w:rsidRPr="00BD7492">
              <w:rPr>
                <w:rFonts w:cs="Arial"/>
                <w:sz w:val="20"/>
              </w:rPr>
            </w:r>
            <w:r w:rsidRPr="00BD7492">
              <w:rPr>
                <w:rFonts w:cs="Arial"/>
                <w:sz w:val="20"/>
              </w:rPr>
              <w:fldChar w:fldCharType="separate"/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0A1EAFCD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564B023F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16A1FC43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5F5753DB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</w:tr>
      <w:tr w:rsidR="00900F07" w:rsidRPr="00BD7492" w14:paraId="4381D1C6" w14:textId="77777777" w:rsidTr="0024549E">
        <w:tc>
          <w:tcPr>
            <w:tcW w:w="828" w:type="dxa"/>
            <w:shd w:val="clear" w:color="auto" w:fill="auto"/>
          </w:tcPr>
          <w:p w14:paraId="03A73C53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</w:tcPr>
          <w:p w14:paraId="41C1EFDA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481B64C6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5DF5CCF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39C4A25B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47953E3F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A05AD8" w:rsidRPr="00BD7492" w14:paraId="384D9FE3" w14:textId="77777777" w:rsidTr="0024549E">
        <w:tc>
          <w:tcPr>
            <w:tcW w:w="828" w:type="dxa"/>
            <w:shd w:val="clear" w:color="auto" w:fill="auto"/>
          </w:tcPr>
          <w:p w14:paraId="66597F6E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127A8B63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02420213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395653B7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3FD671E5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20DC2394" w14:textId="77777777" w:rsidR="00A05AD8" w:rsidRPr="00BD7492" w:rsidRDefault="00A05AD8" w:rsidP="00D27B69">
            <w:pPr>
              <w:rPr>
                <w:rFonts w:cs="Arial"/>
                <w:i/>
                <w:sz w:val="16"/>
                <w:szCs w:val="16"/>
              </w:rPr>
            </w:pPr>
          </w:p>
        </w:tc>
      </w:tr>
      <w:tr w:rsidR="00900F07" w:rsidRPr="00BD7492" w14:paraId="5F87B2A6" w14:textId="77777777" w:rsidTr="0024549E">
        <w:tc>
          <w:tcPr>
            <w:tcW w:w="828" w:type="dxa"/>
            <w:shd w:val="clear" w:color="auto" w:fill="auto"/>
          </w:tcPr>
          <w:p w14:paraId="14FB8702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Date: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14:paraId="10770C68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  <w:r w:rsidRPr="00BD7492"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Pr="00BD7492">
              <w:rPr>
                <w:rFonts w:cs="Arial"/>
                <w:sz w:val="20"/>
              </w:rPr>
              <w:instrText xml:space="preserve"> FORMTEXT </w:instrText>
            </w:r>
            <w:r w:rsidRPr="00BD7492">
              <w:rPr>
                <w:rFonts w:cs="Arial"/>
                <w:sz w:val="20"/>
              </w:rPr>
            </w:r>
            <w:r w:rsidRPr="00BD7492">
              <w:rPr>
                <w:rFonts w:cs="Arial"/>
                <w:sz w:val="20"/>
              </w:rPr>
              <w:fldChar w:fldCharType="separate"/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4223997E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6AC45AF3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09E216DD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4193D60E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</w:tr>
      <w:tr w:rsidR="00900F07" w:rsidRPr="00BD7492" w14:paraId="6BFF473A" w14:textId="77777777" w:rsidTr="0024549E">
        <w:tc>
          <w:tcPr>
            <w:tcW w:w="828" w:type="dxa"/>
            <w:shd w:val="clear" w:color="auto" w:fill="auto"/>
          </w:tcPr>
          <w:p w14:paraId="73DD62CB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shd w:val="clear" w:color="auto" w:fill="auto"/>
          </w:tcPr>
          <w:p w14:paraId="0F23F372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713F0CE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1ADE74A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32ECF69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By: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5D7E2B0" w14:textId="77777777" w:rsidR="00A05AD8" w:rsidRPr="00BD7492" w:rsidRDefault="00A05AD8" w:rsidP="00D27B69">
            <w:pPr>
              <w:tabs>
                <w:tab w:val="left" w:pos="720"/>
              </w:tabs>
              <w:jc w:val="right"/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162030D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900F07" w:rsidRPr="00BD7492" w14:paraId="206CEF76" w14:textId="77777777" w:rsidTr="0024549E">
        <w:tc>
          <w:tcPr>
            <w:tcW w:w="828" w:type="dxa"/>
            <w:shd w:val="clear" w:color="auto" w:fill="auto"/>
          </w:tcPr>
          <w:p w14:paraId="3B5C7E12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440" w:type="dxa"/>
            <w:shd w:val="clear" w:color="auto" w:fill="auto"/>
          </w:tcPr>
          <w:p w14:paraId="665D5812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26089B15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333247BA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14:paraId="2AF66EE8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3150" w:type="dxa"/>
            <w:shd w:val="clear" w:color="auto" w:fill="auto"/>
          </w:tcPr>
          <w:p w14:paraId="4B0986EF" w14:textId="77777777" w:rsidR="00A05AD8" w:rsidRPr="00BD7492" w:rsidRDefault="00A05AD8">
            <w:pPr>
              <w:jc w:val="center"/>
              <w:rPr>
                <w:rFonts w:cs="Arial"/>
                <w:i/>
                <w:sz w:val="20"/>
              </w:rPr>
            </w:pPr>
            <w:r w:rsidRPr="00BD7492">
              <w:rPr>
                <w:rFonts w:cs="Arial"/>
                <w:i/>
                <w:sz w:val="18"/>
              </w:rPr>
              <w:t>Di</w:t>
            </w:r>
            <w:r w:rsidR="00BC62E9">
              <w:rPr>
                <w:rFonts w:cs="Arial"/>
                <w:i/>
                <w:sz w:val="18"/>
              </w:rPr>
              <w:t>rector, Right of Way Division</w:t>
            </w: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478A51B2" w14:textId="77777777" w:rsidR="00A05AD8" w:rsidRPr="00BD7492" w:rsidRDefault="00A05AD8" w:rsidP="00D27B69">
            <w:pPr>
              <w:rPr>
                <w:rFonts w:cs="Arial"/>
                <w:sz w:val="20"/>
                <w:u w:val="single"/>
              </w:rPr>
            </w:pPr>
          </w:p>
        </w:tc>
      </w:tr>
      <w:tr w:rsidR="00900F07" w:rsidRPr="00BD7492" w14:paraId="63454778" w14:textId="77777777" w:rsidTr="0024549E">
        <w:tc>
          <w:tcPr>
            <w:tcW w:w="828" w:type="dxa"/>
            <w:shd w:val="clear" w:color="auto" w:fill="auto"/>
          </w:tcPr>
          <w:p w14:paraId="0E2B3486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2A8AA411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23C4DA2C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51F29416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228027B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33F41781" w14:textId="77777777" w:rsidR="00A05AD8" w:rsidRPr="00BD7492" w:rsidRDefault="00A05AD8" w:rsidP="00D27B6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36367C24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900F07" w:rsidRPr="00BD7492" w14:paraId="3C3D226D" w14:textId="77777777" w:rsidTr="0024549E">
        <w:tc>
          <w:tcPr>
            <w:tcW w:w="828" w:type="dxa"/>
            <w:shd w:val="clear" w:color="auto" w:fill="auto"/>
          </w:tcPr>
          <w:p w14:paraId="73D3B0FD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1B39D76B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1509E0F1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tcBorders>
              <w:left w:val="double" w:sz="12" w:space="0" w:color="auto"/>
            </w:tcBorders>
            <w:shd w:val="clear" w:color="auto" w:fill="auto"/>
          </w:tcPr>
          <w:p w14:paraId="37073273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A2748C2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t>Date:</w:t>
            </w:r>
          </w:p>
        </w:tc>
        <w:bookmarkStart w:id="2" w:name="Text42"/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401F124B" w14:textId="77777777" w:rsidR="00A05AD8" w:rsidRPr="00BD7492" w:rsidRDefault="00A05AD8" w:rsidP="00D27B69">
            <w:pPr>
              <w:jc w:val="right"/>
              <w:rPr>
                <w:rFonts w:cs="Arial"/>
                <w:sz w:val="20"/>
              </w:rPr>
            </w:pPr>
            <w:r w:rsidRPr="00BD7492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Pr="00BD7492">
              <w:rPr>
                <w:rFonts w:cs="Arial"/>
                <w:sz w:val="20"/>
              </w:rPr>
              <w:instrText xml:space="preserve"> FORMTEXT </w:instrText>
            </w:r>
            <w:r w:rsidRPr="00BD7492">
              <w:rPr>
                <w:rFonts w:cs="Arial"/>
                <w:sz w:val="20"/>
              </w:rPr>
            </w:r>
            <w:r w:rsidRPr="00BD7492">
              <w:rPr>
                <w:rFonts w:cs="Arial"/>
                <w:sz w:val="20"/>
              </w:rPr>
              <w:fldChar w:fldCharType="separate"/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noProof/>
                <w:sz w:val="20"/>
              </w:rPr>
              <w:t> </w:t>
            </w:r>
            <w:r w:rsidRPr="00BD7492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nil"/>
              <w:right w:val="double" w:sz="12" w:space="0" w:color="auto"/>
            </w:tcBorders>
            <w:shd w:val="clear" w:color="auto" w:fill="auto"/>
          </w:tcPr>
          <w:p w14:paraId="030D9C98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  <w:tr w:rsidR="00900F07" w:rsidRPr="00BD7492" w14:paraId="183B8F50" w14:textId="77777777" w:rsidTr="0024549E">
        <w:tc>
          <w:tcPr>
            <w:tcW w:w="828" w:type="dxa"/>
            <w:shd w:val="clear" w:color="auto" w:fill="auto"/>
          </w:tcPr>
          <w:p w14:paraId="105E73B7" w14:textId="77777777" w:rsidR="00A05AD8" w:rsidRPr="00BD7492" w:rsidRDefault="00A05AD8" w:rsidP="00D27B69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440" w:type="dxa"/>
            <w:shd w:val="clear" w:color="auto" w:fill="auto"/>
          </w:tcPr>
          <w:p w14:paraId="1289DBDF" w14:textId="77777777" w:rsidR="00A05AD8" w:rsidRPr="00BD7492" w:rsidRDefault="00A05AD8" w:rsidP="00D27B69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20" w:type="dxa"/>
            <w:tcBorders>
              <w:right w:val="double" w:sz="12" w:space="0" w:color="auto"/>
            </w:tcBorders>
            <w:shd w:val="clear" w:color="auto" w:fill="auto"/>
          </w:tcPr>
          <w:p w14:paraId="4DC4A9D1" w14:textId="77777777" w:rsidR="00A05AD8" w:rsidRPr="00BD7492" w:rsidRDefault="00A05AD8" w:rsidP="00D27B69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70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</w:tcPr>
          <w:p w14:paraId="0CB38C6C" w14:textId="77777777" w:rsidR="00A05AD8" w:rsidRPr="00BD7492" w:rsidRDefault="00A05AD8" w:rsidP="00D27B69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bottom w:val="double" w:sz="12" w:space="0" w:color="auto"/>
            </w:tcBorders>
            <w:shd w:val="clear" w:color="auto" w:fill="auto"/>
          </w:tcPr>
          <w:p w14:paraId="5F1EC860" w14:textId="77777777" w:rsidR="00A05AD8" w:rsidRPr="00BD7492" w:rsidRDefault="00A05AD8" w:rsidP="00D27B69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14:paraId="3AF9ED1B" w14:textId="77777777" w:rsidR="00A05AD8" w:rsidRPr="00BD7492" w:rsidRDefault="00A05AD8" w:rsidP="00D27B69">
            <w:pPr>
              <w:jc w:val="right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70" w:type="dxa"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10A03AC" w14:textId="77777777" w:rsidR="00A05AD8" w:rsidRPr="00BD7492" w:rsidRDefault="00A05AD8" w:rsidP="00D27B69">
            <w:pPr>
              <w:rPr>
                <w:rFonts w:cs="Arial"/>
                <w:sz w:val="20"/>
              </w:rPr>
            </w:pPr>
          </w:p>
        </w:tc>
      </w:tr>
    </w:tbl>
    <w:p w14:paraId="3FF5C1E2" w14:textId="77777777" w:rsidR="00045CF5" w:rsidRPr="00D32A53" w:rsidRDefault="00045CF5" w:rsidP="00045CF5">
      <w:pPr>
        <w:ind w:left="360"/>
        <w:jc w:val="both"/>
      </w:pPr>
    </w:p>
    <w:sectPr w:rsidR="00045CF5" w:rsidRPr="00D32A53" w:rsidSect="0012094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62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5D65" w14:textId="77777777" w:rsidR="00F7249E" w:rsidRDefault="00F7249E" w:rsidP="009F745D">
      <w:r>
        <w:separator/>
      </w:r>
    </w:p>
  </w:endnote>
  <w:endnote w:type="continuationSeparator" w:id="0">
    <w:p w14:paraId="644C4DE8" w14:textId="77777777" w:rsidR="00F7249E" w:rsidRDefault="00F7249E" w:rsidP="009F745D">
      <w:r>
        <w:continuationSeparator/>
      </w:r>
    </w:p>
  </w:endnote>
  <w:endnote w:type="continuationNotice" w:id="1">
    <w:p w14:paraId="157387D9" w14:textId="77777777" w:rsidR="00F7249E" w:rsidRDefault="00F72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02"/>
      <w:gridCol w:w="1358"/>
      <w:gridCol w:w="810"/>
      <w:gridCol w:w="1106"/>
      <w:gridCol w:w="1106"/>
    </w:tblGrid>
    <w:tr w:rsidR="00D27B69" w:rsidRPr="00BD7492" w14:paraId="4435FA42" w14:textId="77777777" w:rsidTr="0024549E">
      <w:tc>
        <w:tcPr>
          <w:tcW w:w="802" w:type="dxa"/>
          <w:shd w:val="clear" w:color="auto" w:fill="auto"/>
        </w:tcPr>
        <w:p w14:paraId="1EF2F40F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</w:t>
          </w:r>
        </w:p>
      </w:tc>
      <w:tc>
        <w:tcPr>
          <w:tcW w:w="1358" w:type="dxa"/>
          <w:shd w:val="clear" w:color="auto" w:fill="auto"/>
        </w:tcPr>
        <w:p w14:paraId="6989A143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__________</w:t>
          </w:r>
        </w:p>
      </w:tc>
      <w:tc>
        <w:tcPr>
          <w:tcW w:w="810" w:type="dxa"/>
          <w:shd w:val="clear" w:color="auto" w:fill="auto"/>
        </w:tcPr>
        <w:p w14:paraId="5FFC81EC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6" w:type="dxa"/>
          <w:shd w:val="clear" w:color="auto" w:fill="auto"/>
        </w:tcPr>
        <w:p w14:paraId="75111ADD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</w:t>
          </w:r>
        </w:p>
      </w:tc>
      <w:tc>
        <w:tcPr>
          <w:tcW w:w="1106" w:type="dxa"/>
          <w:shd w:val="clear" w:color="auto" w:fill="auto"/>
        </w:tcPr>
        <w:p w14:paraId="2C409236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__________</w:t>
          </w:r>
        </w:p>
      </w:tc>
    </w:tr>
    <w:tr w:rsidR="00D27B69" w:rsidRPr="00BD7492" w14:paraId="5FE4A433" w14:textId="77777777" w:rsidTr="0024549E">
      <w:tc>
        <w:tcPr>
          <w:tcW w:w="802" w:type="dxa"/>
          <w:shd w:val="clear" w:color="auto" w:fill="auto"/>
        </w:tcPr>
        <w:p w14:paraId="65CE8B3E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Initial</w:t>
          </w:r>
        </w:p>
      </w:tc>
      <w:tc>
        <w:tcPr>
          <w:tcW w:w="1358" w:type="dxa"/>
          <w:shd w:val="clear" w:color="auto" w:fill="auto"/>
        </w:tcPr>
        <w:p w14:paraId="3FC0BE7D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810" w:type="dxa"/>
          <w:shd w:val="clear" w:color="auto" w:fill="auto"/>
        </w:tcPr>
        <w:p w14:paraId="605889A4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6" w:type="dxa"/>
          <w:shd w:val="clear" w:color="auto" w:fill="auto"/>
        </w:tcPr>
        <w:p w14:paraId="3FA53650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Initial</w:t>
          </w:r>
        </w:p>
      </w:tc>
      <w:tc>
        <w:tcPr>
          <w:tcW w:w="1106" w:type="dxa"/>
          <w:shd w:val="clear" w:color="auto" w:fill="auto"/>
        </w:tcPr>
        <w:p w14:paraId="40217DD1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Date</w:t>
          </w:r>
        </w:p>
      </w:tc>
    </w:tr>
    <w:tr w:rsidR="00D27B69" w:rsidRPr="00BD7492" w14:paraId="11B9ECE1" w14:textId="77777777" w:rsidTr="0024549E">
      <w:tc>
        <w:tcPr>
          <w:tcW w:w="2160" w:type="dxa"/>
          <w:gridSpan w:val="2"/>
          <w:shd w:val="clear" w:color="auto" w:fill="auto"/>
        </w:tcPr>
        <w:p w14:paraId="617C1A3B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TxDOT</w:t>
          </w:r>
        </w:p>
      </w:tc>
      <w:tc>
        <w:tcPr>
          <w:tcW w:w="810" w:type="dxa"/>
          <w:shd w:val="clear" w:color="auto" w:fill="auto"/>
        </w:tcPr>
        <w:p w14:paraId="7107443D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12" w:type="dxa"/>
          <w:gridSpan w:val="2"/>
          <w:shd w:val="clear" w:color="auto" w:fill="auto"/>
        </w:tcPr>
        <w:p w14:paraId="3ED1CD33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Utility</w:t>
          </w:r>
        </w:p>
      </w:tc>
    </w:tr>
  </w:tbl>
  <w:p w14:paraId="24C134EE" w14:textId="77777777" w:rsidR="00D27B69" w:rsidRDefault="00D27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02"/>
      <w:gridCol w:w="1358"/>
      <w:gridCol w:w="810"/>
      <w:gridCol w:w="1106"/>
      <w:gridCol w:w="1106"/>
    </w:tblGrid>
    <w:tr w:rsidR="00D27B69" w:rsidRPr="00BD7492" w14:paraId="741398D3" w14:textId="77777777" w:rsidTr="0024549E">
      <w:tc>
        <w:tcPr>
          <w:tcW w:w="802" w:type="dxa"/>
          <w:shd w:val="clear" w:color="auto" w:fill="auto"/>
        </w:tcPr>
        <w:p w14:paraId="40C2F263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</w:t>
          </w:r>
        </w:p>
      </w:tc>
      <w:tc>
        <w:tcPr>
          <w:tcW w:w="1358" w:type="dxa"/>
          <w:shd w:val="clear" w:color="auto" w:fill="auto"/>
        </w:tcPr>
        <w:p w14:paraId="11D99071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__________</w:t>
          </w:r>
        </w:p>
      </w:tc>
      <w:tc>
        <w:tcPr>
          <w:tcW w:w="810" w:type="dxa"/>
          <w:shd w:val="clear" w:color="auto" w:fill="auto"/>
        </w:tcPr>
        <w:p w14:paraId="6286F5AC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6" w:type="dxa"/>
          <w:shd w:val="clear" w:color="auto" w:fill="auto"/>
        </w:tcPr>
        <w:p w14:paraId="6E8BB148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</w:t>
          </w:r>
        </w:p>
      </w:tc>
      <w:tc>
        <w:tcPr>
          <w:tcW w:w="1106" w:type="dxa"/>
          <w:shd w:val="clear" w:color="auto" w:fill="auto"/>
        </w:tcPr>
        <w:p w14:paraId="001D0348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__________</w:t>
          </w:r>
        </w:p>
      </w:tc>
    </w:tr>
    <w:tr w:rsidR="00D27B69" w:rsidRPr="00BD7492" w14:paraId="1FD5BB91" w14:textId="77777777" w:rsidTr="0024549E">
      <w:tc>
        <w:tcPr>
          <w:tcW w:w="802" w:type="dxa"/>
          <w:shd w:val="clear" w:color="auto" w:fill="auto"/>
        </w:tcPr>
        <w:p w14:paraId="2EDAD549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Initial</w:t>
          </w:r>
        </w:p>
      </w:tc>
      <w:tc>
        <w:tcPr>
          <w:tcW w:w="1358" w:type="dxa"/>
          <w:shd w:val="clear" w:color="auto" w:fill="auto"/>
        </w:tcPr>
        <w:p w14:paraId="1C351256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810" w:type="dxa"/>
          <w:shd w:val="clear" w:color="auto" w:fill="auto"/>
        </w:tcPr>
        <w:p w14:paraId="3B0D254A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6" w:type="dxa"/>
          <w:shd w:val="clear" w:color="auto" w:fill="auto"/>
        </w:tcPr>
        <w:p w14:paraId="025C5CA1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Initial</w:t>
          </w:r>
        </w:p>
      </w:tc>
      <w:tc>
        <w:tcPr>
          <w:tcW w:w="1106" w:type="dxa"/>
          <w:shd w:val="clear" w:color="auto" w:fill="auto"/>
        </w:tcPr>
        <w:p w14:paraId="2C5A50AD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Date</w:t>
          </w:r>
        </w:p>
      </w:tc>
    </w:tr>
    <w:tr w:rsidR="00D27B69" w:rsidRPr="00BD7492" w14:paraId="6A5D070E" w14:textId="77777777" w:rsidTr="0024549E">
      <w:tc>
        <w:tcPr>
          <w:tcW w:w="2160" w:type="dxa"/>
          <w:gridSpan w:val="2"/>
          <w:shd w:val="clear" w:color="auto" w:fill="auto"/>
        </w:tcPr>
        <w:p w14:paraId="6589756D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TxDOT</w:t>
          </w:r>
        </w:p>
      </w:tc>
      <w:tc>
        <w:tcPr>
          <w:tcW w:w="810" w:type="dxa"/>
          <w:shd w:val="clear" w:color="auto" w:fill="auto"/>
        </w:tcPr>
        <w:p w14:paraId="656AC8F0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12" w:type="dxa"/>
          <w:gridSpan w:val="2"/>
          <w:shd w:val="clear" w:color="auto" w:fill="auto"/>
        </w:tcPr>
        <w:p w14:paraId="4CAB8012" w14:textId="77777777" w:rsidR="00D27B69" w:rsidRPr="00BD7492" w:rsidRDefault="00D27B69" w:rsidP="00D27B6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D7492">
            <w:rPr>
              <w:rFonts w:ascii="Arial" w:hAnsi="Arial" w:cs="Arial"/>
              <w:sz w:val="16"/>
              <w:szCs w:val="16"/>
            </w:rPr>
            <w:t>Utility</w:t>
          </w:r>
        </w:p>
      </w:tc>
    </w:tr>
  </w:tbl>
  <w:p w14:paraId="0DE4A018" w14:textId="77777777" w:rsidR="00D27B69" w:rsidRDefault="00D27B69" w:rsidP="00D228B9">
    <w:pPr>
      <w:pStyle w:val="Footer"/>
    </w:pPr>
  </w:p>
  <w:p w14:paraId="16DE83CD" w14:textId="77777777" w:rsidR="00D27B69" w:rsidRDefault="00D2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3D71" w14:textId="77777777" w:rsidR="00F7249E" w:rsidRDefault="00F7249E" w:rsidP="009F745D">
      <w:r>
        <w:separator/>
      </w:r>
    </w:p>
  </w:footnote>
  <w:footnote w:type="continuationSeparator" w:id="0">
    <w:p w14:paraId="4E8AD532" w14:textId="77777777" w:rsidR="00F7249E" w:rsidRDefault="00F7249E" w:rsidP="009F745D">
      <w:r>
        <w:continuationSeparator/>
      </w:r>
    </w:p>
  </w:footnote>
  <w:footnote w:type="continuationNotice" w:id="1">
    <w:p w14:paraId="0C7844E4" w14:textId="77777777" w:rsidR="00F7249E" w:rsidRDefault="00F72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83C5" w14:textId="77777777" w:rsidR="00D27B69" w:rsidRPr="009F745D" w:rsidRDefault="00D27B69" w:rsidP="003C4A4E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cs="Arial"/>
        <w:sz w:val="14"/>
        <w:szCs w:val="14"/>
      </w:rPr>
    </w:pPr>
    <w:r w:rsidRPr="009F745D">
      <w:rPr>
        <w:rFonts w:cs="Arial"/>
        <w:sz w:val="14"/>
        <w:szCs w:val="14"/>
      </w:rPr>
      <w:t>ROW-U-</w:t>
    </w:r>
    <w:r>
      <w:rPr>
        <w:rFonts w:cs="Arial"/>
        <w:sz w:val="14"/>
        <w:szCs w:val="14"/>
      </w:rPr>
      <w:t>MA</w:t>
    </w:r>
  </w:p>
  <w:p w14:paraId="1FE40924" w14:textId="77777777" w:rsidR="00D27B69" w:rsidRPr="009F745D" w:rsidRDefault="00D27B69" w:rsidP="003C4A4E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(0</w:t>
    </w:r>
    <w:r w:rsidR="00571236">
      <w:rPr>
        <w:rFonts w:cs="Arial"/>
        <w:sz w:val="14"/>
        <w:szCs w:val="14"/>
      </w:rPr>
      <w:t>8</w:t>
    </w:r>
    <w:r w:rsidRPr="009F745D">
      <w:rPr>
        <w:rFonts w:cs="Arial"/>
        <w:sz w:val="14"/>
        <w:szCs w:val="14"/>
      </w:rPr>
      <w:t>/</w:t>
    </w:r>
    <w:r>
      <w:rPr>
        <w:rFonts w:cs="Arial"/>
        <w:sz w:val="14"/>
        <w:szCs w:val="14"/>
      </w:rPr>
      <w:t>17)</w:t>
    </w:r>
  </w:p>
  <w:p w14:paraId="0A3F6533" w14:textId="77777777" w:rsidR="00D27B69" w:rsidRDefault="00D27B69" w:rsidP="003C4A4E">
    <w:pPr>
      <w:spacing w:line="180" w:lineRule="exact"/>
      <w:rPr>
        <w:rStyle w:val="PageNumber"/>
        <w:rFonts w:cs="Arial"/>
        <w:sz w:val="14"/>
        <w:szCs w:val="14"/>
      </w:rPr>
    </w:pPr>
    <w:r w:rsidRPr="009F745D">
      <w:rPr>
        <w:rFonts w:cs="Arial"/>
        <w:sz w:val="14"/>
        <w:szCs w:val="14"/>
      </w:rPr>
      <w:t xml:space="preserve">Page </w:t>
    </w:r>
    <w:r w:rsidRPr="009F745D">
      <w:rPr>
        <w:rStyle w:val="PageNumber"/>
        <w:rFonts w:cs="Arial"/>
        <w:sz w:val="14"/>
        <w:szCs w:val="14"/>
      </w:rPr>
      <w:fldChar w:fldCharType="begin"/>
    </w:r>
    <w:r w:rsidRPr="002337FE">
      <w:rPr>
        <w:rStyle w:val="PageNumber"/>
        <w:rFonts w:cs="Arial"/>
        <w:sz w:val="14"/>
        <w:szCs w:val="14"/>
      </w:rPr>
      <w:instrText xml:space="preserve"> PAGE </w:instrText>
    </w:r>
    <w:r w:rsidRPr="009F745D">
      <w:rPr>
        <w:rStyle w:val="PageNumber"/>
        <w:rFonts w:cs="Arial"/>
        <w:sz w:val="14"/>
        <w:szCs w:val="14"/>
      </w:rPr>
      <w:fldChar w:fldCharType="separate"/>
    </w:r>
    <w:r w:rsidR="0094084D">
      <w:rPr>
        <w:rStyle w:val="PageNumber"/>
        <w:rFonts w:cs="Arial"/>
        <w:noProof/>
        <w:sz w:val="14"/>
        <w:szCs w:val="14"/>
      </w:rPr>
      <w:t>4</w:t>
    </w:r>
    <w:r w:rsidRPr="009F745D">
      <w:rPr>
        <w:rStyle w:val="PageNumber"/>
        <w:rFonts w:cs="Arial"/>
        <w:sz w:val="14"/>
        <w:szCs w:val="14"/>
      </w:rPr>
      <w:fldChar w:fldCharType="end"/>
    </w:r>
    <w:r w:rsidRPr="009F745D">
      <w:rPr>
        <w:rFonts w:cs="Arial"/>
        <w:sz w:val="14"/>
        <w:szCs w:val="14"/>
      </w:rPr>
      <w:t xml:space="preserve"> of </w:t>
    </w:r>
    <w:r w:rsidRPr="009F745D">
      <w:rPr>
        <w:rStyle w:val="PageNumber"/>
        <w:rFonts w:cs="Arial"/>
        <w:sz w:val="14"/>
        <w:szCs w:val="14"/>
      </w:rPr>
      <w:fldChar w:fldCharType="begin"/>
    </w:r>
    <w:r w:rsidRPr="002337FE">
      <w:rPr>
        <w:rStyle w:val="PageNumber"/>
        <w:rFonts w:cs="Arial"/>
        <w:sz w:val="14"/>
        <w:szCs w:val="14"/>
      </w:rPr>
      <w:instrText xml:space="preserve"> NUMPAGES </w:instrText>
    </w:r>
    <w:r w:rsidRPr="009F745D">
      <w:rPr>
        <w:rStyle w:val="PageNumber"/>
        <w:rFonts w:cs="Arial"/>
        <w:sz w:val="14"/>
        <w:szCs w:val="14"/>
      </w:rPr>
      <w:fldChar w:fldCharType="separate"/>
    </w:r>
    <w:r w:rsidR="0094084D">
      <w:rPr>
        <w:rStyle w:val="PageNumber"/>
        <w:rFonts w:cs="Arial"/>
        <w:noProof/>
        <w:sz w:val="14"/>
        <w:szCs w:val="14"/>
      </w:rPr>
      <w:t>4</w:t>
    </w:r>
    <w:r w:rsidRPr="009F745D">
      <w:rPr>
        <w:rStyle w:val="PageNumber"/>
        <w:rFonts w:cs="Arial"/>
        <w:sz w:val="14"/>
        <w:szCs w:val="14"/>
      </w:rPr>
      <w:fldChar w:fldCharType="end"/>
    </w:r>
  </w:p>
  <w:p w14:paraId="3D1A1511" w14:textId="77777777" w:rsidR="00D27B69" w:rsidRDefault="00D27B69" w:rsidP="00E121A5">
    <w:pPr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A40C" w14:textId="77777777" w:rsidR="00D27B69" w:rsidRDefault="00D27B69" w:rsidP="008533E6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cs="Arial"/>
        <w:sz w:val="14"/>
        <w:szCs w:val="14"/>
      </w:rPr>
    </w:pPr>
    <w:r>
      <w:rPr>
        <w:noProof/>
      </w:rPr>
      <w:drawing>
        <wp:inline distT="0" distB="0" distL="0" distR="0" wp14:anchorId="21291873" wp14:editId="409BC2C1">
          <wp:extent cx="598805" cy="4127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4CC8" w14:textId="77777777" w:rsidR="00D27B69" w:rsidRPr="009F745D" w:rsidRDefault="00D27B69" w:rsidP="008533E6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cs="Arial"/>
        <w:sz w:val="14"/>
        <w:szCs w:val="14"/>
      </w:rPr>
    </w:pPr>
    <w:r w:rsidRPr="009F745D">
      <w:rPr>
        <w:rFonts w:cs="Arial"/>
        <w:sz w:val="14"/>
        <w:szCs w:val="14"/>
      </w:rPr>
      <w:t>ROW-U-</w:t>
    </w:r>
    <w:r>
      <w:rPr>
        <w:rFonts w:cs="Arial"/>
        <w:sz w:val="14"/>
        <w:szCs w:val="14"/>
      </w:rPr>
      <w:t>MA</w:t>
    </w:r>
  </w:p>
  <w:p w14:paraId="40266834" w14:textId="77777777" w:rsidR="00D27B69" w:rsidRPr="009F745D" w:rsidRDefault="00D27B69" w:rsidP="008533E6"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(0</w:t>
    </w:r>
    <w:r w:rsidR="00571236">
      <w:rPr>
        <w:rFonts w:cs="Arial"/>
        <w:sz w:val="14"/>
        <w:szCs w:val="14"/>
      </w:rPr>
      <w:t>8</w:t>
    </w:r>
    <w:r w:rsidRPr="009F745D">
      <w:rPr>
        <w:rFonts w:cs="Arial"/>
        <w:sz w:val="14"/>
        <w:szCs w:val="14"/>
      </w:rPr>
      <w:t>/</w:t>
    </w:r>
    <w:r>
      <w:rPr>
        <w:rFonts w:cs="Arial"/>
        <w:sz w:val="14"/>
        <w:szCs w:val="14"/>
      </w:rPr>
      <w:t>17)</w:t>
    </w:r>
  </w:p>
  <w:p w14:paraId="1C785AAD" w14:textId="77777777" w:rsidR="00D27B69" w:rsidRDefault="00D27B69" w:rsidP="008533E6">
    <w:pPr>
      <w:spacing w:line="180" w:lineRule="exact"/>
    </w:pPr>
    <w:r w:rsidRPr="009F745D">
      <w:rPr>
        <w:rFonts w:cs="Arial"/>
        <w:sz w:val="14"/>
        <w:szCs w:val="14"/>
      </w:rPr>
      <w:t xml:space="preserve">Page </w:t>
    </w:r>
    <w:r w:rsidRPr="009F745D">
      <w:rPr>
        <w:rStyle w:val="PageNumber"/>
        <w:rFonts w:cs="Arial"/>
        <w:sz w:val="14"/>
        <w:szCs w:val="14"/>
      </w:rPr>
      <w:fldChar w:fldCharType="begin"/>
    </w:r>
    <w:r w:rsidRPr="002337FE">
      <w:rPr>
        <w:rStyle w:val="PageNumber"/>
        <w:rFonts w:cs="Arial"/>
        <w:sz w:val="14"/>
        <w:szCs w:val="14"/>
      </w:rPr>
      <w:instrText xml:space="preserve"> PAGE </w:instrText>
    </w:r>
    <w:r w:rsidRPr="009F745D">
      <w:rPr>
        <w:rStyle w:val="PageNumber"/>
        <w:rFonts w:cs="Arial"/>
        <w:sz w:val="14"/>
        <w:szCs w:val="14"/>
      </w:rPr>
      <w:fldChar w:fldCharType="separate"/>
    </w:r>
    <w:r w:rsidR="0094084D">
      <w:rPr>
        <w:rStyle w:val="PageNumber"/>
        <w:rFonts w:cs="Arial"/>
        <w:noProof/>
        <w:sz w:val="14"/>
        <w:szCs w:val="14"/>
      </w:rPr>
      <w:t>1</w:t>
    </w:r>
    <w:r w:rsidRPr="009F745D">
      <w:rPr>
        <w:rStyle w:val="PageNumber"/>
        <w:rFonts w:cs="Arial"/>
        <w:sz w:val="14"/>
        <w:szCs w:val="14"/>
      </w:rPr>
      <w:fldChar w:fldCharType="end"/>
    </w:r>
    <w:r w:rsidRPr="009F745D">
      <w:rPr>
        <w:rFonts w:cs="Arial"/>
        <w:sz w:val="14"/>
        <w:szCs w:val="14"/>
      </w:rPr>
      <w:t xml:space="preserve"> of </w:t>
    </w:r>
    <w:r w:rsidRPr="009F745D">
      <w:rPr>
        <w:rStyle w:val="PageNumber"/>
        <w:rFonts w:cs="Arial"/>
        <w:sz w:val="14"/>
        <w:szCs w:val="14"/>
      </w:rPr>
      <w:fldChar w:fldCharType="begin"/>
    </w:r>
    <w:r w:rsidRPr="002337FE">
      <w:rPr>
        <w:rStyle w:val="PageNumber"/>
        <w:rFonts w:cs="Arial"/>
        <w:sz w:val="14"/>
        <w:szCs w:val="14"/>
      </w:rPr>
      <w:instrText xml:space="preserve"> NUMPAGES </w:instrText>
    </w:r>
    <w:r w:rsidRPr="009F745D">
      <w:rPr>
        <w:rStyle w:val="PageNumber"/>
        <w:rFonts w:cs="Arial"/>
        <w:sz w:val="14"/>
        <w:szCs w:val="14"/>
      </w:rPr>
      <w:fldChar w:fldCharType="separate"/>
    </w:r>
    <w:r w:rsidR="0094084D">
      <w:rPr>
        <w:rStyle w:val="PageNumber"/>
        <w:rFonts w:cs="Arial"/>
        <w:noProof/>
        <w:sz w:val="14"/>
        <w:szCs w:val="14"/>
      </w:rPr>
      <w:t>4</w:t>
    </w:r>
    <w:r w:rsidRPr="009F745D">
      <w:rPr>
        <w:rStyle w:val="PageNumber"/>
        <w:rFonts w:cs="Arial"/>
        <w:sz w:val="14"/>
        <w:szCs w:val="14"/>
      </w:rPr>
      <w:fldChar w:fldCharType="end"/>
    </w:r>
  </w:p>
  <w:p w14:paraId="503B52C6" w14:textId="77777777" w:rsidR="00D27B69" w:rsidRDefault="00D2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020A616F"/>
    <w:multiLevelType w:val="hybridMultilevel"/>
    <w:tmpl w:val="FD88E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41B1"/>
    <w:multiLevelType w:val="hybridMultilevel"/>
    <w:tmpl w:val="3200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0D02B6"/>
    <w:multiLevelType w:val="hybridMultilevel"/>
    <w:tmpl w:val="3F4C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46DC"/>
    <w:multiLevelType w:val="hybridMultilevel"/>
    <w:tmpl w:val="E6EA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A127D"/>
    <w:multiLevelType w:val="hybridMultilevel"/>
    <w:tmpl w:val="2378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A11AC"/>
    <w:multiLevelType w:val="hybridMultilevel"/>
    <w:tmpl w:val="3F4C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4EB"/>
    <w:multiLevelType w:val="hybridMultilevel"/>
    <w:tmpl w:val="08A615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C2524B"/>
    <w:multiLevelType w:val="hybridMultilevel"/>
    <w:tmpl w:val="E6EA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7373A"/>
    <w:multiLevelType w:val="hybridMultilevel"/>
    <w:tmpl w:val="CA00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F504B"/>
    <w:multiLevelType w:val="hybridMultilevel"/>
    <w:tmpl w:val="217601C2"/>
    <w:lvl w:ilvl="0" w:tplc="A58674F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80751"/>
    <w:multiLevelType w:val="hybridMultilevel"/>
    <w:tmpl w:val="3F4CD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1383"/>
    <w:multiLevelType w:val="hybridMultilevel"/>
    <w:tmpl w:val="E6EA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8567817">
    <w:abstractNumId w:val="14"/>
  </w:num>
  <w:num w:numId="2" w16cid:durableId="98717132">
    <w:abstractNumId w:val="0"/>
  </w:num>
  <w:num w:numId="3" w16cid:durableId="1900700095">
    <w:abstractNumId w:val="3"/>
  </w:num>
  <w:num w:numId="4" w16cid:durableId="1115948794">
    <w:abstractNumId w:val="15"/>
  </w:num>
  <w:num w:numId="5" w16cid:durableId="1141800357">
    <w:abstractNumId w:val="10"/>
  </w:num>
  <w:num w:numId="6" w16cid:durableId="1062870400">
    <w:abstractNumId w:val="1"/>
  </w:num>
  <w:num w:numId="7" w16cid:durableId="1436095293">
    <w:abstractNumId w:val="11"/>
  </w:num>
  <w:num w:numId="8" w16cid:durableId="1949001722">
    <w:abstractNumId w:val="6"/>
  </w:num>
  <w:num w:numId="9" w16cid:durableId="1074544509">
    <w:abstractNumId w:val="13"/>
  </w:num>
  <w:num w:numId="10" w16cid:durableId="90778118">
    <w:abstractNumId w:val="9"/>
  </w:num>
  <w:num w:numId="11" w16cid:durableId="1337732158">
    <w:abstractNumId w:val="7"/>
  </w:num>
  <w:num w:numId="12" w16cid:durableId="1777867291">
    <w:abstractNumId w:val="5"/>
  </w:num>
  <w:num w:numId="13" w16cid:durableId="1121917676">
    <w:abstractNumId w:val="8"/>
  </w:num>
  <w:num w:numId="14" w16cid:durableId="1871065597">
    <w:abstractNumId w:val="2"/>
  </w:num>
  <w:num w:numId="15" w16cid:durableId="1422216517">
    <w:abstractNumId w:val="12"/>
  </w:num>
  <w:num w:numId="16" w16cid:durableId="17079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B1"/>
    <w:rsid w:val="00023C31"/>
    <w:rsid w:val="000443A3"/>
    <w:rsid w:val="00045CF5"/>
    <w:rsid w:val="0005016E"/>
    <w:rsid w:val="000600B0"/>
    <w:rsid w:val="000702D4"/>
    <w:rsid w:val="00091DD8"/>
    <w:rsid w:val="000E2C1F"/>
    <w:rsid w:val="001138C8"/>
    <w:rsid w:val="0012094D"/>
    <w:rsid w:val="0012388D"/>
    <w:rsid w:val="00143128"/>
    <w:rsid w:val="00164616"/>
    <w:rsid w:val="001A16B2"/>
    <w:rsid w:val="001A723D"/>
    <w:rsid w:val="001D7390"/>
    <w:rsid w:val="001E38F6"/>
    <w:rsid w:val="001F14E5"/>
    <w:rsid w:val="00207291"/>
    <w:rsid w:val="0022632E"/>
    <w:rsid w:val="002422D7"/>
    <w:rsid w:val="0024549E"/>
    <w:rsid w:val="00247905"/>
    <w:rsid w:val="00254420"/>
    <w:rsid w:val="00275CE5"/>
    <w:rsid w:val="00276F8E"/>
    <w:rsid w:val="00282F1F"/>
    <w:rsid w:val="002835D1"/>
    <w:rsid w:val="00287B4C"/>
    <w:rsid w:val="00296726"/>
    <w:rsid w:val="002969EB"/>
    <w:rsid w:val="002A1B68"/>
    <w:rsid w:val="002A2CC8"/>
    <w:rsid w:val="002C33E8"/>
    <w:rsid w:val="002D27DB"/>
    <w:rsid w:val="00300894"/>
    <w:rsid w:val="0032522F"/>
    <w:rsid w:val="0033325B"/>
    <w:rsid w:val="00333A5E"/>
    <w:rsid w:val="00355033"/>
    <w:rsid w:val="00361EC8"/>
    <w:rsid w:val="003640C7"/>
    <w:rsid w:val="00366F6E"/>
    <w:rsid w:val="00384EA3"/>
    <w:rsid w:val="00386E77"/>
    <w:rsid w:val="00393661"/>
    <w:rsid w:val="003A0608"/>
    <w:rsid w:val="003A1F7F"/>
    <w:rsid w:val="003C4A4E"/>
    <w:rsid w:val="003F0EF8"/>
    <w:rsid w:val="003F6E26"/>
    <w:rsid w:val="004044D0"/>
    <w:rsid w:val="00420E3B"/>
    <w:rsid w:val="004375A3"/>
    <w:rsid w:val="00440942"/>
    <w:rsid w:val="00451130"/>
    <w:rsid w:val="0045475D"/>
    <w:rsid w:val="00456D0F"/>
    <w:rsid w:val="00465220"/>
    <w:rsid w:val="004831AC"/>
    <w:rsid w:val="004A0892"/>
    <w:rsid w:val="004B05EC"/>
    <w:rsid w:val="004B24C0"/>
    <w:rsid w:val="004C4760"/>
    <w:rsid w:val="004C49D1"/>
    <w:rsid w:val="004C5840"/>
    <w:rsid w:val="005100F9"/>
    <w:rsid w:val="0052010C"/>
    <w:rsid w:val="005256C6"/>
    <w:rsid w:val="00530B1F"/>
    <w:rsid w:val="0053701A"/>
    <w:rsid w:val="00540645"/>
    <w:rsid w:val="00557612"/>
    <w:rsid w:val="0056451F"/>
    <w:rsid w:val="00565F9C"/>
    <w:rsid w:val="00571236"/>
    <w:rsid w:val="00576A7D"/>
    <w:rsid w:val="00580A63"/>
    <w:rsid w:val="00585F8C"/>
    <w:rsid w:val="005922F0"/>
    <w:rsid w:val="00596BBB"/>
    <w:rsid w:val="005A03D0"/>
    <w:rsid w:val="005A72F6"/>
    <w:rsid w:val="005B3799"/>
    <w:rsid w:val="005C66EB"/>
    <w:rsid w:val="005D0DE6"/>
    <w:rsid w:val="005D4041"/>
    <w:rsid w:val="005F1B4C"/>
    <w:rsid w:val="006015A2"/>
    <w:rsid w:val="00602184"/>
    <w:rsid w:val="00610B4C"/>
    <w:rsid w:val="00611410"/>
    <w:rsid w:val="00623918"/>
    <w:rsid w:val="0062572F"/>
    <w:rsid w:val="00631098"/>
    <w:rsid w:val="006318A0"/>
    <w:rsid w:val="00633DFB"/>
    <w:rsid w:val="00644120"/>
    <w:rsid w:val="006465FB"/>
    <w:rsid w:val="006731E0"/>
    <w:rsid w:val="00683B09"/>
    <w:rsid w:val="006A54A8"/>
    <w:rsid w:val="006C0439"/>
    <w:rsid w:val="006D2BA6"/>
    <w:rsid w:val="006D2C6A"/>
    <w:rsid w:val="006D59F0"/>
    <w:rsid w:val="00705840"/>
    <w:rsid w:val="007078DA"/>
    <w:rsid w:val="0072225A"/>
    <w:rsid w:val="007279F0"/>
    <w:rsid w:val="007508A4"/>
    <w:rsid w:val="0075516B"/>
    <w:rsid w:val="0077749F"/>
    <w:rsid w:val="007A768E"/>
    <w:rsid w:val="007D29FF"/>
    <w:rsid w:val="007E2A65"/>
    <w:rsid w:val="007E30CF"/>
    <w:rsid w:val="007E53AA"/>
    <w:rsid w:val="007F47CA"/>
    <w:rsid w:val="00833689"/>
    <w:rsid w:val="0084425A"/>
    <w:rsid w:val="00845A3E"/>
    <w:rsid w:val="008533E6"/>
    <w:rsid w:val="00875635"/>
    <w:rsid w:val="00882014"/>
    <w:rsid w:val="0089177F"/>
    <w:rsid w:val="00893A4D"/>
    <w:rsid w:val="008C281A"/>
    <w:rsid w:val="008D3193"/>
    <w:rsid w:val="008D6D22"/>
    <w:rsid w:val="008E3573"/>
    <w:rsid w:val="008F181D"/>
    <w:rsid w:val="008F554B"/>
    <w:rsid w:val="008F7C9C"/>
    <w:rsid w:val="00900F07"/>
    <w:rsid w:val="009100BA"/>
    <w:rsid w:val="00914D37"/>
    <w:rsid w:val="0092267B"/>
    <w:rsid w:val="0093204B"/>
    <w:rsid w:val="00934B8A"/>
    <w:rsid w:val="0093760E"/>
    <w:rsid w:val="0094084D"/>
    <w:rsid w:val="0094640D"/>
    <w:rsid w:val="00957CB1"/>
    <w:rsid w:val="00974256"/>
    <w:rsid w:val="00990656"/>
    <w:rsid w:val="00993F60"/>
    <w:rsid w:val="009A01D6"/>
    <w:rsid w:val="009A0A1B"/>
    <w:rsid w:val="009B2C6D"/>
    <w:rsid w:val="009D68E2"/>
    <w:rsid w:val="009D7E5E"/>
    <w:rsid w:val="009F745D"/>
    <w:rsid w:val="00A051F3"/>
    <w:rsid w:val="00A05AD8"/>
    <w:rsid w:val="00A24B28"/>
    <w:rsid w:val="00A27678"/>
    <w:rsid w:val="00A32629"/>
    <w:rsid w:val="00A3469B"/>
    <w:rsid w:val="00A51A7C"/>
    <w:rsid w:val="00A5722B"/>
    <w:rsid w:val="00AA0BDC"/>
    <w:rsid w:val="00AC66B2"/>
    <w:rsid w:val="00AD31DE"/>
    <w:rsid w:val="00AF44D6"/>
    <w:rsid w:val="00AF5932"/>
    <w:rsid w:val="00B371FB"/>
    <w:rsid w:val="00B377C3"/>
    <w:rsid w:val="00B43158"/>
    <w:rsid w:val="00B54EC8"/>
    <w:rsid w:val="00B57AF4"/>
    <w:rsid w:val="00B91CD2"/>
    <w:rsid w:val="00BB22A0"/>
    <w:rsid w:val="00BC2D2B"/>
    <w:rsid w:val="00BC62E9"/>
    <w:rsid w:val="00BF67FF"/>
    <w:rsid w:val="00C0135C"/>
    <w:rsid w:val="00C054B3"/>
    <w:rsid w:val="00C10DE3"/>
    <w:rsid w:val="00C20FCD"/>
    <w:rsid w:val="00C345EB"/>
    <w:rsid w:val="00C40809"/>
    <w:rsid w:val="00C40D47"/>
    <w:rsid w:val="00C44653"/>
    <w:rsid w:val="00C44F55"/>
    <w:rsid w:val="00C664F6"/>
    <w:rsid w:val="00C81EB7"/>
    <w:rsid w:val="00C836D1"/>
    <w:rsid w:val="00C90032"/>
    <w:rsid w:val="00C95403"/>
    <w:rsid w:val="00C979C7"/>
    <w:rsid w:val="00CB0EC1"/>
    <w:rsid w:val="00CC34EA"/>
    <w:rsid w:val="00CD0206"/>
    <w:rsid w:val="00CE1734"/>
    <w:rsid w:val="00CF1B98"/>
    <w:rsid w:val="00CF5FD4"/>
    <w:rsid w:val="00D13D19"/>
    <w:rsid w:val="00D228B9"/>
    <w:rsid w:val="00D27B69"/>
    <w:rsid w:val="00D329BD"/>
    <w:rsid w:val="00D32A53"/>
    <w:rsid w:val="00D5097E"/>
    <w:rsid w:val="00D5186D"/>
    <w:rsid w:val="00D532BB"/>
    <w:rsid w:val="00D55662"/>
    <w:rsid w:val="00D74847"/>
    <w:rsid w:val="00D7677F"/>
    <w:rsid w:val="00D77EC4"/>
    <w:rsid w:val="00D8184B"/>
    <w:rsid w:val="00D91C16"/>
    <w:rsid w:val="00D92864"/>
    <w:rsid w:val="00DA56D7"/>
    <w:rsid w:val="00DC5057"/>
    <w:rsid w:val="00DD7CE6"/>
    <w:rsid w:val="00DE4E74"/>
    <w:rsid w:val="00DE5004"/>
    <w:rsid w:val="00DE788C"/>
    <w:rsid w:val="00DF1262"/>
    <w:rsid w:val="00DF27A1"/>
    <w:rsid w:val="00E121A5"/>
    <w:rsid w:val="00E13A20"/>
    <w:rsid w:val="00E222E8"/>
    <w:rsid w:val="00E37ACA"/>
    <w:rsid w:val="00E4019E"/>
    <w:rsid w:val="00E57999"/>
    <w:rsid w:val="00E60C1A"/>
    <w:rsid w:val="00E61370"/>
    <w:rsid w:val="00E67634"/>
    <w:rsid w:val="00E7192F"/>
    <w:rsid w:val="00E72C5A"/>
    <w:rsid w:val="00E72D4C"/>
    <w:rsid w:val="00E7588F"/>
    <w:rsid w:val="00E83DAB"/>
    <w:rsid w:val="00EA7A50"/>
    <w:rsid w:val="00EB3191"/>
    <w:rsid w:val="00EB440D"/>
    <w:rsid w:val="00EB4D66"/>
    <w:rsid w:val="00EB50EB"/>
    <w:rsid w:val="00EC35C9"/>
    <w:rsid w:val="00ED65A1"/>
    <w:rsid w:val="00EE012C"/>
    <w:rsid w:val="00EE4195"/>
    <w:rsid w:val="00EE50BA"/>
    <w:rsid w:val="00EF19A8"/>
    <w:rsid w:val="00EF5739"/>
    <w:rsid w:val="00F16B02"/>
    <w:rsid w:val="00F23985"/>
    <w:rsid w:val="00F37C1D"/>
    <w:rsid w:val="00F7249E"/>
    <w:rsid w:val="00F75427"/>
    <w:rsid w:val="00F836EA"/>
    <w:rsid w:val="00F94288"/>
    <w:rsid w:val="00FA11DB"/>
    <w:rsid w:val="00FA78EC"/>
    <w:rsid w:val="00FB04B1"/>
    <w:rsid w:val="00FC068D"/>
    <w:rsid w:val="00FC14C1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A9C9"/>
  <w15:docId w15:val="{3724790F-66EF-44CA-969B-EEB58701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F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633DF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33DF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3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B98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5840"/>
  </w:style>
  <w:style w:type="paragraph" w:styleId="Header">
    <w:name w:val="header"/>
    <w:basedOn w:val="Normal"/>
    <w:link w:val="HeaderChar"/>
    <w:unhideWhenUsed/>
    <w:rsid w:val="009F7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45D"/>
  </w:style>
  <w:style w:type="character" w:styleId="PageNumber">
    <w:name w:val="page number"/>
    <w:unhideWhenUsed/>
    <w:rsid w:val="009F745D"/>
    <w:rPr>
      <w:sz w:val="16"/>
    </w:rPr>
  </w:style>
  <w:style w:type="paragraph" w:styleId="NormalWeb">
    <w:name w:val="Normal (Web)"/>
    <w:basedOn w:val="Normal"/>
    <w:uiPriority w:val="99"/>
    <w:semiHidden/>
    <w:unhideWhenUsed/>
    <w:rsid w:val="0045475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2CQQKEH6ZJYR-945898380-674</_dlc_DocId>
    <_dlc_DocIdUrl xmlns="515352fc-4bfb-4416-a00c-6833a8a01107">
      <Url>https://txdot.sharepoint.com/sites/division-itd/imd/applications/Plan-Admin-ENT-Systems/_layouts/15/DocIdRedir.aspx?ID=2CQQKEH6ZJYR-945898380-674</Url>
      <Description>2CQQKEH6ZJYR-945898380-674</Description>
    </_dlc_DocIdUrl>
  </documentManagement>
</p:properties>
</file>

<file path=customXml/itemProps1.xml><?xml version="1.0" encoding="utf-8"?>
<ds:datastoreItem xmlns:ds="http://schemas.openxmlformats.org/officeDocument/2006/customXml" ds:itemID="{B6D3F9F1-5FCE-401D-9AF5-CDC21C619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462E3-5408-454A-BBC4-472FE0999866}"/>
</file>

<file path=customXml/itemProps3.xml><?xml version="1.0" encoding="utf-8"?>
<ds:datastoreItem xmlns:ds="http://schemas.openxmlformats.org/officeDocument/2006/customXml" ds:itemID="{1AC097C0-757D-4F8D-855B-3BED4D8EB1E4}"/>
</file>

<file path=customXml/itemProps4.xml><?xml version="1.0" encoding="utf-8"?>
<ds:datastoreItem xmlns:ds="http://schemas.openxmlformats.org/officeDocument/2006/customXml" ds:itemID="{A1D20AC7-8002-4CAA-8D3D-6DA833386FC6}"/>
</file>

<file path=customXml/itemProps5.xml><?xml version="1.0" encoding="utf-8"?>
<ds:datastoreItem xmlns:ds="http://schemas.openxmlformats.org/officeDocument/2006/customXml" ds:itemID="{3B67C090-C640-4BBE-BC16-1FFC124FD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6163</Characters>
  <Application>Microsoft Office Word</Application>
  <DocSecurity>0</DocSecurity>
  <Lines>362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JKIRK2</dc:creator>
  <cp:lastModifiedBy>Ikenna Okeoma</cp:lastModifiedBy>
  <cp:revision>2</cp:revision>
  <cp:lastPrinted>2017-08-07T17:42:00Z</cp:lastPrinted>
  <dcterms:created xsi:type="dcterms:W3CDTF">2025-09-18T21:03:00Z</dcterms:created>
  <dcterms:modified xsi:type="dcterms:W3CDTF">2025-09-18T21:03:00Z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c433483b-c1b1-4b8d-a56a-5f4d05422372</vt:lpwstr>
  </property>
</Properties>
</file>